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237" w:rsidRPr="004B3EF9" w:rsidRDefault="00415237" w:rsidP="004B3EF9">
      <w:pPr>
        <w:spacing w:after="0"/>
        <w:jc w:val="center"/>
        <w:rPr>
          <w:rFonts w:ascii="GHEA Grapalat" w:hAnsi="GHEA Grapalat"/>
          <w:sz w:val="20"/>
          <w:szCs w:val="20"/>
          <w:lang w:val="af-ZA"/>
        </w:rPr>
      </w:pPr>
      <w:r w:rsidRPr="004B3EF9">
        <w:rPr>
          <w:rFonts w:ascii="GHEA Grapalat" w:hAnsi="GHEA Grapalat"/>
          <w:sz w:val="20"/>
          <w:szCs w:val="20"/>
          <w:lang w:val="af-ZA"/>
        </w:rPr>
        <w:t>ԱՄՓՈՓԱԹԵՐԹ</w:t>
      </w:r>
    </w:p>
    <w:p w:rsidR="00BB5DF0" w:rsidRPr="004B3EF9" w:rsidRDefault="00BB5DF0" w:rsidP="004B3EF9">
      <w:pPr>
        <w:pStyle w:val="NormalWeb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sz w:val="20"/>
          <w:szCs w:val="20"/>
        </w:rPr>
      </w:pPr>
    </w:p>
    <w:p w:rsidR="000D2353" w:rsidRPr="004B3EF9" w:rsidRDefault="00E025EC" w:rsidP="004B3EF9">
      <w:pPr>
        <w:pStyle w:val="NormalWeb"/>
        <w:spacing w:before="0" w:beforeAutospacing="0" w:after="0" w:afterAutospacing="0" w:line="276" w:lineRule="auto"/>
        <w:ind w:firstLine="374"/>
        <w:jc w:val="center"/>
        <w:rPr>
          <w:rStyle w:val="Strong"/>
          <w:rFonts w:ascii="GHEA Grapalat" w:hAnsi="GHEA Grapalat" w:cs="Sylfaen"/>
          <w:bCs w:val="0"/>
          <w:sz w:val="20"/>
          <w:szCs w:val="20"/>
        </w:rPr>
      </w:pPr>
      <w:r w:rsidRPr="004B3EF9">
        <w:rPr>
          <w:rFonts w:ascii="GHEA Grapalat" w:hAnsi="GHEA Grapalat" w:cs="Sylfaen"/>
          <w:sz w:val="20"/>
          <w:szCs w:val="20"/>
          <w:lang w:val="hy-AM"/>
        </w:rPr>
        <w:t xml:space="preserve">«Մաքսային հսկողության օբյեկտների, ձևերի և (կամ) միջոցների ընտրության ժամանակ ռիսկերի կառավարման համակարգի օգտագործման և մաքսային մարմինների կողմից մաքսային հսկողության ձևերի և միջոցների կիրառման ուղեցույցը հաստատելու մասին և Հայաստանի Հանրապետության կառավարության 2001 թվականի մարտի 24-ի № 236 որոշումն ուժը կորցրած ճանաչելու մասին» ՀՀ կառավարության որոշման նախագծի </w:t>
      </w:r>
      <w:r w:rsidR="00AC1442" w:rsidRPr="004B3EF9">
        <w:rPr>
          <w:rStyle w:val="Strong"/>
          <w:rFonts w:ascii="GHEA Grapalat" w:hAnsi="GHEA Grapalat" w:cs="Sylfaen"/>
          <w:b w:val="0"/>
          <w:sz w:val="20"/>
          <w:szCs w:val="20"/>
          <w:lang w:val="hy-AM"/>
        </w:rPr>
        <w:t>(այսուհետ՝ Նախագիծ)</w:t>
      </w:r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 xml:space="preserve"> </w:t>
      </w:r>
      <w:proofErr w:type="spellStart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>վերաբերյալ</w:t>
      </w:r>
      <w:proofErr w:type="spellEnd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 xml:space="preserve"> </w:t>
      </w:r>
      <w:proofErr w:type="spellStart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>ստացված</w:t>
      </w:r>
      <w:proofErr w:type="spellEnd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 xml:space="preserve"> </w:t>
      </w:r>
      <w:proofErr w:type="spellStart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>առաջարկությունների</w:t>
      </w:r>
      <w:proofErr w:type="spellEnd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 xml:space="preserve"> </w:t>
      </w:r>
      <w:proofErr w:type="spellStart"/>
      <w:r w:rsidR="00F45B7C" w:rsidRPr="004B3EF9">
        <w:rPr>
          <w:rStyle w:val="Strong"/>
          <w:rFonts w:ascii="GHEA Grapalat" w:hAnsi="GHEA Grapalat" w:cs="Sylfaen"/>
          <w:b w:val="0"/>
          <w:sz w:val="20"/>
          <w:szCs w:val="20"/>
        </w:rPr>
        <w:t>վերաբերյալ</w:t>
      </w:r>
      <w:proofErr w:type="spellEnd"/>
    </w:p>
    <w:p w:rsidR="00415237" w:rsidRPr="004B3EF9" w:rsidRDefault="00415237" w:rsidP="004B3EF9">
      <w:pPr>
        <w:jc w:val="center"/>
        <w:rPr>
          <w:rStyle w:val="Strong"/>
          <w:rFonts w:ascii="GHEA Grapalat" w:hAnsi="GHEA Grapalat" w:cs="Sylfaen"/>
          <w:sz w:val="20"/>
          <w:szCs w:val="20"/>
        </w:rPr>
      </w:pPr>
      <w:r w:rsidRPr="004B3EF9">
        <w:rPr>
          <w:rStyle w:val="Strong"/>
          <w:rFonts w:ascii="GHEA Grapalat" w:hAnsi="GHEA Grapalat"/>
          <w:sz w:val="20"/>
          <w:szCs w:val="20"/>
        </w:rPr>
        <w:t xml:space="preserve"> </w:t>
      </w: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5953"/>
        <w:gridCol w:w="1701"/>
        <w:gridCol w:w="2835"/>
      </w:tblGrid>
      <w:tr w:rsidR="00415237" w:rsidRPr="004B3EF9" w:rsidTr="008209DD">
        <w:trPr>
          <w:trHeight w:val="17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Առաջարկության</w:t>
            </w:r>
            <w:proofErr w:type="spellEnd"/>
            <w:r w:rsidRPr="004B3EF9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4B3EF9">
              <w:rPr>
                <w:rFonts w:ascii="GHEA Grapalat" w:hAnsi="GHEA Grapalat"/>
                <w:b/>
                <w:sz w:val="20"/>
                <w:szCs w:val="20"/>
                <w:lang w:val="fr-FR"/>
              </w:rPr>
              <w:t>,</w:t>
            </w:r>
          </w:p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4B3EF9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4B3EF9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և </w:t>
            </w: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proofErr w:type="spellStart"/>
            <w:r w:rsidRPr="004B3EF9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Առաջարկության</w:t>
            </w:r>
            <w:proofErr w:type="spellEnd"/>
            <w:r w:rsidRPr="004B3EF9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/>
                <w:bCs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237" w:rsidRPr="004B3EF9" w:rsidRDefault="00415237" w:rsidP="004B3EF9">
            <w:pPr>
              <w:spacing w:after="0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Կատարված</w:t>
            </w:r>
            <w:proofErr w:type="spellEnd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AB0EAA" w:rsidRPr="004B3EF9" w:rsidTr="008209DD">
        <w:trPr>
          <w:trHeight w:val="7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EAA" w:rsidRPr="004B3EF9" w:rsidRDefault="00AB0EAA" w:rsidP="004B3EF9">
            <w:pPr>
              <w:pStyle w:val="ListParagraph"/>
              <w:numPr>
                <w:ilvl w:val="0"/>
                <w:numId w:val="36"/>
              </w:numPr>
              <w:spacing w:after="0"/>
              <w:ind w:left="29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772" w:rsidRPr="004B3EF9" w:rsidRDefault="00E025EC" w:rsidP="004B3EF9">
            <w:pPr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E025EC" w:rsidRPr="001C380E" w:rsidRDefault="001C380E" w:rsidP="001C380E">
            <w:pPr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C380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(01.10.2019թ.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թիվ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 xml:space="preserve"> </w:t>
            </w:r>
            <w:r w:rsidRPr="001C380E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01/2-4/16019-2019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գրություն</w:t>
            </w:r>
            <w:proofErr w:type="spellEnd"/>
            <w:r w:rsidRPr="001C380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AB" w:rsidRPr="004B3EF9" w:rsidRDefault="005241AB" w:rsidP="004B3EF9">
            <w:pPr>
              <w:spacing w:before="120" w:after="0"/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Նախագիծ վերաբերյալ հայտնում ենք հետևյալը:</w:t>
            </w:r>
          </w:p>
          <w:p w:rsidR="005241AB" w:rsidRPr="004B3EF9" w:rsidRDefault="005241AB" w:rsidP="004B3EF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Նախագծով հաստատվող հավելվածի 6-րդ կետով սահմանվում է, որ մաքսային մարմին ներկայացված մաքսային հայտարարագրի կամ ապրանքների բացթողնման նպա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տակով ներկայացված մաքսային այլ փաստաթղթի` Միության մաքսային օրենսդրությամբ սահմանված ժամկետներում գրանցվելուց հետո ռիսկերի կառավարման համակարգում մաքսային հսկողության իրականացման նպատակով ինքնաշխատ եղանակով ձևավորվում է ռիսկի պրոֆիլներին համապատասխան ռիսկերի նվազեցման միջոցառումների իրակա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ման ցուցումներով հսկողության ակտ, որում ներառվող ցուցումները բխում են մաքսային հսկողության հետևյալ ընթացակարգերից մեկից.</w:t>
            </w:r>
          </w:p>
          <w:p w:rsidR="005241AB" w:rsidRPr="004B3EF9" w:rsidRDefault="005241AB" w:rsidP="004B3EF9">
            <w:pPr>
              <w:pStyle w:val="ListParagraph"/>
              <w:numPr>
                <w:ilvl w:val="0"/>
                <w:numId w:val="38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«Ապրանքների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և տրանսպորտային միջոցների ավտոմատ բացթողում», որը կիրառվում է, երբ տեղայնացված ռիսկի պրոֆիլների հիման վրա ռիսկերի նվազեցման միջոցառումների իրականացման ցուցումներ հսկողության ակտում չեն ձևավորվում,</w:t>
            </w:r>
          </w:p>
          <w:p w:rsidR="005241AB" w:rsidRPr="004B3EF9" w:rsidRDefault="005241AB" w:rsidP="004B3EF9">
            <w:pPr>
              <w:pStyle w:val="ListParagraph"/>
              <w:numPr>
                <w:ilvl w:val="0"/>
                <w:numId w:val="38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«Ապրանքների և տրանսպորտային միջոցների բացթողում` առանց ստուգման», որը կիրառվում է, երբ ռիսկի պրոֆիլների հիման վրա ռիսկերի նվազեցման միջոցառումների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նացման ցուցումներ հսկողության ակտում չեն ձևավորվում,</w:t>
            </w:r>
          </w:p>
          <w:p w:rsidR="005241AB" w:rsidRPr="004B3EF9" w:rsidRDefault="005241AB" w:rsidP="004B3EF9">
            <w:pPr>
              <w:pStyle w:val="ListParagraph"/>
              <w:numPr>
                <w:ilvl w:val="0"/>
                <w:numId w:val="38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«Ապրանքների և տրանսպորտային միջոցների բացթողում` ստուգում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նելուց հետո», որը կիրառվում է, երբ ռիսկի պրոֆիլների հիման վրա հսկողության ակտում ձևավոր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վում են </w:t>
            </w:r>
            <w:r w:rsidRPr="004B3EF9">
              <w:rPr>
                <w:rFonts w:ascii="GHEA Grapalat" w:hAnsi="GHEA Grapalat" w:cs="Sylfaen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փաստաթղթային հսկողության և ապրանքների և տրանսպորտային միջոց</w:t>
            </w:r>
            <w:r w:rsidRPr="004B3EF9">
              <w:rPr>
                <w:rFonts w:ascii="GHEA Grapalat" w:hAnsi="GHEA Grapalat" w:cs="Sylfaen"/>
                <w:b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ների մաքսային զննման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միջոցով ռիսկերի նվազեցման միջոցառումների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ման ցուցում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ներ:</w:t>
            </w:r>
          </w:p>
          <w:p w:rsidR="005241AB" w:rsidRPr="004B3EF9" w:rsidRDefault="005241AB" w:rsidP="004B3EF9">
            <w:pPr>
              <w:spacing w:after="0"/>
              <w:ind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Միաժամանակ, նույն հավելվածի 10-րդ կետի համաձայն՝ «Ապրանքների և տրա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նսպոր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տային միջոցների բացթողում` ստուգում իրականացնելուց հետո» մաքսային հսկողու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թյան ընթացակարգի կիրառման դեպքում մաքսային ձևակերպումներ իրակա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նելու իրա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վասություն ունեցող պաշտոնատար անձի կողմից իրականացվում է փաս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տաթղ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թային հսկո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ղու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թյուն, իսկ մաքսային զննում իրականացնելու իրավասություն ունեցող պաշտոնա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տար անձի կողմից իրականացվում է ապրանքների և տրանսպորտային միջոց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ների զննում՝ համա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ձայն ռիսկերի կառավարման համակարգի կողմից ձևավոր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ված ռիսկերի նվազեցման միջոցառումների իրականացման ցուցումների:</w:t>
            </w:r>
          </w:p>
          <w:p w:rsidR="005241AB" w:rsidRPr="004B3EF9" w:rsidRDefault="005241AB" w:rsidP="004B3EF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Վերոգրյալից կարելի է եզրակացնել, որ «Ապրանքների և տրանսպորտային միջոցների բացթողում` ստուգում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նելուց հետո» մաքսային հսկողության ընթացակարգը կիրառ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վում է, երբ հսկողության ակտում ձևավորվում են միաժամանակ, և´ փաստաթղթային հսկողու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թյան, և´ ապրանքների ու տրանսպորտային միջոց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ների մաքսային զննման միջոցով ռիսկերի նվազեցման միջոցառումների իրականացման ցուցում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ներ: Արդյունքում,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վում է, և´ փաստաթղթային հսկողություն, և´ 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ապրանքների ու 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տրանսպորտային միջոց</w:t>
            </w:r>
            <w:r w:rsidRPr="004B3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ների զննում, կամ չի իրականացվում դրանցից ոչ մեկը:</w:t>
            </w:r>
          </w:p>
          <w:p w:rsidR="005241AB" w:rsidRPr="004B3EF9" w:rsidRDefault="005241AB" w:rsidP="004B3EF9">
            <w:pPr>
              <w:spacing w:after="0"/>
              <w:ind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Մինչդեռ, ԵԱՏՄ մաքսային օրենսգրքի 45-րդ գլխի համաձայն՝ մաքսային հսկողության՝ փաստաթղթային ստուգման և ապրանքների ու տրանսպորտային միջոց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ների մաքսային զննման ձևերը, առանձին հսկողության ձևեր են և կիրառելի են նաև առանձին-առանձին:    </w:t>
            </w:r>
          </w:p>
          <w:p w:rsidR="005241AB" w:rsidRPr="004B3EF9" w:rsidRDefault="005241AB" w:rsidP="004B3EF9">
            <w:pPr>
              <w:spacing w:after="0"/>
              <w:ind w:firstLine="567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Հաշվի առնելով վերոգրյալը, ինչպես նաև այն, որ ապրանքների ու տրանսպորտային միջոց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ների մաքսային զննման գործընթացն ավելի ժամանակատար և ծախսատար է (հայտա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րարատուների համար)՝ առա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ջար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կում ենք վերախմբագրել նախագծով հաստատվող հավելվածի վերոնշյալ դրույթները՝ նախա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տեսելով այնպիսի կարգավորումներ (ներդնել ռիսկերի առանձին պրոֆիլներ), որ հնա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րավոր լինի առանձին պարզել </w:t>
            </w:r>
            <w:r w:rsidRPr="004B3EF9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փաս</w:t>
            </w:r>
            <w:r w:rsidRPr="004B3EF9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տաթղթային ստուգ</w:t>
            </w:r>
            <w:r w:rsidRPr="004B3EF9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ման միջոցով 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և </w:t>
            </w:r>
            <w:r w:rsidRPr="004B3EF9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t>ապրանքների ու տրանսպորտային միջոց</w:t>
            </w:r>
            <w:r w:rsidRPr="004B3EF9">
              <w:rPr>
                <w:rFonts w:ascii="GHEA Grapalat" w:hAnsi="GHEA Grapalat" w:cs="Sylfaen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 xml:space="preserve">ների մաքսային զննման միջոցով 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ռիսկերի նվազեցման միջոցա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ռում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 իրականացնելու անհրաժեշտու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թյունը: Միաժա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մանակ, այդ պրոֆիլների հիման վրա, եթե չկա երկու միջոցա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ռում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ները միա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ժա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մա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նակ իրականացնելու անհրաժեշտություն, ապա նախատեսել, որ իրակա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նաց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վում է միայն այն միջոցառումը, որի համար հսկողության ակտում ձևավորվել են համա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պա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տասխան ցուցում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softHyphen/>
              <w:t>ներ:</w:t>
            </w:r>
          </w:p>
          <w:p w:rsidR="001A05EB" w:rsidRPr="004B3EF9" w:rsidRDefault="001A05EB" w:rsidP="004B3EF9">
            <w:pPr>
              <w:tabs>
                <w:tab w:val="left" w:pos="350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Pr="004B3EF9" w:rsidRDefault="005241AB" w:rsidP="004B3EF9">
            <w:pPr>
              <w:spacing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Ընդունվել է: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7C" w:rsidRPr="004B3EF9" w:rsidRDefault="005241AB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Կատարվել են համապատասխան փոփոխություններ:</w:t>
            </w:r>
          </w:p>
        </w:tc>
      </w:tr>
      <w:tr w:rsidR="00C36AF0" w:rsidRPr="004B3EF9" w:rsidTr="008209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AF0" w:rsidRPr="004B3EF9" w:rsidRDefault="00C36AF0" w:rsidP="004B3EF9">
            <w:pPr>
              <w:pStyle w:val="ListParagraph"/>
              <w:numPr>
                <w:ilvl w:val="0"/>
                <w:numId w:val="36"/>
              </w:numPr>
              <w:spacing w:after="0"/>
              <w:ind w:left="29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C75" w:rsidRPr="004B3EF9" w:rsidRDefault="00E025EC" w:rsidP="004B3EF9">
            <w:pPr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ՀՀ էկոնոմիկայի նախարարություն</w:t>
            </w:r>
          </w:p>
          <w:p w:rsidR="00E025EC" w:rsidRPr="004B3EF9" w:rsidRDefault="00E025EC" w:rsidP="004B3EF9">
            <w:pPr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(աշխատանքային կարգով)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AF0" w:rsidRPr="004B3EF9" w:rsidRDefault="00E025EC" w:rsidP="004B3EF9">
            <w:pPr>
              <w:tabs>
                <w:tab w:val="left" w:pos="350"/>
              </w:tabs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Նախագծի վերաբերյալ առարկություններ չունեն: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AF0" w:rsidRPr="004B3EF9" w:rsidRDefault="00E025EC" w:rsidP="004B3EF9">
            <w:pPr>
              <w:spacing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B3EF9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AF0" w:rsidRPr="004B3EF9" w:rsidRDefault="00C36AF0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</w:tr>
      <w:tr w:rsidR="0045667A" w:rsidRPr="001C380E" w:rsidTr="008209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67A" w:rsidRPr="004B3EF9" w:rsidRDefault="0045667A" w:rsidP="004B3EF9">
            <w:pPr>
              <w:pStyle w:val="ListParagraph"/>
              <w:numPr>
                <w:ilvl w:val="0"/>
                <w:numId w:val="36"/>
              </w:numPr>
              <w:spacing w:after="0"/>
              <w:ind w:left="29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C57" w:rsidRPr="004B3EF9" w:rsidRDefault="004B3EF9" w:rsidP="00F67704">
            <w:pPr>
              <w:spacing w:after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7A" w:rsidRPr="004B3EF9" w:rsidRDefault="004B3EF9" w:rsidP="004B3EF9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«Մաքսային հսկողության օբյեկտների, ձևերի և (կամ) միջոցների ընտրության ժամանակ ռիսկերի կառավարման համակարգի օգտագործման և մաքսային մարմինների կողմից մաքսային հսկողության ձևերի և միջոցների կիրառման </w:t>
            </w:r>
            <w:r w:rsidRPr="004B3EF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ուղեցույցը հաստատելու մասին և Հայաստանի Հանրապետության կառավարության 2001 թվականի մարտի 24-ի № 236 որոշումն ուժը կորցրած ճանաչելու մասին» ՀՀ կառավարության որոշման նախագծի հավելվածի 3-րդ կետը կարծում ենք լրամշակման կարիք ունի, մասնավորապես ռիսկի պրոֆիլ հասկացությունը պայմանագրի (Օրենսգրքի) 376-րդ հոդվածով մեկնաբանվում է որպես միջոցների վերաբերյալ տեղեկությունների ամբողջություն, իսկ նախագծի 3-րդ կետում այն դիտարկվում է որպես ռիսկերի նվազեցման միջոցառումների իրականացման ցուցումների և ռիսկի գործողության ժամկետի ամբողջություն: Այս առումով անհրաժեշտ է անհամապատասխանությունը վերացնել, հաշվի առնելով նախագծի 4-րդ կետը, այն է՝ &lt;&lt;Սույն հավելվածի մեջ կիրառվող հասկացությունները մեկնաբանվում են Օրենսգրքով սահմանված իմաստներով&gt;&gt;։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7A" w:rsidRPr="004B3EF9" w:rsidRDefault="004B3EF9" w:rsidP="004B3EF9">
            <w:pPr>
              <w:spacing w:after="0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 w:rsidRPr="004B3EF9">
              <w:rPr>
                <w:rFonts w:ascii="GHEA Grapalat" w:hAnsi="GHEA Grapalat" w:cs="Sylfaen"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 w:rsidRPr="004B3EF9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67A" w:rsidRPr="004B3EF9" w:rsidRDefault="004B3EF9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Նախագծի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3-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րդ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կետը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լրամշակվել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է՝</w:t>
            </w: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համապատասխանեցվել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en-GB"/>
              </w:rPr>
              <w:t>է</w:t>
            </w: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Եվրասիական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տնտեսական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միության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մաքսային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օրենսգրքի</w:t>
            </w:r>
            <w:proofErr w:type="spellEnd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376-րդ </w:t>
            </w:r>
            <w:proofErr w:type="spellStart"/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հոդվածին</w:t>
            </w:r>
            <w:proofErr w:type="spellEnd"/>
            <w:r w:rsidRPr="004B3EF9">
              <w:rPr>
                <w:rFonts w:cs="Calibri"/>
                <w:bCs/>
                <w:sz w:val="20"/>
                <w:szCs w:val="20"/>
                <w:lang w:val="fr-FR"/>
              </w:rPr>
              <w:t> </w:t>
            </w:r>
            <w:r w:rsidRPr="004B3EF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</w:tc>
      </w:tr>
      <w:tr w:rsidR="008F0736" w:rsidRPr="001C380E" w:rsidTr="008209D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736" w:rsidRPr="004B3EF9" w:rsidRDefault="008F0736" w:rsidP="004B3EF9">
            <w:pPr>
              <w:pStyle w:val="ListParagraph"/>
              <w:numPr>
                <w:ilvl w:val="0"/>
                <w:numId w:val="36"/>
              </w:numPr>
              <w:spacing w:after="0"/>
              <w:ind w:left="29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36" w:rsidRPr="004D34F7" w:rsidRDefault="008F0736" w:rsidP="008F0736">
            <w:pPr>
              <w:spacing w:after="0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D34F7">
              <w:rPr>
                <w:rFonts w:ascii="GHEA Grapalat" w:hAnsi="GHEA Grapalat" w:cs="Sylfaen"/>
                <w:bCs/>
                <w:lang w:val="hy-AM"/>
              </w:rPr>
              <w:t>ՀՀ արդարադատության նախարարություն</w:t>
            </w:r>
          </w:p>
          <w:p w:rsidR="008F0736" w:rsidRPr="004B3EF9" w:rsidRDefault="008F0736" w:rsidP="008F0736">
            <w:pPr>
              <w:spacing w:after="0"/>
              <w:ind w:firstLine="567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36" w:rsidRP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1.Նախագծի 1-ին կետում «կիրառության բառն անհրաժեշտ է փոխարինել «կիրառման բառով՝ նկատի ունենալով նախագծի վերնագրի պահանջը: Սույն դիտողությունը բխում է  «Նորմատիվ իրավական ակտերի մասին ՀՀ օրենքի 12-րդ հոդվածի պահանջներից:</w:t>
            </w:r>
          </w:p>
          <w:p w:rsidR="008F0736" w:rsidRP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2.Նախագծի հավելվածի 4-րդ կետում «հասկացությունները բառից առաջ անհրաժեշտ է լրացնել «այլ բառը՝ նկատի ունենալով, որ հավելվածի 2-րդ և 3-րդ կետերում սահմանված են «մաքսային հսկողության և «ռիսկի պրոֆիլ հասկացությունները:</w:t>
            </w:r>
          </w:p>
          <w:p w:rsid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3.Նախագծի հավելվածում առկա է երկու «IV գլուխ, ուստի անհրաժեշտ է վերանայել հավելվածի գլուխների համարակալումը՝ համաձայն «Նորմատիվ իրավական ակտերի մասին ՀՀ օրենքի 14-րդ հոդվածի պահանջների:</w:t>
            </w:r>
          </w:p>
          <w:p w:rsidR="0024285C" w:rsidRDefault="0024285C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67704" w:rsidRDefault="00F67704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67704" w:rsidRPr="008F0736" w:rsidRDefault="00F67704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8F0736" w:rsidRPr="000F21C5" w:rsidRDefault="00B65FD9" w:rsidP="00B65FD9">
            <w:pPr>
              <w:pStyle w:val="ListParagraph"/>
              <w:widowControl w:val="0"/>
              <w:spacing w:after="0"/>
              <w:ind w:left="175" w:firstLine="284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65FD9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4.</w:t>
            </w:r>
            <w:r w:rsidR="008F0736" w:rsidRPr="000F21C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Հավելվածի երկրորդ IV գլխի 56-րդ կետում անհրաժեշտ է հստակեցնել, թե ինչ այլ հիմքերի և հիմնավորումների մասին է խոսքը:</w:t>
            </w: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Pr="000F21C5" w:rsidRDefault="000F21C5" w:rsidP="000F21C5">
            <w:pPr>
              <w:widowControl w:val="0"/>
              <w:tabs>
                <w:tab w:val="left" w:pos="260"/>
              </w:tabs>
              <w:spacing w:after="0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8209DD" w:rsidRDefault="008209D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8209DD" w:rsidRDefault="008209D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BF116C" w:rsidRDefault="00BF116C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25279" w:rsidRDefault="00F25279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F25279" w:rsidRDefault="00F25279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532E47" w:rsidRDefault="00532E47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532E47" w:rsidRDefault="00532E47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532E47" w:rsidRDefault="00532E47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532E47" w:rsidRDefault="00532E47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BF116C" w:rsidRDefault="00BF116C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32706D" w:rsidRDefault="0032706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32706D" w:rsidRDefault="0032706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32706D" w:rsidRDefault="0032706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32706D" w:rsidRDefault="0032706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32706D" w:rsidRDefault="0032706D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482A51" w:rsidRDefault="00482A51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5.Նախագծին կից անհրաժեշտ է ներկայացնել նախագծ</w:t>
            </w:r>
            <w:r w:rsidR="000F21C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ի հիմնավորումը՝ համաձայն </w:t>
            </w: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«Նորմատիվ իրավական ակտերի մասին ՀՀ օրենքի 6-րդ հոդվածի պահանջների:</w:t>
            </w:r>
          </w:p>
          <w:p w:rsidR="000F21C5" w:rsidRDefault="000F21C5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0F21C5" w:rsidRDefault="000F21C5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BF116C" w:rsidRPr="008F0736" w:rsidRDefault="00BF116C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8F0736" w:rsidRP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F073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6. Նախագիծն անհրաժեշտ է համաձայնեցնել շահագրգիռ մարմինների հետ:</w:t>
            </w:r>
          </w:p>
          <w:p w:rsidR="008F0736" w:rsidRPr="008F0736" w:rsidRDefault="008F0736" w:rsidP="008F0736">
            <w:pPr>
              <w:widowControl w:val="0"/>
              <w:tabs>
                <w:tab w:val="left" w:pos="260"/>
              </w:tabs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36" w:rsidRDefault="008F0736" w:rsidP="004B3EF9">
            <w:pPr>
              <w:spacing w:after="0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</w:t>
            </w:r>
            <w:r>
              <w:rPr>
                <w:rFonts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8F0736" w:rsidRPr="008F0736" w:rsidRDefault="008F0736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F0736" w:rsidRPr="008F0736" w:rsidRDefault="008F0736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F0736" w:rsidRDefault="008F0736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F0736" w:rsidRPr="00AB209D" w:rsidRDefault="008209D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 w:rsidRPr="00AB209D">
              <w:rPr>
                <w:rFonts w:ascii="GHEA Grapalat" w:hAnsi="GHEA Grapalat" w:cs="Sylfaen"/>
                <w:sz w:val="20"/>
                <w:szCs w:val="20"/>
                <w:lang w:val="fr-FR"/>
              </w:rPr>
              <w:t>Ընդունվել</w:t>
            </w:r>
            <w:proofErr w:type="spellEnd"/>
            <w:r w:rsidRPr="00AB209D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</w:t>
            </w:r>
            <w:r w:rsidRPr="00AB209D">
              <w:rPr>
                <w:rFonts w:cs="Calibri"/>
                <w:sz w:val="20"/>
                <w:szCs w:val="20"/>
                <w:lang w:val="fr-FR"/>
              </w:rPr>
              <w:t> </w:t>
            </w:r>
            <w:r w:rsidRPr="00AB209D"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8F0736" w:rsidRDefault="008F0736" w:rsidP="008F0736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fr-FR"/>
              </w:rPr>
            </w:pPr>
          </w:p>
          <w:p w:rsidR="008F0736" w:rsidRDefault="008F0736" w:rsidP="008F0736">
            <w:pPr>
              <w:rPr>
                <w:rFonts w:ascii="GHEA Grapalat" w:hAnsi="GHEA Grapalat" w:cs="Sylfaen"/>
                <w:color w:val="FF0000"/>
                <w:sz w:val="20"/>
                <w:szCs w:val="20"/>
                <w:lang w:val="fr-FR"/>
              </w:rPr>
            </w:pPr>
          </w:p>
          <w:p w:rsidR="008F0736" w:rsidRDefault="008F0736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</w:t>
            </w:r>
            <w:r>
              <w:rPr>
                <w:rFonts w:cs="Calibri"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F67704" w:rsidRDefault="00F67704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B65FD9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209DD" w:rsidRDefault="008209D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BF116C" w:rsidRDefault="00BF116C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F25279" w:rsidRDefault="00F25279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532E47" w:rsidRDefault="00532E47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532E47" w:rsidRDefault="00532E47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32706D" w:rsidRDefault="0032706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32706D" w:rsidRDefault="0032706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32706D" w:rsidRDefault="0032706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82A51" w:rsidRDefault="00482A51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470FD3" w:rsidRDefault="00470FD3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</w:t>
            </w:r>
            <w:r>
              <w:rPr>
                <w:rFonts w:cs="Calibri"/>
                <w:sz w:val="20"/>
                <w:szCs w:val="20"/>
                <w:lang w:val="fr-FR"/>
              </w:rPr>
              <w:t> </w:t>
            </w:r>
            <w:r w:rsidR="00B65FD9">
              <w:rPr>
                <w:rFonts w:ascii="Arial" w:hAnsi="Arial" w:cs="Arial"/>
                <w:sz w:val="20"/>
                <w:szCs w:val="20"/>
                <w:lang w:val="fr-FR"/>
              </w:rPr>
              <w:t xml:space="preserve">ի </w:t>
            </w:r>
            <w:proofErr w:type="spellStart"/>
            <w:r w:rsidR="00B65FD9">
              <w:rPr>
                <w:rFonts w:ascii="Arial" w:hAnsi="Arial" w:cs="Arial"/>
                <w:sz w:val="20"/>
                <w:szCs w:val="20"/>
                <w:lang w:val="fr-FR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0F21C5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8209DD" w:rsidRDefault="008209DD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0F21C5" w:rsidRPr="008F0736" w:rsidRDefault="000F21C5" w:rsidP="008F0736">
            <w:pPr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Ընդուվել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Կատարվել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8F0736" w:rsidRDefault="008209DD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8F0736" w:rsidRDefault="008F0736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0F21C5" w:rsidRDefault="000F21C5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24285C" w:rsidRDefault="0024285C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F67704" w:rsidRDefault="00F67704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32706D" w:rsidRDefault="000F21C5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4285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լրամշակված</w:t>
            </w:r>
            <w:proofErr w:type="spellEnd"/>
            <w:r w:rsidR="0024285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24285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տարբերակի</w:t>
            </w:r>
            <w:proofErr w:type="spellEnd"/>
            <w:r w:rsidR="0024285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V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գլխի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22-րդ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կետի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56-րդ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ենթակետով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սահմանված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կարգավորումը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նախատեսում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հնարավորություն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մաքսային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մարմնի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համար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նույն</w:t>
            </w:r>
            <w:proofErr w:type="spellEnd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կետով</w:t>
            </w:r>
            <w:proofErr w:type="spellEnd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սա</w:t>
            </w:r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հմանված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հիմքերից</w:t>
            </w:r>
            <w:proofErr w:type="spellEnd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տարբերվող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հնարավոր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այլ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հիմք</w:t>
            </w:r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եր</w:t>
            </w:r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ի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առկայության</w:t>
            </w:r>
            <w:proofErr w:type="spellEnd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դեպքում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Նախագծով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նախատեսված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հսկողության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ակտում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ինքուրույն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լրացնել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 w:rsidR="00BF116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կոնկրետ</w:t>
            </w:r>
            <w:proofErr w:type="spellEnd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հիմք</w:t>
            </w:r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ի</w:t>
            </w:r>
            <w:proofErr w:type="spellEnd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վերա</w:t>
            </w:r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softHyphen/>
              <w:t>բեր</w:t>
            </w:r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softHyphen/>
              <w:t>յալ</w:t>
            </w:r>
            <w:proofErr w:type="spellEnd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տեղեկատ</w:t>
            </w:r>
            <w:r w:rsidR="00532E47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softHyphen/>
              <w:t>վություն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առկա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ցուցումներին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համապատասխան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իրականացնել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մաքսային</w:t>
            </w:r>
            <w:proofErr w:type="spellEnd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F25279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հսկողություն</w:t>
            </w:r>
            <w:proofErr w:type="spellEnd"/>
            <w:r w:rsidR="008209D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  <w:r w:rsidR="0032706D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</w:p>
          <w:p w:rsidR="000F21C5" w:rsidRDefault="0032706D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Մյուս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հայտնում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նախատեսվող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կարգավորումների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կիրարկման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ճկունությունը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ապահովելու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նպատակով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82A5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ենք</w:t>
            </w:r>
            <w:proofErr w:type="spellEnd"/>
            <w:r w:rsidR="00482A5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82A51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համարում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նշված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կարգավորման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առկայությունը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հաշվի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մաքսային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հսկողության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ընթացակարգերի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ընտրության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lastRenderedPageBreak/>
              <w:t>(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փոփոխության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հիմքերի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սպառիչ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ցանկ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սահմանել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գործնականում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հնարավոր</w:t>
            </w:r>
            <w:proofErr w:type="spellEnd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չէ</w:t>
            </w:r>
            <w:proofErr w:type="spellEnd"/>
            <w:r>
              <w:rPr>
                <w:rFonts w:cs="Calibri"/>
                <w:bCs/>
                <w:sz w:val="20"/>
                <w:szCs w:val="20"/>
                <w:lang w:val="fr-FR"/>
              </w:rPr>
              <w:t> 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:</w:t>
            </w:r>
          </w:p>
          <w:p w:rsidR="008209DD" w:rsidRDefault="008209DD" w:rsidP="004B3EF9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  <w:p w:rsidR="000F21C5" w:rsidRPr="008F0736" w:rsidRDefault="000F21C5" w:rsidP="008209DD">
            <w:pPr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bookmarkStart w:id="0" w:name="_GoBack"/>
            <w:bookmarkEnd w:id="0"/>
          </w:p>
        </w:tc>
      </w:tr>
    </w:tbl>
    <w:p w:rsidR="00AB4B17" w:rsidRPr="004B3EF9" w:rsidRDefault="00AB4B17" w:rsidP="004B3EF9">
      <w:pPr>
        <w:rPr>
          <w:rFonts w:ascii="GHEA Grapalat" w:hAnsi="GHEA Grapalat"/>
          <w:sz w:val="20"/>
          <w:szCs w:val="20"/>
          <w:lang w:val="hy-AM"/>
        </w:rPr>
      </w:pPr>
    </w:p>
    <w:sectPr w:rsidR="00AB4B17" w:rsidRPr="004B3EF9" w:rsidSect="00D1644B">
      <w:pgSz w:w="15840" w:h="12240" w:orient="landscape"/>
      <w:pgMar w:top="810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B5D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D3566"/>
    <w:multiLevelType w:val="hybridMultilevel"/>
    <w:tmpl w:val="A60A6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B0C6B"/>
    <w:multiLevelType w:val="hybridMultilevel"/>
    <w:tmpl w:val="64A8EB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DC2A3C"/>
    <w:multiLevelType w:val="hybridMultilevel"/>
    <w:tmpl w:val="EB80210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58B4487"/>
    <w:multiLevelType w:val="hybridMultilevel"/>
    <w:tmpl w:val="0512F906"/>
    <w:lvl w:ilvl="0" w:tplc="24D8C8A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42FFB"/>
    <w:multiLevelType w:val="hybridMultilevel"/>
    <w:tmpl w:val="FDDEB2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A41D7"/>
    <w:multiLevelType w:val="hybridMultilevel"/>
    <w:tmpl w:val="00FE7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B7B72"/>
    <w:multiLevelType w:val="hybridMultilevel"/>
    <w:tmpl w:val="A232D956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F2660"/>
    <w:multiLevelType w:val="hybridMultilevel"/>
    <w:tmpl w:val="67301612"/>
    <w:lvl w:ilvl="0" w:tplc="367EF02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1F6A69CF"/>
    <w:multiLevelType w:val="hybridMultilevel"/>
    <w:tmpl w:val="2A48535A"/>
    <w:lvl w:ilvl="0" w:tplc="50D8E9EA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0" w15:restartNumberingAfterBreak="0">
    <w:nsid w:val="22141F9C"/>
    <w:multiLevelType w:val="hybridMultilevel"/>
    <w:tmpl w:val="3A6C8F1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53228"/>
    <w:multiLevelType w:val="hybridMultilevel"/>
    <w:tmpl w:val="B7606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B7835"/>
    <w:multiLevelType w:val="hybridMultilevel"/>
    <w:tmpl w:val="A6C8B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E1A91"/>
    <w:multiLevelType w:val="hybridMultilevel"/>
    <w:tmpl w:val="4AF2A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E48"/>
    <w:multiLevelType w:val="hybridMultilevel"/>
    <w:tmpl w:val="B28C55B8"/>
    <w:lvl w:ilvl="0" w:tplc="6B680178"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DB2222A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02636"/>
    <w:multiLevelType w:val="hybridMultilevel"/>
    <w:tmpl w:val="3442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552FC"/>
    <w:multiLevelType w:val="hybridMultilevel"/>
    <w:tmpl w:val="A9F23576"/>
    <w:lvl w:ilvl="0" w:tplc="10C8417E">
      <w:start w:val="1"/>
      <w:numFmt w:val="decimal"/>
      <w:lvlText w:val="%1."/>
      <w:lvlJc w:val="left"/>
      <w:pPr>
        <w:ind w:left="1527" w:hanging="9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7CF26EC"/>
    <w:multiLevelType w:val="hybridMultilevel"/>
    <w:tmpl w:val="18AA9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D1A21"/>
    <w:multiLevelType w:val="hybridMultilevel"/>
    <w:tmpl w:val="3D6E1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87BCB"/>
    <w:multiLevelType w:val="hybridMultilevel"/>
    <w:tmpl w:val="DBFCE8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A02D0"/>
    <w:multiLevelType w:val="hybridMultilevel"/>
    <w:tmpl w:val="524A67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849305A"/>
    <w:multiLevelType w:val="hybridMultilevel"/>
    <w:tmpl w:val="3A289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B60437"/>
    <w:multiLevelType w:val="hybridMultilevel"/>
    <w:tmpl w:val="C174F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8B5EBF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60C54"/>
    <w:multiLevelType w:val="hybridMultilevel"/>
    <w:tmpl w:val="589249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F50B8"/>
    <w:multiLevelType w:val="hybridMultilevel"/>
    <w:tmpl w:val="66C86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A710F"/>
    <w:multiLevelType w:val="hybridMultilevel"/>
    <w:tmpl w:val="C7882C52"/>
    <w:lvl w:ilvl="0" w:tplc="A70E68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D36047"/>
    <w:multiLevelType w:val="hybridMultilevel"/>
    <w:tmpl w:val="8B2A583C"/>
    <w:lvl w:ilvl="0" w:tplc="B8726906">
      <w:start w:val="1"/>
      <w:numFmt w:val="decimal"/>
      <w:lvlText w:val="%1."/>
      <w:lvlJc w:val="left"/>
      <w:pPr>
        <w:ind w:left="977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6D342A4C"/>
    <w:multiLevelType w:val="hybridMultilevel"/>
    <w:tmpl w:val="0B18ED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CD1B05"/>
    <w:multiLevelType w:val="hybridMultilevel"/>
    <w:tmpl w:val="171E3EA2"/>
    <w:lvl w:ilvl="0" w:tplc="4E8A90BC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1" w15:restartNumberingAfterBreak="0">
    <w:nsid w:val="749C66A1"/>
    <w:multiLevelType w:val="hybridMultilevel"/>
    <w:tmpl w:val="EB9204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7D6690"/>
    <w:multiLevelType w:val="hybridMultilevel"/>
    <w:tmpl w:val="9EC0A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B13F52"/>
    <w:multiLevelType w:val="hybridMultilevel"/>
    <w:tmpl w:val="DBC82A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1F4F53"/>
    <w:multiLevelType w:val="hybridMultilevel"/>
    <w:tmpl w:val="DE527826"/>
    <w:lvl w:ilvl="0" w:tplc="E5F81188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7AE45223"/>
    <w:multiLevelType w:val="hybridMultilevel"/>
    <w:tmpl w:val="FFA06962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7F6F1E4C"/>
    <w:multiLevelType w:val="hybridMultilevel"/>
    <w:tmpl w:val="D63EB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28"/>
  </w:num>
  <w:num w:numId="4">
    <w:abstractNumId w:val="22"/>
  </w:num>
  <w:num w:numId="5">
    <w:abstractNumId w:val="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"/>
  </w:num>
  <w:num w:numId="9">
    <w:abstractNumId w:val="29"/>
  </w:num>
  <w:num w:numId="10">
    <w:abstractNumId w:val="21"/>
  </w:num>
  <w:num w:numId="11">
    <w:abstractNumId w:val="9"/>
  </w:num>
  <w:num w:numId="12">
    <w:abstractNumId w:val="11"/>
  </w:num>
  <w:num w:numId="13">
    <w:abstractNumId w:val="5"/>
  </w:num>
  <w:num w:numId="14">
    <w:abstractNumId w:val="30"/>
  </w:num>
  <w:num w:numId="15">
    <w:abstractNumId w:val="18"/>
  </w:num>
  <w:num w:numId="16">
    <w:abstractNumId w:val="0"/>
  </w:num>
  <w:num w:numId="17">
    <w:abstractNumId w:val="4"/>
  </w:num>
  <w:num w:numId="18">
    <w:abstractNumId w:val="27"/>
  </w:num>
  <w:num w:numId="19">
    <w:abstractNumId w:val="20"/>
  </w:num>
  <w:num w:numId="20">
    <w:abstractNumId w:val="34"/>
  </w:num>
  <w:num w:numId="21">
    <w:abstractNumId w:val="19"/>
  </w:num>
  <w:num w:numId="22">
    <w:abstractNumId w:val="24"/>
  </w:num>
  <w:num w:numId="23">
    <w:abstractNumId w:val="33"/>
  </w:num>
  <w:num w:numId="24">
    <w:abstractNumId w:val="25"/>
  </w:num>
  <w:num w:numId="25">
    <w:abstractNumId w:val="1"/>
  </w:num>
  <w:num w:numId="26">
    <w:abstractNumId w:val="10"/>
  </w:num>
  <w:num w:numId="27">
    <w:abstractNumId w:val="15"/>
  </w:num>
  <w:num w:numId="28">
    <w:abstractNumId w:val="36"/>
  </w:num>
  <w:num w:numId="29">
    <w:abstractNumId w:val="17"/>
  </w:num>
  <w:num w:numId="30">
    <w:abstractNumId w:val="12"/>
  </w:num>
  <w:num w:numId="31">
    <w:abstractNumId w:val="32"/>
  </w:num>
  <w:num w:numId="32">
    <w:abstractNumId w:val="26"/>
  </w:num>
  <w:num w:numId="33">
    <w:abstractNumId w:val="8"/>
  </w:num>
  <w:num w:numId="34">
    <w:abstractNumId w:val="16"/>
  </w:num>
  <w:num w:numId="35">
    <w:abstractNumId w:val="7"/>
  </w:num>
  <w:num w:numId="36">
    <w:abstractNumId w:val="31"/>
  </w:num>
  <w:num w:numId="37">
    <w:abstractNumId w:val="23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85"/>
    <w:rsid w:val="00005E23"/>
    <w:rsid w:val="00010D10"/>
    <w:rsid w:val="00027F61"/>
    <w:rsid w:val="00060C6C"/>
    <w:rsid w:val="000617C5"/>
    <w:rsid w:val="00067EAA"/>
    <w:rsid w:val="00082DAD"/>
    <w:rsid w:val="000935A6"/>
    <w:rsid w:val="000B0D7D"/>
    <w:rsid w:val="000D2353"/>
    <w:rsid w:val="000E532D"/>
    <w:rsid w:val="000F142F"/>
    <w:rsid w:val="000F21C5"/>
    <w:rsid w:val="00125FD4"/>
    <w:rsid w:val="00187E39"/>
    <w:rsid w:val="00192DE5"/>
    <w:rsid w:val="001A05EB"/>
    <w:rsid w:val="001B7D12"/>
    <w:rsid w:val="001C380E"/>
    <w:rsid w:val="001C52D4"/>
    <w:rsid w:val="0024285C"/>
    <w:rsid w:val="002623DD"/>
    <w:rsid w:val="002667F1"/>
    <w:rsid w:val="002762EC"/>
    <w:rsid w:val="00277BF3"/>
    <w:rsid w:val="00284C20"/>
    <w:rsid w:val="002C648F"/>
    <w:rsid w:val="002E7CFE"/>
    <w:rsid w:val="00316DD6"/>
    <w:rsid w:val="00324640"/>
    <w:rsid w:val="0032706D"/>
    <w:rsid w:val="0035031D"/>
    <w:rsid w:val="0038163A"/>
    <w:rsid w:val="003A45FD"/>
    <w:rsid w:val="003C1719"/>
    <w:rsid w:val="003D6BF3"/>
    <w:rsid w:val="00410745"/>
    <w:rsid w:val="00415237"/>
    <w:rsid w:val="00444C0A"/>
    <w:rsid w:val="00452408"/>
    <w:rsid w:val="0045667A"/>
    <w:rsid w:val="00457733"/>
    <w:rsid w:val="004635B2"/>
    <w:rsid w:val="00470FD3"/>
    <w:rsid w:val="00472CD0"/>
    <w:rsid w:val="004759CC"/>
    <w:rsid w:val="0048295F"/>
    <w:rsid w:val="00482A51"/>
    <w:rsid w:val="00483744"/>
    <w:rsid w:val="004933A1"/>
    <w:rsid w:val="004A0C57"/>
    <w:rsid w:val="004B3EF9"/>
    <w:rsid w:val="004C3D5A"/>
    <w:rsid w:val="00500466"/>
    <w:rsid w:val="005025E1"/>
    <w:rsid w:val="005241AB"/>
    <w:rsid w:val="005268E9"/>
    <w:rsid w:val="00532E47"/>
    <w:rsid w:val="00543BCD"/>
    <w:rsid w:val="00565445"/>
    <w:rsid w:val="00565869"/>
    <w:rsid w:val="005811D8"/>
    <w:rsid w:val="005A5A49"/>
    <w:rsid w:val="005B76C3"/>
    <w:rsid w:val="005C4C75"/>
    <w:rsid w:val="00605339"/>
    <w:rsid w:val="00617F22"/>
    <w:rsid w:val="00662AA1"/>
    <w:rsid w:val="00664AAA"/>
    <w:rsid w:val="006705E0"/>
    <w:rsid w:val="006872C9"/>
    <w:rsid w:val="006A1D70"/>
    <w:rsid w:val="006A4397"/>
    <w:rsid w:val="006B10C4"/>
    <w:rsid w:val="006B1340"/>
    <w:rsid w:val="006B53D4"/>
    <w:rsid w:val="006C637F"/>
    <w:rsid w:val="006F1D11"/>
    <w:rsid w:val="00704C41"/>
    <w:rsid w:val="0070540C"/>
    <w:rsid w:val="00713FE4"/>
    <w:rsid w:val="0072418B"/>
    <w:rsid w:val="00762F8D"/>
    <w:rsid w:val="00783AA5"/>
    <w:rsid w:val="00797D12"/>
    <w:rsid w:val="007C6D56"/>
    <w:rsid w:val="007D393A"/>
    <w:rsid w:val="008026E5"/>
    <w:rsid w:val="008209DD"/>
    <w:rsid w:val="00822425"/>
    <w:rsid w:val="0082665C"/>
    <w:rsid w:val="00834210"/>
    <w:rsid w:val="008450DA"/>
    <w:rsid w:val="008601B2"/>
    <w:rsid w:val="00861BC5"/>
    <w:rsid w:val="008632D3"/>
    <w:rsid w:val="008761C2"/>
    <w:rsid w:val="008D2748"/>
    <w:rsid w:val="008D6580"/>
    <w:rsid w:val="008F0736"/>
    <w:rsid w:val="008F28F0"/>
    <w:rsid w:val="00902BF1"/>
    <w:rsid w:val="00915207"/>
    <w:rsid w:val="00917166"/>
    <w:rsid w:val="00922F01"/>
    <w:rsid w:val="00925CB1"/>
    <w:rsid w:val="009267B8"/>
    <w:rsid w:val="009274D3"/>
    <w:rsid w:val="00944D83"/>
    <w:rsid w:val="00962DC2"/>
    <w:rsid w:val="0097554C"/>
    <w:rsid w:val="00987DE4"/>
    <w:rsid w:val="009917F7"/>
    <w:rsid w:val="00993832"/>
    <w:rsid w:val="00994C8A"/>
    <w:rsid w:val="00996085"/>
    <w:rsid w:val="009A34C0"/>
    <w:rsid w:val="009C570D"/>
    <w:rsid w:val="009F04C5"/>
    <w:rsid w:val="009F2DB2"/>
    <w:rsid w:val="009F5A39"/>
    <w:rsid w:val="00A2685A"/>
    <w:rsid w:val="00A629B3"/>
    <w:rsid w:val="00A81F98"/>
    <w:rsid w:val="00AB0EAA"/>
    <w:rsid w:val="00AB209D"/>
    <w:rsid w:val="00AB2470"/>
    <w:rsid w:val="00AB4B17"/>
    <w:rsid w:val="00AC1442"/>
    <w:rsid w:val="00AC1FB1"/>
    <w:rsid w:val="00B02909"/>
    <w:rsid w:val="00B06A35"/>
    <w:rsid w:val="00B16959"/>
    <w:rsid w:val="00B227CC"/>
    <w:rsid w:val="00B3074F"/>
    <w:rsid w:val="00B65FD9"/>
    <w:rsid w:val="00B71C07"/>
    <w:rsid w:val="00B91772"/>
    <w:rsid w:val="00BB5DF0"/>
    <w:rsid w:val="00BD2C27"/>
    <w:rsid w:val="00BF116C"/>
    <w:rsid w:val="00C16C26"/>
    <w:rsid w:val="00C273CC"/>
    <w:rsid w:val="00C36AF0"/>
    <w:rsid w:val="00C50BAF"/>
    <w:rsid w:val="00C64D8D"/>
    <w:rsid w:val="00C7231F"/>
    <w:rsid w:val="00C91920"/>
    <w:rsid w:val="00CB3A63"/>
    <w:rsid w:val="00CC49D1"/>
    <w:rsid w:val="00CF0F64"/>
    <w:rsid w:val="00D1644B"/>
    <w:rsid w:val="00D42992"/>
    <w:rsid w:val="00D6465E"/>
    <w:rsid w:val="00D77958"/>
    <w:rsid w:val="00D838C8"/>
    <w:rsid w:val="00D910FB"/>
    <w:rsid w:val="00DA4CEF"/>
    <w:rsid w:val="00DE1F46"/>
    <w:rsid w:val="00E02475"/>
    <w:rsid w:val="00E025EC"/>
    <w:rsid w:val="00E06EA8"/>
    <w:rsid w:val="00E250B9"/>
    <w:rsid w:val="00E43C5E"/>
    <w:rsid w:val="00E622B4"/>
    <w:rsid w:val="00E62BDE"/>
    <w:rsid w:val="00E7060F"/>
    <w:rsid w:val="00E80FC2"/>
    <w:rsid w:val="00EA7FC2"/>
    <w:rsid w:val="00EB65EF"/>
    <w:rsid w:val="00F05E7C"/>
    <w:rsid w:val="00F10179"/>
    <w:rsid w:val="00F22B56"/>
    <w:rsid w:val="00F25279"/>
    <w:rsid w:val="00F45B7C"/>
    <w:rsid w:val="00F60D86"/>
    <w:rsid w:val="00F67704"/>
    <w:rsid w:val="00F95DF4"/>
    <w:rsid w:val="00FA77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6EAE2-91A7-4690-A9C3-4BF00CD2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37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rsid w:val="000D23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qFormat/>
    <w:rsid w:val="000D235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25FD4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B5DF0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B5DF0"/>
    <w:pPr>
      <w:ind w:left="720"/>
      <w:contextualSpacing/>
    </w:pPr>
    <w:rPr>
      <w:rFonts w:eastAsia="Calibri"/>
    </w:rPr>
  </w:style>
  <w:style w:type="character" w:styleId="Hyperlink">
    <w:name w:val="Hyperlink"/>
    <w:uiPriority w:val="99"/>
    <w:unhideWhenUsed/>
    <w:rsid w:val="00BB5DF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B5DF0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5D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B5DF0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5DF0"/>
    <w:rPr>
      <w:rFonts w:ascii="Tahoma" w:eastAsia="Times New Roman" w:hAnsi="Tahoma" w:cs="Tahoma"/>
      <w:sz w:val="16"/>
      <w:szCs w:val="16"/>
    </w:rPr>
  </w:style>
  <w:style w:type="character" w:customStyle="1" w:styleId="FontStyle24">
    <w:name w:val="Font Style24"/>
    <w:uiPriority w:val="99"/>
    <w:rsid w:val="00B02909"/>
    <w:rPr>
      <w:rFonts w:ascii="Tahoma" w:hAnsi="Tahoma" w:cs="Tahoma" w:hint="default"/>
      <w:sz w:val="22"/>
      <w:szCs w:val="22"/>
    </w:rPr>
  </w:style>
  <w:style w:type="character" w:customStyle="1" w:styleId="FontStyle25">
    <w:name w:val="Font Style25"/>
    <w:uiPriority w:val="99"/>
    <w:rsid w:val="00B91772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Feliks Melkonyan</dc:creator>
  <cp:keywords>https://mul2.gov.am/tasks/131578/oneclick/LRM-el-post-3_Ampopatert_236_naxagits_01_10_verjin_tarberak.docx?token=9876ccce69dea66271b61b2dfd353213</cp:keywords>
  <cp:lastModifiedBy>Mariam Titizyan</cp:lastModifiedBy>
  <cp:revision>68</cp:revision>
  <cp:lastPrinted>2019-10-01T06:36:00Z</cp:lastPrinted>
  <dcterms:created xsi:type="dcterms:W3CDTF">2019-05-23T10:36:00Z</dcterms:created>
  <dcterms:modified xsi:type="dcterms:W3CDTF">2019-10-01T13:57:00Z</dcterms:modified>
</cp:coreProperties>
</file>