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32" w:rsidRDefault="00371132" w:rsidP="00371132">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371132" w:rsidRDefault="00371132" w:rsidP="00371132">
      <w:pPr>
        <w:pStyle w:val="Footer"/>
        <w:spacing w:line="360" w:lineRule="auto"/>
        <w:jc w:val="center"/>
        <w:rPr>
          <w:rFonts w:ascii="GHEA Grapalat" w:hAnsi="GHEA Grapalat" w:cs="Sylfaen"/>
          <w:b/>
          <w:sz w:val="24"/>
          <w:szCs w:val="24"/>
        </w:rPr>
      </w:pPr>
      <w:r>
        <w:rPr>
          <w:rFonts w:ascii="GHEA Grapalat" w:hAnsi="GHEA Grapalat" w:cs="Sylfaen"/>
          <w:b/>
          <w:sz w:val="24"/>
          <w:szCs w:val="24"/>
        </w:rPr>
        <w:t>«</w:t>
      </w:r>
      <w:r>
        <w:rPr>
          <w:rFonts w:ascii="GHEA Grapalat" w:hAnsi="GHEA Grapalat"/>
        </w:rPr>
        <w:t xml:space="preserve"> </w:t>
      </w:r>
      <w:r>
        <w:rPr>
          <w:rFonts w:ascii="GHEA Grapalat" w:hAnsi="GHEA Grapalat" w:cs="Sylfaen"/>
          <w:b/>
          <w:sz w:val="24"/>
          <w:szCs w:val="24"/>
        </w:rPr>
        <w:t>ՀԱՅԱՍՏԱՆԻ ՀԱՆՐԱՊԵՏՈՒԹՅԱՆ ԿԱՌԱՎԱՐՈՒԹՅԱՆ 2020 ԹՎԱԿԱՆԻ ՄԱՐՏԻ 12-Ի N 287-Ն ՈՐՈՇՄԱՆ ՄԵՋ ՓՈՓՈԽՈՒԹՅՈՒՆՆԵՐ ԵՎ ԼՐԱՑՈՒՄՆԵՐ ԿԱՏԱՐԵԼՈՒ ՄԱՍԻՆ</w:t>
      </w:r>
    </w:p>
    <w:p w:rsidR="00371132" w:rsidRDefault="00371132" w:rsidP="00371132">
      <w:pPr>
        <w:pStyle w:val="Footer"/>
        <w:spacing w:line="360" w:lineRule="auto"/>
        <w:jc w:val="center"/>
        <w:rPr>
          <w:rFonts w:ascii="GHEA Grapalat" w:hAnsi="GHEA Grapalat" w:cs="Sylfaen"/>
          <w:b/>
          <w:sz w:val="24"/>
          <w:szCs w:val="24"/>
          <w:lang w:val="hy-AM"/>
        </w:rPr>
      </w:pPr>
      <w:r>
        <w:rPr>
          <w:rFonts w:ascii="GHEA Grapalat" w:hAnsi="GHEA Grapalat"/>
          <w:b/>
          <w:sz w:val="24"/>
          <w:szCs w:val="24"/>
          <w:lang w:val="hy-AM"/>
        </w:rPr>
        <w:t>ԿԱՌԱՎԱՐՈՒԹՅԱՆ ՈՐՈՇՄԱՆ ՆԱԽԱԳԾԻ</w:t>
      </w:r>
    </w:p>
    <w:tbl>
      <w:tblPr>
        <w:tblStyle w:val="TableGrid"/>
        <w:tblW w:w="15105" w:type="dxa"/>
        <w:jc w:val="center"/>
        <w:tblLook w:val="04A0" w:firstRow="1" w:lastRow="0" w:firstColumn="1" w:lastColumn="0" w:noHBand="0" w:noVBand="1"/>
      </w:tblPr>
      <w:tblGrid>
        <w:gridCol w:w="9630"/>
        <w:gridCol w:w="5475"/>
      </w:tblGrid>
      <w:tr w:rsidR="00371132" w:rsidTr="00371132">
        <w:trPr>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rsidP="00371132">
            <w:pPr>
              <w:pStyle w:val="ListParagraph"/>
              <w:numPr>
                <w:ilvl w:val="0"/>
                <w:numId w:val="32"/>
              </w:numPr>
              <w:spacing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Առողջապահության նախարարություն</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27.06.2025թ</w:t>
            </w:r>
            <w:r>
              <w:rPr>
                <w:rFonts w:ascii="MS Gothic" w:eastAsia="MS Gothic" w:hAnsi="MS Gothic" w:cs="MS Gothic"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թիվ ԱԱ/06.2/20869-2025</w:t>
            </w:r>
          </w:p>
        </w:tc>
      </w:tr>
      <w:tr w:rsidR="00371132" w:rsidTr="00371132">
        <w:trPr>
          <w:trHeight w:val="1949"/>
          <w:jc w:val="center"/>
        </w:trPr>
        <w:tc>
          <w:tcPr>
            <w:tcW w:w="9630" w:type="dxa"/>
            <w:tcBorders>
              <w:top w:val="single" w:sz="4" w:space="0" w:color="auto"/>
              <w:left w:val="single" w:sz="4" w:space="0" w:color="auto"/>
              <w:bottom w:val="single" w:sz="4" w:space="0" w:color="auto"/>
              <w:right w:val="single" w:sz="4" w:space="0" w:color="auto"/>
            </w:tcBorders>
          </w:tcPr>
          <w:p w:rsidR="00371132" w:rsidRDefault="00371132">
            <w:pPr>
              <w:spacing w:line="360" w:lineRule="auto"/>
              <w:ind w:left="150" w:right="165" w:firstLine="567"/>
              <w:jc w:val="both"/>
              <w:rPr>
                <w:rStyle w:val="Emphasis"/>
              </w:rPr>
            </w:pPr>
          </w:p>
          <w:p w:rsidR="00371132" w:rsidRDefault="00371132">
            <w:pPr>
              <w:spacing w:line="360" w:lineRule="auto"/>
              <w:ind w:left="150" w:right="165" w:firstLine="567"/>
              <w:jc w:val="both"/>
              <w:rPr>
                <w:rFonts w:eastAsia="Times New Roman" w:cs="Times New Roman"/>
                <w:lang w:val="hy-AM"/>
              </w:rPr>
            </w:pPr>
            <w:r>
              <w:rPr>
                <w:rFonts w:ascii="GHEA Grapalat" w:eastAsia="Times New Roman" w:hAnsi="GHEA Grapalat" w:cs="Times New Roman"/>
                <w:sz w:val="24"/>
                <w:szCs w:val="24"/>
                <w:lang w:val="hy-AM"/>
              </w:rPr>
              <w:t>Հայտնում եմ, որ ՀՀ առողջապահության նախարարությունը «Հայաuտանի Հանրապետության կառավարության 2020 թվականի մարտի 12-ի N 287-Ն որոշման մեջ փոփոխություններ և լրացումներ կատարելու մասին կառավարության որոշման նախագծի վերաբերյալ առաջարկություններ չունի:</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371132" w:rsidTr="00371132">
        <w:trPr>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rsidP="00371132">
            <w:pPr>
              <w:pStyle w:val="ListParagraph"/>
              <w:numPr>
                <w:ilvl w:val="0"/>
                <w:numId w:val="32"/>
              </w:numPr>
              <w:spacing w:line="360" w:lineRule="auto"/>
              <w:ind w:left="150" w:right="165" w:firstLine="0"/>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Պետական եկամուտների կոմիտե</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26.06.2025թ</w:t>
            </w:r>
            <w:r>
              <w:rPr>
                <w:rFonts w:ascii="MS Gothic" w:eastAsia="MS Gothic" w:hAnsi="MS Gothic" w:cs="MS Gothic"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թիվ 01/3-3/40921-2025</w:t>
            </w:r>
          </w:p>
        </w:tc>
      </w:tr>
      <w:tr w:rsidR="00371132" w:rsidTr="00371132">
        <w:trPr>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tabs>
                <w:tab w:val="left" w:pos="567"/>
              </w:tabs>
              <w:spacing w:line="360" w:lineRule="auto"/>
              <w:ind w:left="150" w:right="1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պետական եկամուտների կոմիտեն քննարկել է «Հայաստանի Հանրապետության կառավարության 2020 թվականի մարտի 12-ի N287-Ն որոշման մեջ փոփոխություններ և լրացումներ կատարելու մասին ՀՀ կառավարության որոշման նախագիծը, ինչի կապակցությամբ հայտնում ենք, որ նախագծի վերաբերյալ առաջարկություններ չկան։</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371132" w:rsidTr="00371132">
        <w:trPr>
          <w:trHeight w:val="70"/>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rsidP="00371132">
            <w:pPr>
              <w:pStyle w:val="ListParagraph"/>
              <w:numPr>
                <w:ilvl w:val="0"/>
                <w:numId w:val="32"/>
              </w:numPr>
              <w:spacing w:line="360" w:lineRule="auto"/>
              <w:ind w:left="150" w:right="165" w:firstLine="0"/>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ՀՀ ֆինանսների նախարարություն</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hd w:val="clear" w:color="auto" w:fill="FFFFFF"/>
              <w:spacing w:line="360" w:lineRule="auto"/>
              <w:ind w:left="142"/>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14.07.2025թ</w:t>
            </w:r>
            <w:r>
              <w:rPr>
                <w:rFonts w:ascii="MS Gothic" w:eastAsia="MS Gothic" w:hAnsi="MS Gothic" w:cs="MS Gothic" w:hint="eastAsia"/>
                <w:sz w:val="24"/>
                <w:szCs w:val="24"/>
                <w:lang w:val="hy-AM"/>
              </w:rPr>
              <w:t>․</w:t>
            </w:r>
            <w:r>
              <w:rPr>
                <w:rFonts w:ascii="GHEA Grapalat" w:eastAsia="GHEA Grapalat" w:hAnsi="GHEA Grapalat" w:cs="GHEA Grapalat"/>
                <w:sz w:val="24"/>
                <w:szCs w:val="24"/>
                <w:lang w:val="hy-AM"/>
              </w:rPr>
              <w:t xml:space="preserve"> թիվ 01/34-2/14921-2025</w:t>
            </w:r>
          </w:p>
        </w:tc>
      </w:tr>
      <w:tr w:rsidR="00371132" w:rsidTr="00371132">
        <w:trPr>
          <w:trHeight w:val="70"/>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tabs>
                <w:tab w:val="left" w:pos="567"/>
              </w:tabs>
              <w:spacing w:line="360" w:lineRule="auto"/>
              <w:ind w:left="150" w:right="1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19.06.2025թ. N ՆՄ/ԱԳ-1-4/17058-2025 գրությամբ ներկայացված՝ «Հայաuտանի Հանրապետության կառավարության 2020 թվականի մարտի 12-ի N 287-Ն որոշման մեջ փոփոխություններ և լրացումներ կատարելու մասին ՀՀ կառավարության որոշման նախագծի վերաբերյալ հայտնում ենք, որ առաջարկություններ չունենք։</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371132" w:rsidTr="00371132">
        <w:trPr>
          <w:trHeight w:val="70"/>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rsidP="00371132">
            <w:pPr>
              <w:pStyle w:val="ListParagraph"/>
              <w:numPr>
                <w:ilvl w:val="0"/>
                <w:numId w:val="32"/>
              </w:numPr>
              <w:spacing w:line="360" w:lineRule="auto"/>
              <w:ind w:right="165"/>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ՀՀ կենտրոնական բանկ</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23.07.2025թ</w:t>
            </w:r>
            <w:r>
              <w:rPr>
                <w:rFonts w:ascii="MS Gothic" w:eastAsia="MS Gothic" w:hAnsi="MS Gothic" w:cs="MS Gothic" w:hint="eastAsia"/>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թիվ 15.1-07/632-25</w:t>
            </w:r>
          </w:p>
        </w:tc>
      </w:tr>
      <w:tr w:rsidR="00371132" w:rsidRPr="00371132" w:rsidTr="00371132">
        <w:trPr>
          <w:trHeight w:val="70"/>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ind w:firstLine="337"/>
              <w:jc w:val="both"/>
              <w:rPr>
                <w:rFonts w:ascii="GHEA Grapalat" w:eastAsia="MS Gothic" w:hAnsi="GHEA Grapalat" w:cs="MS Gothic"/>
                <w:kern w:val="2"/>
                <w:sz w:val="24"/>
                <w:szCs w:val="24"/>
                <w:lang w:val="hy-AM"/>
                <w14:ligatures w14:val="standardContextual"/>
              </w:rPr>
            </w:pPr>
            <w:r>
              <w:rPr>
                <w:rFonts w:ascii="GHEA Grapalat" w:eastAsia="Aptos" w:hAnsi="GHEA Grapalat" w:cs="Sylfaen"/>
                <w:kern w:val="2"/>
                <w:sz w:val="24"/>
                <w:szCs w:val="24"/>
                <w:lang w:val="hy-AM"/>
                <w14:ligatures w14:val="standardContextual"/>
              </w:rPr>
              <w:t xml:space="preserve">Ուսումնասիրելով «Հայաստանի Հանրապետության կառավարության 2020 թվականի մայիսի 12-ի N 287-Ն որոշման մեջ փոփոխություններ և լրացումներ կատարելու մասին» Հայաստանի Հանրապետության կառավարության որոշման նախագիծը (այսուհետ՝ Նախագիծ), </w:t>
            </w:r>
            <w:bookmarkStart w:id="0" w:name="_Hlk202536413"/>
            <w:r>
              <w:rPr>
                <w:rFonts w:ascii="GHEA Grapalat" w:eastAsia="Aptos" w:hAnsi="GHEA Grapalat" w:cs="Sylfaen"/>
                <w:kern w:val="2"/>
                <w:sz w:val="24"/>
                <w:szCs w:val="24"/>
                <w:lang w:val="hy-AM"/>
                <w14:ligatures w14:val="standardContextual"/>
              </w:rPr>
              <w:t>ներկայացնում ենք Հայաստանի Հանրապետության կենտրոնական բանկի հետևյալ դիտարկումները</w:t>
            </w:r>
            <w:r>
              <w:rPr>
                <w:rFonts w:ascii="MS Gothic" w:eastAsia="MS Gothic" w:hAnsi="MS Gothic" w:cs="MS Gothic" w:hint="eastAsia"/>
                <w:kern w:val="2"/>
                <w:sz w:val="24"/>
                <w:szCs w:val="24"/>
                <w:lang w:val="hy-AM"/>
                <w14:ligatures w14:val="standardContextual"/>
              </w:rPr>
              <w:t>․</w:t>
            </w:r>
            <w:bookmarkEnd w:id="0"/>
          </w:p>
          <w:p w:rsidR="00371132" w:rsidRDefault="00371132" w:rsidP="00371132">
            <w:pPr>
              <w:numPr>
                <w:ilvl w:val="0"/>
                <w:numId w:val="33"/>
              </w:numPr>
              <w:spacing w:line="360" w:lineRule="auto"/>
              <w:ind w:left="0" w:firstLine="787"/>
              <w:jc w:val="both"/>
              <w:rPr>
                <w:rFonts w:ascii="GHEA Grapalat" w:eastAsia="Times New Roman" w:hAnsi="GHEA Grapalat" w:cs="Times New Roman"/>
                <w:b/>
                <w:sz w:val="24"/>
                <w:szCs w:val="24"/>
                <w:lang w:val="hy-AM"/>
              </w:rPr>
            </w:pPr>
            <w:r>
              <w:rPr>
                <w:rFonts w:ascii="GHEA Grapalat" w:eastAsia="Aptos" w:hAnsi="GHEA Grapalat" w:cs="Calibri"/>
                <w:kern w:val="2"/>
                <w:sz w:val="24"/>
                <w:szCs w:val="24"/>
                <w:lang w:val="hy-AM"/>
                <w14:ligatures w14:val="standardContextual"/>
              </w:rPr>
              <w:t xml:space="preserve">Նախագծով առաջարկվող կարգավորումներով, մասնավորապես՝ ժամանակավոր անաշխատունակության և մայրության նպաստների գումարը </w:t>
            </w:r>
            <w:r>
              <w:rPr>
                <w:rFonts w:ascii="GHEA Grapalat" w:eastAsia="Aptos" w:hAnsi="GHEA Grapalat" w:cs="Calibri"/>
                <w:b/>
                <w:bCs/>
                <w:i/>
                <w:iCs/>
                <w:kern w:val="2"/>
                <w:sz w:val="24"/>
                <w:szCs w:val="24"/>
                <w:lang w:val="hy-AM"/>
                <w14:ligatures w14:val="standardContextual"/>
              </w:rPr>
              <w:t>միանվագ դրամական վճարների հաշիվ չհանդիսացող այլ բանկային հաշվին</w:t>
            </w:r>
            <w:r>
              <w:rPr>
                <w:rFonts w:ascii="GHEA Grapalat" w:eastAsia="Aptos" w:hAnsi="GHEA Grapalat" w:cs="Calibri"/>
                <w:kern w:val="2"/>
                <w:sz w:val="24"/>
                <w:szCs w:val="24"/>
                <w:lang w:val="hy-AM"/>
                <w14:ligatures w14:val="standardContextual"/>
              </w:rPr>
              <w:t xml:space="preserve"> մուտքագրման դեպքում առաջանում է այդ գումարի գրավադրման, արգելադրման, բռնագանձման կամ հաճախորդի պարտավորությունների դիմաց հաշվանցման ռիսկ: Ուստի առաջարկում ենք Նախագծով առաջարկվող վերոնշյալ կարգավորումը խմբագրել  </w:t>
            </w:r>
            <w:r>
              <w:rPr>
                <w:rFonts w:ascii="GHEA Grapalat" w:eastAsia="Times New Roman" w:hAnsi="GHEA Grapalat" w:cs="Times New Roman"/>
                <w:bCs/>
                <w:spacing w:val="-6"/>
                <w:kern w:val="2"/>
                <w:sz w:val="24"/>
                <w:szCs w:val="24"/>
                <w:lang w:val="hy-AM"/>
                <w14:ligatures w14:val="standardContextual"/>
              </w:rPr>
              <w:t xml:space="preserve">Հայաստանի Հանրապետության քաղաքացիական օրենսգրքի 928.8-րդ հոդվածի </w:t>
            </w:r>
            <w:r>
              <w:rPr>
                <w:rFonts w:ascii="GHEA Grapalat" w:eastAsia="Aptos" w:hAnsi="GHEA Grapalat" w:cs="Times New Roman"/>
                <w:kern w:val="2"/>
                <w:sz w:val="24"/>
                <w:szCs w:val="24"/>
                <w:lang w:val="hy-AM"/>
                <w14:ligatures w14:val="standardContextual"/>
              </w:rPr>
              <w:t>կարգավորման համատեքստում:</w:t>
            </w:r>
            <w:r>
              <w:rPr>
                <w:rFonts w:ascii="GHEA Grapalat" w:eastAsia="Aptos" w:hAnsi="GHEA Grapalat" w:cs="Times New Roman"/>
                <w:kern w:val="2"/>
                <w:sz w:val="24"/>
                <w:szCs w:val="24"/>
                <w:lang w:val="hy-AM"/>
                <w14:ligatures w14:val="standardContextual"/>
              </w:rPr>
              <w:tab/>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371132" w:rsidRDefault="00371132">
            <w:pPr>
              <w:spacing w:line="360" w:lineRule="auto"/>
              <w:jc w:val="both"/>
              <w:rPr>
                <w:rFonts w:ascii="GHEA Grapalat" w:eastAsia="Aptos" w:hAnsi="GHEA Grapalat" w:cs="Times New Roman"/>
                <w:kern w:val="2"/>
                <w:sz w:val="24"/>
                <w:szCs w:val="24"/>
                <w:lang w:val="hy-AM"/>
                <w14:ligatures w14:val="standardContextual"/>
              </w:rPr>
            </w:pPr>
            <w:r>
              <w:rPr>
                <w:rFonts w:ascii="GHEA Grapalat" w:eastAsia="Aptos" w:hAnsi="GHEA Grapalat" w:cs="Times New Roman"/>
                <w:kern w:val="2"/>
                <w:sz w:val="24"/>
                <w:szCs w:val="24"/>
                <w:lang w:val="hy-AM"/>
                <w14:ligatures w14:val="standardContextual"/>
              </w:rPr>
              <w:t>Հայաստանի Հանրապետության քաղաքացիական օրենսգրքի 928.8-րդ հոդվածի 5-րդ մասով սահմանված է, որ միանվագ դրամական վճարների հաշվին մուտքագրված (առկա) միջոցները չեն կարող գրավադրվել, արգելադրվել (դրվել արգելանքի տակ), բռնագանձվել կամ հաշվանցվել հաճախորդի պարտավորությունների դիմաց:</w:t>
            </w:r>
          </w:p>
          <w:p w:rsidR="00371132" w:rsidRDefault="00371132">
            <w:pPr>
              <w:spacing w:line="360" w:lineRule="auto"/>
              <w:jc w:val="both"/>
              <w:rPr>
                <w:rFonts w:ascii="GHEA Grapalat" w:eastAsia="Aptos" w:hAnsi="GHEA Grapalat" w:cs="Times New Roman"/>
                <w:kern w:val="2"/>
                <w:sz w:val="24"/>
                <w:szCs w:val="24"/>
                <w:lang w:val="hy-AM"/>
                <w14:ligatures w14:val="standardContextual"/>
              </w:rPr>
            </w:pPr>
            <w:r>
              <w:rPr>
                <w:rFonts w:ascii="GHEA Grapalat" w:eastAsia="Aptos" w:hAnsi="GHEA Grapalat" w:cs="Times New Roman"/>
                <w:kern w:val="2"/>
                <w:sz w:val="24"/>
                <w:szCs w:val="24"/>
                <w:lang w:val="hy-AM"/>
                <w14:ligatures w14:val="standardContextual"/>
              </w:rPr>
              <w:t xml:space="preserve">Այս առումով, նախագծով առաջարկվող՝ միանվագ դրամական վճարների հաշիվ </w:t>
            </w:r>
            <w:r>
              <w:rPr>
                <w:rFonts w:ascii="GHEA Grapalat" w:eastAsia="Aptos" w:hAnsi="GHEA Grapalat" w:cs="Times New Roman"/>
                <w:b/>
                <w:kern w:val="2"/>
                <w:sz w:val="24"/>
                <w:szCs w:val="24"/>
                <w:lang w:val="hy-AM"/>
                <w14:ligatures w14:val="standardContextual"/>
              </w:rPr>
              <w:t xml:space="preserve">չհանդիսացող </w:t>
            </w:r>
            <w:r>
              <w:rPr>
                <w:rFonts w:ascii="GHEA Grapalat" w:eastAsia="Aptos" w:hAnsi="GHEA Grapalat" w:cs="Times New Roman"/>
                <w:kern w:val="2"/>
                <w:sz w:val="24"/>
                <w:szCs w:val="24"/>
                <w:lang w:val="hy-AM"/>
                <w14:ligatures w14:val="standardContextual"/>
              </w:rPr>
              <w:t>այլ բանկային հաշվի նկատմամբ չեն կարող կիրառվել Հայաստանի Հանրապետության քաղաքացիական օրենսգրքի 928.8-րդ հոդվածի պահանջը, ինչը նշանակում է, որ այդ հաշվին գումար փոխանցելուց հետո այն կարող է արգելադրվել։</w:t>
            </w:r>
          </w:p>
          <w:p w:rsidR="00371132" w:rsidRDefault="00371132">
            <w:pPr>
              <w:spacing w:line="360" w:lineRule="auto"/>
              <w:jc w:val="both"/>
              <w:rPr>
                <w:rFonts w:ascii="GHEA Grapalat" w:eastAsia="Aptos" w:hAnsi="GHEA Grapalat" w:cs="Times New Roman"/>
                <w:kern w:val="2"/>
                <w:sz w:val="24"/>
                <w:szCs w:val="24"/>
                <w:lang w:val="hy-AM"/>
                <w14:ligatures w14:val="standardContextual"/>
              </w:rPr>
            </w:pPr>
            <w:r>
              <w:rPr>
                <w:rFonts w:ascii="GHEA Grapalat" w:eastAsia="Aptos" w:hAnsi="GHEA Grapalat" w:cs="Times New Roman"/>
                <w:kern w:val="2"/>
                <w:sz w:val="24"/>
                <w:szCs w:val="24"/>
                <w:lang w:val="hy-AM"/>
                <w14:ligatures w14:val="standardContextual"/>
              </w:rPr>
              <w:t xml:space="preserve">Ընդ որում, նախագծի խնդրո առարկա դրույթի կարգավորումը պետք է քննարկել ժամանակավոր անաշխատունակության և </w:t>
            </w:r>
            <w:r>
              <w:rPr>
                <w:rFonts w:ascii="GHEA Grapalat" w:eastAsia="Aptos" w:hAnsi="GHEA Grapalat" w:cs="Times New Roman"/>
                <w:kern w:val="2"/>
                <w:sz w:val="24"/>
                <w:szCs w:val="24"/>
                <w:lang w:val="hy-AM"/>
                <w14:ligatures w14:val="standardContextual"/>
              </w:rPr>
              <w:lastRenderedPageBreak/>
              <w:t xml:space="preserve">մայրության նպաստների նոր համակարգի կարգավորումների ընդհանուր համատեքստում։ Տեղեկացնում եմ, որ ժամանակավոր անաշխատունակության և մայրության նպաստների վճարման առանձնահատկությունները մշակված են «ՀՀ կառավարության 2011 թվականի հուլիսի 14-ի N 1024-Ն որոշման մեջ փոփոխություն կատարելու մասին» կառավարության որոշման նախագծով (Արդարադատության նախարարություն է ներկայացվել 07.07.2025թ. թիվ ՆՄ/ԱԳ-1-4/18603-2025 գրությամբ)։ Նշված ընթացակարգերով նախատեսվել է, որ քաղաքացին ինքն է ընտրում այն բանկը, որտեղից ցանկանում է ստանալ նպաստի գումարը։ Եթե քաղաքացին ընտրում է այն բանկը, որտեղից ստանում է աշխատավարձ, ապա նպաստը փոխանցվելու է այդ հաշվին (նախագծի համաձայն՝ այդ հաշիվը միանվագ դրամական վճարների հաշիվ չհանդիսացող այլ բանկային հաշիվն է)։ Ընդ որում, գործող օրենսդրությամբ ևս նպաստի գումարը </w:t>
            </w:r>
            <w:r>
              <w:rPr>
                <w:rFonts w:ascii="GHEA Grapalat" w:eastAsia="Aptos" w:hAnsi="GHEA Grapalat" w:cs="Times New Roman"/>
                <w:kern w:val="2"/>
                <w:sz w:val="24"/>
                <w:szCs w:val="24"/>
                <w:lang w:val="hy-AM"/>
                <w14:ligatures w14:val="standardContextual"/>
              </w:rPr>
              <w:lastRenderedPageBreak/>
              <w:t>գործատուն փոխանցում է վարձու աշխատողի աշխատավարձային հաշվին, որի նկատմամբ կրկին չի կարող տարածվել Հայաստանի Հանրապետության քաղաքացիական օրենսգրքի 928.8-րդ հոդվածի 5-րդ մասով սահմանված պահանջը։ Նպաստների վճարման նոր ընթացակարգով քաղաքացին հնարավորություն ունի ընտրել այլ բանկ (որտեղ չունի այլ բանկային հաշիվ), որի արդյունքում գումարը արդեն կփոխանցվի միանվագ հաշվին, որտեղ մուտքագրված (առկա) միջոցները չեն կարող գրավադրվել, արգելադրվել (դրվել արգելանքի տակ), բռնագանձվել կամ հաշվանցվել հաճախորդի պարտավորությունների դիմաց:</w:t>
            </w:r>
          </w:p>
          <w:p w:rsidR="00371132" w:rsidRDefault="00371132">
            <w:pPr>
              <w:spacing w:line="360" w:lineRule="auto"/>
              <w:jc w:val="both"/>
              <w:rPr>
                <w:rFonts w:ascii="GHEA Grapalat" w:hAnsi="GHEA Grapalat"/>
                <w:color w:val="000000"/>
                <w:sz w:val="24"/>
                <w:szCs w:val="24"/>
                <w:shd w:val="clear" w:color="auto" w:fill="FFFFFF"/>
                <w:lang w:val="hy-AM"/>
              </w:rPr>
            </w:pPr>
            <w:r>
              <w:rPr>
                <w:rFonts w:ascii="GHEA Grapalat" w:eastAsia="Aptos" w:hAnsi="GHEA Grapalat" w:cs="Times New Roman"/>
                <w:kern w:val="2"/>
                <w:sz w:val="24"/>
                <w:szCs w:val="24"/>
                <w:lang w:val="hy-AM"/>
                <w14:ligatures w14:val="standardContextual"/>
              </w:rPr>
              <w:t xml:space="preserve">Ամփոփելով վերը նշվածը՝ ստացվում է, որ եթե քաղաքացին չունի գումարի բռնագանձման հետ խնդիր, ապա կարող է ընտրել այն բանկը, որով ստանում է աշխատավարձ, իսկ եթե ունի որոշակի պարտավորություններ, ապա կարող է ընտրել մի բանկ, որտեղ չունի գործող բանկային հաշիվ, և այս դեպքում իր անվամբ </w:t>
            </w:r>
            <w:r>
              <w:rPr>
                <w:rFonts w:ascii="GHEA Grapalat" w:eastAsia="Aptos" w:hAnsi="GHEA Grapalat" w:cs="Times New Roman"/>
                <w:kern w:val="2"/>
                <w:sz w:val="24"/>
                <w:szCs w:val="24"/>
                <w:lang w:val="hy-AM"/>
                <w14:ligatures w14:val="standardContextual"/>
              </w:rPr>
              <w:lastRenderedPageBreak/>
              <w:t>կբացվի միանվագ դրամական վճարների հաշիվ։</w:t>
            </w:r>
          </w:p>
        </w:tc>
      </w:tr>
      <w:tr w:rsidR="00371132" w:rsidRPr="00371132" w:rsidTr="00371132">
        <w:trPr>
          <w:trHeight w:val="1796"/>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rsidP="00371132">
            <w:pPr>
              <w:numPr>
                <w:ilvl w:val="0"/>
                <w:numId w:val="33"/>
              </w:numPr>
              <w:spacing w:line="360" w:lineRule="auto"/>
              <w:ind w:left="-23" w:firstLine="383"/>
              <w:jc w:val="both"/>
              <w:rPr>
                <w:rFonts w:ascii="GHEA Grapalat" w:eastAsia="Aptos" w:hAnsi="GHEA Grapalat" w:cs="Sylfaen"/>
                <w:kern w:val="2"/>
                <w:sz w:val="24"/>
                <w:szCs w:val="24"/>
                <w:lang w:val="hy-AM"/>
                <w14:ligatures w14:val="standardContextual"/>
              </w:rPr>
            </w:pPr>
            <w:r>
              <w:rPr>
                <w:rFonts w:ascii="GHEA Grapalat" w:eastAsia="Aptos" w:hAnsi="GHEA Grapalat" w:cs="Calibri"/>
                <w:kern w:val="2"/>
                <w:sz w:val="24"/>
                <w:szCs w:val="24"/>
                <w:lang w:val="hy-AM"/>
                <w14:ligatures w14:val="standardContextual"/>
              </w:rPr>
              <w:lastRenderedPageBreak/>
              <w:t>Առաջարկում ենք հստակեցնել Նախագծի 2-րդ կետի 2.1 ենթակետում սահմանված «բանկային այլ հաշիվ» կարգավորումը, հաշվի առնելով, որ Հայաստանի Հանրապետության քաղաքացիական օրենսգրքի 928.9-րդ հոդվածով սահմանված հաշիվը նույնպես պետք է բացառել:</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371132" w:rsidRDefault="00371132">
            <w:pPr>
              <w:spacing w:line="360" w:lineRule="auto"/>
              <w:jc w:val="both"/>
              <w:rPr>
                <w:rFonts w:ascii="GHEA Grapalat" w:hAnsi="GHEA Grapalat"/>
                <w:color w:val="000000"/>
                <w:sz w:val="24"/>
                <w:szCs w:val="24"/>
                <w:shd w:val="clear" w:color="auto" w:fill="FFFFFF"/>
                <w:lang w:val="hy-AM"/>
              </w:rPr>
            </w:pPr>
            <w:r>
              <w:rPr>
                <w:rFonts w:ascii="GHEA Grapalat" w:eastAsia="Aptos" w:hAnsi="GHEA Grapalat" w:cs="Calibri"/>
                <w:kern w:val="2"/>
                <w:sz w:val="24"/>
                <w:szCs w:val="24"/>
                <w:lang w:val="hy-AM"/>
                <w14:ligatures w14:val="standardContextual"/>
              </w:rPr>
              <w:t>Նախագծի 2-րդ կետի 2.1 ենթակետում սահմանված «բանկային այլ հաշիվ» եզրույթը հստակեցվել է՝ Հայաստանի Հանրապետության քաղաքացիական օրենսգրքի 928.1-ին հոդվածով սահմանված հատուկ բանկային հաշիվ չհանդիսացող՝ շահառուի անվամբ բանկում գործող այլ դրամային հաշիվ։</w:t>
            </w:r>
          </w:p>
        </w:tc>
      </w:tr>
      <w:tr w:rsidR="00371132" w:rsidTr="00371132">
        <w:trPr>
          <w:trHeight w:val="608"/>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rsidP="00371132">
            <w:pPr>
              <w:pStyle w:val="ListParagraph"/>
              <w:numPr>
                <w:ilvl w:val="0"/>
                <w:numId w:val="32"/>
              </w:numPr>
              <w:spacing w:line="360" w:lineRule="auto"/>
              <w:jc w:val="both"/>
              <w:rPr>
                <w:rFonts w:ascii="GHEA Grapalat" w:eastAsia="Aptos" w:hAnsi="GHEA Grapalat" w:cs="Calibri"/>
                <w:b/>
                <w:kern w:val="2"/>
                <w:sz w:val="24"/>
                <w:szCs w:val="24"/>
                <w:lang w:val="hy-AM"/>
                <w14:ligatures w14:val="standardContextual"/>
              </w:rPr>
            </w:pPr>
            <w:r>
              <w:rPr>
                <w:rFonts w:ascii="GHEA Grapalat" w:eastAsia="Aptos" w:hAnsi="GHEA Grapalat" w:cs="Calibri"/>
                <w:b/>
                <w:kern w:val="2"/>
                <w:sz w:val="24"/>
                <w:szCs w:val="24"/>
                <w:lang w:val="hy-AM"/>
                <w14:ligatures w14:val="standardContextual"/>
              </w:rPr>
              <w:t>Արդարադատության նախարարություն</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08.08.2025թ. թիվ /27.2/35231-2025</w:t>
            </w:r>
          </w:p>
        </w:tc>
      </w:tr>
      <w:tr w:rsidR="00371132" w:rsidRPr="00371132" w:rsidTr="00371132">
        <w:trPr>
          <w:trHeight w:val="536"/>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ind w:left="-23" w:firstLine="720"/>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«Հայաստանի Հանրապետության կառավարության 2020 թ. մարտի 12-ի N 287-Ն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371132" w:rsidRDefault="00371132">
            <w:pPr>
              <w:spacing w:line="360" w:lineRule="auto"/>
              <w:ind w:left="-23" w:firstLine="720"/>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1.</w:t>
            </w:r>
            <w:r>
              <w:rPr>
                <w:rFonts w:ascii="GHEA Grapalat" w:eastAsia="Aptos" w:hAnsi="GHEA Grapalat" w:cs="Calibri"/>
                <w:kern w:val="2"/>
                <w:sz w:val="24"/>
                <w:szCs w:val="24"/>
                <w:lang w:val="hy-AM"/>
                <w14:ligatures w14:val="standardContextual"/>
              </w:rPr>
              <w:tab/>
              <w:t xml:space="preserve">Նախագծի 1-ին կետում «կետը բառը անհրաժեշտ է փոխարինել «կետի բառով, իսկ «ենթակետից հետո բառերը փոխարինել «ենթակետում «: փոխարինել «. և կետը բառերով: </w:t>
            </w:r>
          </w:p>
          <w:p w:rsidR="00371132" w:rsidRDefault="00371132">
            <w:pPr>
              <w:spacing w:line="360" w:lineRule="auto"/>
              <w:ind w:left="-23" w:firstLine="720"/>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 xml:space="preserve">    Առաջին դիտողությունը վերաբերում է նաև Նախագծի 2-րդ կետի 1-ին ենթակետին:</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1-ին և 2-րդ կետերը խմբագրվել են։</w:t>
            </w:r>
          </w:p>
        </w:tc>
      </w:tr>
      <w:tr w:rsidR="00371132" w:rsidRPr="00371132" w:rsidTr="00371132">
        <w:trPr>
          <w:trHeight w:val="536"/>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ind w:left="-23" w:firstLine="383"/>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lastRenderedPageBreak/>
              <w:t>2.</w:t>
            </w:r>
            <w:r>
              <w:rPr>
                <w:rFonts w:ascii="GHEA Grapalat" w:eastAsia="Aptos" w:hAnsi="GHEA Grapalat" w:cs="Calibri"/>
                <w:kern w:val="2"/>
                <w:sz w:val="24"/>
                <w:szCs w:val="24"/>
                <w:lang w:val="hy-AM"/>
                <w14:ligatures w14:val="standardContextual"/>
              </w:rPr>
              <w:tab/>
              <w:t>Նախագծի 2-րդ կետի 3-րդ ենթակետից հետո նշված դրույթը անհրաժեշտ է համարակալել, իսկ դրան հաջորդող դրույթների համարակալման հերթականությունը անհրաժեշտ է վերանայել:</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371132" w:rsidRDefault="00371132">
            <w:pPr>
              <w:spacing w:line="360" w:lineRule="auto"/>
              <w:jc w:val="both"/>
              <w:rPr>
                <w:rFonts w:ascii="GHEA Grapalat" w:hAnsi="GHEA Grapalat"/>
                <w:color w:val="000000"/>
                <w:sz w:val="24"/>
                <w:szCs w:val="24"/>
                <w:shd w:val="clear" w:color="auto" w:fill="FFFFFF"/>
                <w:lang w:val="hy-AM"/>
              </w:rPr>
            </w:pPr>
            <w:r>
              <w:rPr>
                <w:rFonts w:ascii="GHEA Grapalat" w:eastAsia="Aptos" w:hAnsi="GHEA Grapalat" w:cs="Calibri"/>
                <w:kern w:val="2"/>
                <w:sz w:val="24"/>
                <w:szCs w:val="24"/>
                <w:lang w:val="hy-AM"/>
                <w14:ligatures w14:val="standardContextual"/>
              </w:rPr>
              <w:t>Նախագծի 2-րդ կետի 3-րդ ենթակետից հետո դրույթների համարակալման հերթականությունը վերանայվել է:</w:t>
            </w:r>
          </w:p>
        </w:tc>
      </w:tr>
      <w:tr w:rsidR="00371132" w:rsidRPr="00371132" w:rsidTr="00371132">
        <w:trPr>
          <w:trHeight w:val="536"/>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ind w:left="-23" w:firstLine="383"/>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3.</w:t>
            </w:r>
            <w:r>
              <w:rPr>
                <w:rFonts w:ascii="GHEA Grapalat" w:eastAsia="Aptos" w:hAnsi="GHEA Grapalat" w:cs="Calibri"/>
                <w:kern w:val="2"/>
                <w:sz w:val="24"/>
                <w:szCs w:val="24"/>
                <w:lang w:val="hy-AM"/>
                <w14:ligatures w14:val="standardContextual"/>
              </w:rPr>
              <w:tab/>
              <w:t>Նախագծի 2-րդ կետի 4-րդ ենթակետով լրացվող 5.1-րդ կետում «ժամանակավոր բառից առաջ անհրաժեշտ է լրացնել «փոխանցվել բառը:</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371132" w:rsidRDefault="0037113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կետի 4-րդ ենթակետով լրացվող 5.1-րդ կետում «ժամանակավոր բառից առաջ լրացվել է «փոխանցվել բառը:</w:t>
            </w:r>
          </w:p>
        </w:tc>
      </w:tr>
      <w:tr w:rsidR="00371132" w:rsidRPr="00371132" w:rsidTr="00371132">
        <w:trPr>
          <w:trHeight w:val="536"/>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ind w:left="-23" w:firstLine="383"/>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4.</w:t>
            </w:r>
            <w:r>
              <w:rPr>
                <w:rFonts w:ascii="GHEA Grapalat" w:eastAsia="Aptos" w:hAnsi="GHEA Grapalat" w:cs="Calibri"/>
                <w:kern w:val="2"/>
                <w:sz w:val="24"/>
                <w:szCs w:val="24"/>
                <w:lang w:val="hy-AM"/>
                <w14:ligatures w14:val="standardContextual"/>
              </w:rPr>
              <w:tab/>
              <w:t>Նախագծի 2-րդ կետի 3-րդ ենթակետով որոշման հավելվածում լրացվող 8-րդ ենթակետով նախատեսվող կարգավորումը անհրաժեշտ է համապատասխանեցնել N 9 Ձևի վերնագրի հետ:</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371132" w:rsidRDefault="0037113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կետի 3-րդ ենթակետով որոշման հավելվածում լրացվող 8-րդ ենթակետով նախատեսվող կարգավորումը համապատասխանեցվել է N 9 Ձևի վերնագրի հետ։</w:t>
            </w:r>
          </w:p>
        </w:tc>
      </w:tr>
      <w:tr w:rsidR="00371132" w:rsidRPr="00371132" w:rsidTr="00371132">
        <w:trPr>
          <w:trHeight w:val="536"/>
          <w:jc w:val="center"/>
        </w:trPr>
        <w:tc>
          <w:tcPr>
            <w:tcW w:w="9630"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ind w:firstLine="360"/>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 xml:space="preserve">Միևնույն ժամանակ հարկ ենք համարում ընդգծել, որ Նախագծին կից ներկայացված հիմնավորման համաձայն՝ «Ժամանակավոր անաշխատունակության և մայրության նպաստների մասին օրենքի կիրարկումն ապահովում է Կառավարության 2011 թվականի հուլիսի 14-ի N 1024-Ն որոշմամբ (այսուհետ՝ 1024-Ն որոշում): Ըստ այդմ, օրենքի ընդունմամբ մշակվել և շրջանառության մեջ է դրվել նաև «Հայաստանի Հանրապետության կառավարության 2011 թվականի հուլիսի 14-ի N 1024-Ն որոշման մեջ փոփոխություն կատարելու մասին Հայաստանի Հանրապետության կառավարության որոշման նախագիծը, որով առաջարկվել է </w:t>
            </w:r>
            <w:r>
              <w:rPr>
                <w:rFonts w:ascii="GHEA Grapalat" w:eastAsia="Aptos" w:hAnsi="GHEA Grapalat" w:cs="Calibri"/>
                <w:kern w:val="2"/>
                <w:sz w:val="24"/>
                <w:szCs w:val="24"/>
                <w:lang w:val="hy-AM"/>
                <w14:ligatures w14:val="standardContextual"/>
              </w:rPr>
              <w:lastRenderedPageBreak/>
              <w:t>սահմանել նաև օրենքի 24-րդ հոդվածի 8-րդ մասով նախատեսված՝ մայրության նպաստը, ժամանակավոր անաշխատունակության նպաստի՝ պետական բյուջեից վճարման ենթակա գումարը բանկի միջոցով վճարելու կարգը, որի արդյունում անհրաժեշտություն է առաջացել համապատասխան կարգավորումներ նախատեսել նաև Նախագծով:</w:t>
            </w:r>
          </w:p>
          <w:p w:rsidR="00371132" w:rsidRDefault="00371132">
            <w:pPr>
              <w:spacing w:line="360" w:lineRule="auto"/>
              <w:ind w:firstLine="360"/>
              <w:jc w:val="both"/>
              <w:rPr>
                <w:rFonts w:ascii="GHEA Grapalat" w:eastAsia="Aptos" w:hAnsi="GHEA Grapalat" w:cs="Calibri"/>
                <w:kern w:val="2"/>
                <w:sz w:val="24"/>
                <w:szCs w:val="24"/>
                <w:lang w:val="hy-AM"/>
                <w14:ligatures w14:val="standardContextual"/>
              </w:rPr>
            </w:pPr>
            <w:r>
              <w:rPr>
                <w:rFonts w:ascii="GHEA Grapalat" w:eastAsia="Aptos" w:hAnsi="GHEA Grapalat" w:cs="Calibri"/>
                <w:kern w:val="2"/>
                <w:sz w:val="24"/>
                <w:szCs w:val="24"/>
                <w:lang w:val="hy-AM"/>
                <w14:ligatures w14:val="standardContextual"/>
              </w:rPr>
              <w:t xml:space="preserve">   Այս համատեքստում հաշվի առնելով այն, որ Նախագծով առաջարկվող կարգավորումները ուղղակիորեն կապված են 1024-Ն որոշման հետ և կարող են գործել միայն նշված որոշման մեջ համապատասխան փոփոխություններ կատարելու դեպքում, առաջարկում ենք Նախագծով նախատեսվող փոփոխությունները իրականացնել 1024-Ն որոշման մեջ փոփոխություն կատարելու մասին Հայաստանի Հանրապետության կառավարության որոշման նախագիծը ընդունվելուց հետո:</w:t>
            </w:r>
          </w:p>
        </w:tc>
        <w:tc>
          <w:tcPr>
            <w:tcW w:w="5475" w:type="dxa"/>
            <w:tcBorders>
              <w:top w:val="single" w:sz="4" w:space="0" w:color="auto"/>
              <w:left w:val="single" w:sz="4" w:space="0" w:color="auto"/>
              <w:bottom w:val="single" w:sz="4" w:space="0" w:color="auto"/>
              <w:right w:val="single" w:sz="4" w:space="0" w:color="auto"/>
            </w:tcBorders>
            <w:hideMark/>
          </w:tcPr>
          <w:p w:rsidR="00371132" w:rsidRDefault="0037113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371132" w:rsidRDefault="0037113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Քնարկվող նախագծերի համար Վարչապետի 2025 թվականի հունիսի 6-ի թիվ 497-Ա որոշմամբ հաստատված հավելվածով սահմանված ժամկետները նույնական են, ինչով պայմանավորված էլ նախագծերը Վարչապետի աշխատակազմ կներկայացվեն միաժամանակ։</w:t>
            </w:r>
          </w:p>
        </w:tc>
      </w:tr>
    </w:tbl>
    <w:p w:rsidR="00371132" w:rsidRDefault="00371132" w:rsidP="00371132">
      <w:pPr>
        <w:spacing w:line="360" w:lineRule="auto"/>
        <w:rPr>
          <w:rFonts w:ascii="GHEA Grapalat" w:hAnsi="GHEA Grapalat"/>
          <w:sz w:val="24"/>
          <w:szCs w:val="24"/>
          <w:lang w:val="hy-AM"/>
        </w:rPr>
      </w:pPr>
    </w:p>
    <w:p w:rsidR="00AC7883" w:rsidRPr="00371132" w:rsidRDefault="00AC7883" w:rsidP="00371132">
      <w:pPr>
        <w:rPr>
          <w:lang w:val="hy-AM"/>
        </w:rPr>
      </w:pPr>
      <w:bookmarkStart w:id="1" w:name="_GoBack"/>
      <w:bookmarkEnd w:id="1"/>
    </w:p>
    <w:sectPr w:rsidR="00AC7883" w:rsidRPr="00371132" w:rsidSect="00F7081A">
      <w:pgSz w:w="16838" w:h="11906" w:orient="landscape" w:code="9"/>
      <w:pgMar w:top="426" w:right="706"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022" w:rsidRDefault="00B80022" w:rsidP="003D30E3">
      <w:pPr>
        <w:spacing w:after="0" w:line="240" w:lineRule="auto"/>
      </w:pPr>
      <w:r>
        <w:separator/>
      </w:r>
    </w:p>
  </w:endnote>
  <w:endnote w:type="continuationSeparator" w:id="0">
    <w:p w:rsidR="00B80022" w:rsidRDefault="00B8002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022" w:rsidRDefault="00B80022" w:rsidP="003D30E3">
      <w:pPr>
        <w:spacing w:after="0" w:line="240" w:lineRule="auto"/>
      </w:pPr>
      <w:r>
        <w:separator/>
      </w:r>
    </w:p>
  </w:footnote>
  <w:footnote w:type="continuationSeparator" w:id="0">
    <w:p w:rsidR="00B80022" w:rsidRDefault="00B8002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7ED4EE"/>
    <w:lvl w:ilvl="0">
      <w:start w:val="1"/>
      <w:numFmt w:val="decimal"/>
      <w:pStyle w:val="ListNumber"/>
      <w:lvlText w:val="%1."/>
      <w:lvlJc w:val="left"/>
      <w:pPr>
        <w:tabs>
          <w:tab w:val="num" w:pos="360"/>
        </w:tabs>
        <w:ind w:left="360" w:hanging="360"/>
      </w:pPr>
    </w:lvl>
  </w:abstractNum>
  <w:abstractNum w:abstractNumId="1"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3"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5693224"/>
    <w:multiLevelType w:val="hybridMultilevel"/>
    <w:tmpl w:val="9D88E9CC"/>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0D104FC0"/>
    <w:multiLevelType w:val="hybridMultilevel"/>
    <w:tmpl w:val="257678B8"/>
    <w:lvl w:ilvl="0" w:tplc="FD16CC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D93C0D"/>
    <w:multiLevelType w:val="hybridMultilevel"/>
    <w:tmpl w:val="D760227C"/>
    <w:lvl w:ilvl="0" w:tplc="7576CDBC">
      <w:numFmt w:val="bullet"/>
      <w:lvlText w:val="-"/>
      <w:lvlJc w:val="left"/>
      <w:pPr>
        <w:ind w:left="1287" w:hanging="360"/>
      </w:pPr>
      <w:rPr>
        <w:rFonts w:ascii="GHEA Grapalat" w:eastAsiaTheme="minorEastAsia" w:hAnsi="GHEA Grapalat" w:cs="Aria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19A4847"/>
    <w:multiLevelType w:val="hybridMultilevel"/>
    <w:tmpl w:val="81DAF20A"/>
    <w:lvl w:ilvl="0" w:tplc="2BF6EB90">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2" w15:restartNumberingAfterBreak="0">
    <w:nsid w:val="27034940"/>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1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4"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A39CE"/>
    <w:multiLevelType w:val="hybridMultilevel"/>
    <w:tmpl w:val="0FFCA198"/>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261D9E"/>
    <w:multiLevelType w:val="hybridMultilevel"/>
    <w:tmpl w:val="57CEF9CA"/>
    <w:lvl w:ilvl="0" w:tplc="502E69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2"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4261B6"/>
    <w:multiLevelType w:val="hybridMultilevel"/>
    <w:tmpl w:val="0F6AC698"/>
    <w:lvl w:ilvl="0" w:tplc="04090011">
      <w:start w:val="1"/>
      <w:numFmt w:val="decimal"/>
      <w:lvlText w:val="%1)"/>
      <w:lvlJc w:val="left"/>
      <w:pPr>
        <w:ind w:left="1140" w:hanging="360"/>
      </w:pPr>
    </w:lvl>
    <w:lvl w:ilvl="1" w:tplc="04090011">
      <w:start w:val="1"/>
      <w:numFmt w:val="decimal"/>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4" w15:restartNumberingAfterBreak="0">
    <w:nsid w:val="65F657B5"/>
    <w:multiLevelType w:val="hybridMultilevel"/>
    <w:tmpl w:val="5340555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1D0E16"/>
    <w:multiLevelType w:val="hybridMultilevel"/>
    <w:tmpl w:val="5136E65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7"/>
  </w:num>
  <w:num w:numId="3">
    <w:abstractNumId w:val="1"/>
  </w:num>
  <w:num w:numId="4">
    <w:abstractNumId w:val="10"/>
  </w:num>
  <w:num w:numId="5">
    <w:abstractNumId w:val="28"/>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6"/>
  </w:num>
  <w:num w:numId="10">
    <w:abstractNumId w:val="22"/>
  </w:num>
  <w:num w:numId="11">
    <w:abstractNumId w:val="7"/>
  </w:num>
  <w:num w:numId="12">
    <w:abstractNumId w:val="3"/>
  </w:num>
  <w:num w:numId="13">
    <w:abstractNumId w:val="16"/>
  </w:num>
  <w:num w:numId="14">
    <w:abstractNumId w:val="21"/>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
  </w:num>
  <w:num w:numId="19">
    <w:abstractNumId w:val="5"/>
  </w:num>
  <w:num w:numId="20">
    <w:abstractNumId w:val="18"/>
  </w:num>
  <w:num w:numId="21">
    <w:abstractNumId w:val="0"/>
  </w:num>
  <w:num w:numId="22">
    <w:abstractNumId w:val="8"/>
  </w:num>
  <w:num w:numId="23">
    <w:abstractNumId w:val="0"/>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3"/>
  </w:num>
  <w:num w:numId="27">
    <w:abstractNumId w:val="9"/>
  </w:num>
  <w:num w:numId="28">
    <w:abstractNumId w:val="24"/>
  </w:num>
  <w:num w:numId="29">
    <w:abstractNumId w:val="4"/>
  </w:num>
  <w:num w:numId="30">
    <w:abstractNumId w:val="12"/>
  </w:num>
  <w:num w:numId="31">
    <w:abstractNumId w:val="26"/>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00DB9"/>
    <w:rsid w:val="0000454F"/>
    <w:rsid w:val="000046DC"/>
    <w:rsid w:val="00007530"/>
    <w:rsid w:val="00010FF5"/>
    <w:rsid w:val="0002233E"/>
    <w:rsid w:val="0002456B"/>
    <w:rsid w:val="00027C08"/>
    <w:rsid w:val="00027E4C"/>
    <w:rsid w:val="00032149"/>
    <w:rsid w:val="000350A9"/>
    <w:rsid w:val="00036ECC"/>
    <w:rsid w:val="000406FC"/>
    <w:rsid w:val="00051E52"/>
    <w:rsid w:val="00051E83"/>
    <w:rsid w:val="00061345"/>
    <w:rsid w:val="0006523D"/>
    <w:rsid w:val="00066664"/>
    <w:rsid w:val="000679F4"/>
    <w:rsid w:val="00077506"/>
    <w:rsid w:val="00077908"/>
    <w:rsid w:val="000816BB"/>
    <w:rsid w:val="00084EDA"/>
    <w:rsid w:val="000A0FC6"/>
    <w:rsid w:val="000A2FD1"/>
    <w:rsid w:val="000A7395"/>
    <w:rsid w:val="000B29CA"/>
    <w:rsid w:val="000B3D8C"/>
    <w:rsid w:val="000C06EB"/>
    <w:rsid w:val="000C0E2A"/>
    <w:rsid w:val="000D0ACD"/>
    <w:rsid w:val="000D27B0"/>
    <w:rsid w:val="000E3DFF"/>
    <w:rsid w:val="000E6ADE"/>
    <w:rsid w:val="000F00A2"/>
    <w:rsid w:val="00101A93"/>
    <w:rsid w:val="00113DBC"/>
    <w:rsid w:val="00123BC6"/>
    <w:rsid w:val="00125C9C"/>
    <w:rsid w:val="00126347"/>
    <w:rsid w:val="00131C59"/>
    <w:rsid w:val="00132F23"/>
    <w:rsid w:val="00137F0D"/>
    <w:rsid w:val="001428D6"/>
    <w:rsid w:val="001505A5"/>
    <w:rsid w:val="00151623"/>
    <w:rsid w:val="0015586D"/>
    <w:rsid w:val="00175D2D"/>
    <w:rsid w:val="001770D3"/>
    <w:rsid w:val="00180AB7"/>
    <w:rsid w:val="00183B34"/>
    <w:rsid w:val="00183DB7"/>
    <w:rsid w:val="00187EEA"/>
    <w:rsid w:val="00191258"/>
    <w:rsid w:val="00196E27"/>
    <w:rsid w:val="001A0CDF"/>
    <w:rsid w:val="001A241F"/>
    <w:rsid w:val="001B4DB2"/>
    <w:rsid w:val="001B68E9"/>
    <w:rsid w:val="001B6E30"/>
    <w:rsid w:val="001C2901"/>
    <w:rsid w:val="001D12A3"/>
    <w:rsid w:val="001D145C"/>
    <w:rsid w:val="001D49DC"/>
    <w:rsid w:val="001D7722"/>
    <w:rsid w:val="001E2ABB"/>
    <w:rsid w:val="001E6C34"/>
    <w:rsid w:val="001F1430"/>
    <w:rsid w:val="001F2EEA"/>
    <w:rsid w:val="0020001E"/>
    <w:rsid w:val="00203CE0"/>
    <w:rsid w:val="0022176C"/>
    <w:rsid w:val="00231B74"/>
    <w:rsid w:val="002372DA"/>
    <w:rsid w:val="00237743"/>
    <w:rsid w:val="00242597"/>
    <w:rsid w:val="00243100"/>
    <w:rsid w:val="002472FA"/>
    <w:rsid w:val="00250C8A"/>
    <w:rsid w:val="00253857"/>
    <w:rsid w:val="00262870"/>
    <w:rsid w:val="002629D6"/>
    <w:rsid w:val="002668C8"/>
    <w:rsid w:val="0027741F"/>
    <w:rsid w:val="00282FD5"/>
    <w:rsid w:val="0028372D"/>
    <w:rsid w:val="002A0A4D"/>
    <w:rsid w:val="002A16AE"/>
    <w:rsid w:val="002A59E1"/>
    <w:rsid w:val="002A6737"/>
    <w:rsid w:val="002B4DA9"/>
    <w:rsid w:val="002B73A4"/>
    <w:rsid w:val="002C2887"/>
    <w:rsid w:val="002C37B3"/>
    <w:rsid w:val="002C67C4"/>
    <w:rsid w:val="002C6C02"/>
    <w:rsid w:val="002D0039"/>
    <w:rsid w:val="002D2214"/>
    <w:rsid w:val="002D22E5"/>
    <w:rsid w:val="002D78BC"/>
    <w:rsid w:val="002E2D97"/>
    <w:rsid w:val="002F263D"/>
    <w:rsid w:val="002F4CA2"/>
    <w:rsid w:val="002F5770"/>
    <w:rsid w:val="003445BE"/>
    <w:rsid w:val="00344861"/>
    <w:rsid w:val="0034769A"/>
    <w:rsid w:val="00350193"/>
    <w:rsid w:val="00353CA8"/>
    <w:rsid w:val="00355A95"/>
    <w:rsid w:val="003571C1"/>
    <w:rsid w:val="0036307C"/>
    <w:rsid w:val="0037016A"/>
    <w:rsid w:val="00371132"/>
    <w:rsid w:val="00383DB3"/>
    <w:rsid w:val="0039458C"/>
    <w:rsid w:val="00395373"/>
    <w:rsid w:val="003A647C"/>
    <w:rsid w:val="003B3E4F"/>
    <w:rsid w:val="003B3F3D"/>
    <w:rsid w:val="003B46AE"/>
    <w:rsid w:val="003C3629"/>
    <w:rsid w:val="003D05DC"/>
    <w:rsid w:val="003D0A3C"/>
    <w:rsid w:val="003D14DF"/>
    <w:rsid w:val="003D30E3"/>
    <w:rsid w:val="003E2C8C"/>
    <w:rsid w:val="003E7058"/>
    <w:rsid w:val="003F0F38"/>
    <w:rsid w:val="003F37F5"/>
    <w:rsid w:val="004041AB"/>
    <w:rsid w:val="00404EDF"/>
    <w:rsid w:val="004130C8"/>
    <w:rsid w:val="00420807"/>
    <w:rsid w:val="00423E51"/>
    <w:rsid w:val="004324AA"/>
    <w:rsid w:val="00434549"/>
    <w:rsid w:val="00435BD0"/>
    <w:rsid w:val="00437AC6"/>
    <w:rsid w:val="00437B92"/>
    <w:rsid w:val="0044182C"/>
    <w:rsid w:val="00441EEE"/>
    <w:rsid w:val="00445BCD"/>
    <w:rsid w:val="004475D4"/>
    <w:rsid w:val="00447A5D"/>
    <w:rsid w:val="00450C31"/>
    <w:rsid w:val="00450C3A"/>
    <w:rsid w:val="0045745A"/>
    <w:rsid w:val="00461A17"/>
    <w:rsid w:val="00463332"/>
    <w:rsid w:val="00465B5C"/>
    <w:rsid w:val="00467979"/>
    <w:rsid w:val="00470694"/>
    <w:rsid w:val="00472926"/>
    <w:rsid w:val="00473111"/>
    <w:rsid w:val="0047615F"/>
    <w:rsid w:val="00485B0F"/>
    <w:rsid w:val="00485C04"/>
    <w:rsid w:val="00485EAF"/>
    <w:rsid w:val="004A570A"/>
    <w:rsid w:val="004B255B"/>
    <w:rsid w:val="004B61D5"/>
    <w:rsid w:val="004B7BD3"/>
    <w:rsid w:val="004C0FBB"/>
    <w:rsid w:val="004C37DC"/>
    <w:rsid w:val="004D0B27"/>
    <w:rsid w:val="004D6F81"/>
    <w:rsid w:val="004E6AAA"/>
    <w:rsid w:val="004F290A"/>
    <w:rsid w:val="004F454D"/>
    <w:rsid w:val="00504573"/>
    <w:rsid w:val="00511A78"/>
    <w:rsid w:val="00512BFF"/>
    <w:rsid w:val="0051790A"/>
    <w:rsid w:val="00521195"/>
    <w:rsid w:val="0052147A"/>
    <w:rsid w:val="00535FDC"/>
    <w:rsid w:val="00536773"/>
    <w:rsid w:val="00542125"/>
    <w:rsid w:val="0054391A"/>
    <w:rsid w:val="00545B0F"/>
    <w:rsid w:val="0054751B"/>
    <w:rsid w:val="005545BC"/>
    <w:rsid w:val="005612E8"/>
    <w:rsid w:val="00562FA9"/>
    <w:rsid w:val="00563029"/>
    <w:rsid w:val="00564C18"/>
    <w:rsid w:val="00564F11"/>
    <w:rsid w:val="005713FB"/>
    <w:rsid w:val="0057264E"/>
    <w:rsid w:val="00572E69"/>
    <w:rsid w:val="005754CC"/>
    <w:rsid w:val="00580E5C"/>
    <w:rsid w:val="0058105E"/>
    <w:rsid w:val="0058171F"/>
    <w:rsid w:val="0058259B"/>
    <w:rsid w:val="00587EAE"/>
    <w:rsid w:val="00590B8A"/>
    <w:rsid w:val="005A02CA"/>
    <w:rsid w:val="005A12E7"/>
    <w:rsid w:val="005A1801"/>
    <w:rsid w:val="005A595C"/>
    <w:rsid w:val="005A59DE"/>
    <w:rsid w:val="005B2DC9"/>
    <w:rsid w:val="005B64FD"/>
    <w:rsid w:val="005B6DD9"/>
    <w:rsid w:val="005C5D88"/>
    <w:rsid w:val="005D3DDE"/>
    <w:rsid w:val="005D78B7"/>
    <w:rsid w:val="005E0BF2"/>
    <w:rsid w:val="005E697B"/>
    <w:rsid w:val="005E7753"/>
    <w:rsid w:val="00600F03"/>
    <w:rsid w:val="00601D7D"/>
    <w:rsid w:val="00604362"/>
    <w:rsid w:val="00607627"/>
    <w:rsid w:val="00614E7A"/>
    <w:rsid w:val="00615A71"/>
    <w:rsid w:val="006179C9"/>
    <w:rsid w:val="00622235"/>
    <w:rsid w:val="00625EE1"/>
    <w:rsid w:val="00627F47"/>
    <w:rsid w:val="00632E5F"/>
    <w:rsid w:val="00632F21"/>
    <w:rsid w:val="0063578D"/>
    <w:rsid w:val="00642665"/>
    <w:rsid w:val="006447A6"/>
    <w:rsid w:val="0064658C"/>
    <w:rsid w:val="00646D21"/>
    <w:rsid w:val="00653C17"/>
    <w:rsid w:val="006552E7"/>
    <w:rsid w:val="00660B76"/>
    <w:rsid w:val="0066143D"/>
    <w:rsid w:val="00664F1F"/>
    <w:rsid w:val="00665BC5"/>
    <w:rsid w:val="0067414B"/>
    <w:rsid w:val="00675D01"/>
    <w:rsid w:val="00680FDF"/>
    <w:rsid w:val="0068585A"/>
    <w:rsid w:val="0068656B"/>
    <w:rsid w:val="006944DB"/>
    <w:rsid w:val="00695C87"/>
    <w:rsid w:val="006A5FC5"/>
    <w:rsid w:val="006A70BC"/>
    <w:rsid w:val="006B4C61"/>
    <w:rsid w:val="006B6E91"/>
    <w:rsid w:val="006C1866"/>
    <w:rsid w:val="006C2411"/>
    <w:rsid w:val="006D251B"/>
    <w:rsid w:val="006D28CF"/>
    <w:rsid w:val="006D55E5"/>
    <w:rsid w:val="006E1442"/>
    <w:rsid w:val="006E306D"/>
    <w:rsid w:val="006E4094"/>
    <w:rsid w:val="006E4290"/>
    <w:rsid w:val="006E4EF6"/>
    <w:rsid w:val="006E5CDF"/>
    <w:rsid w:val="006E7845"/>
    <w:rsid w:val="006F5238"/>
    <w:rsid w:val="006F7190"/>
    <w:rsid w:val="0070151D"/>
    <w:rsid w:val="00705201"/>
    <w:rsid w:val="00711850"/>
    <w:rsid w:val="0071353E"/>
    <w:rsid w:val="0071454E"/>
    <w:rsid w:val="00717B72"/>
    <w:rsid w:val="007217A0"/>
    <w:rsid w:val="00722F97"/>
    <w:rsid w:val="007453A7"/>
    <w:rsid w:val="007459BC"/>
    <w:rsid w:val="00751B36"/>
    <w:rsid w:val="0075323D"/>
    <w:rsid w:val="007543CE"/>
    <w:rsid w:val="00755710"/>
    <w:rsid w:val="00756F4B"/>
    <w:rsid w:val="00764747"/>
    <w:rsid w:val="0077476A"/>
    <w:rsid w:val="00776CF9"/>
    <w:rsid w:val="007810AC"/>
    <w:rsid w:val="00794856"/>
    <w:rsid w:val="007A1B21"/>
    <w:rsid w:val="007A525B"/>
    <w:rsid w:val="007B52FE"/>
    <w:rsid w:val="007C07CE"/>
    <w:rsid w:val="007C14D9"/>
    <w:rsid w:val="007C1C19"/>
    <w:rsid w:val="007D1EB0"/>
    <w:rsid w:val="007D4550"/>
    <w:rsid w:val="007D5F95"/>
    <w:rsid w:val="007D6A77"/>
    <w:rsid w:val="007E2AD7"/>
    <w:rsid w:val="007F1509"/>
    <w:rsid w:val="007F1BE1"/>
    <w:rsid w:val="007F3DA1"/>
    <w:rsid w:val="007F4176"/>
    <w:rsid w:val="007F4B26"/>
    <w:rsid w:val="007F4F11"/>
    <w:rsid w:val="007F69D4"/>
    <w:rsid w:val="00800479"/>
    <w:rsid w:val="008007AF"/>
    <w:rsid w:val="00800F67"/>
    <w:rsid w:val="00806660"/>
    <w:rsid w:val="008108E0"/>
    <w:rsid w:val="00816C8C"/>
    <w:rsid w:val="00823AF7"/>
    <w:rsid w:val="00827EDB"/>
    <w:rsid w:val="00832FC2"/>
    <w:rsid w:val="00836A1F"/>
    <w:rsid w:val="00843F01"/>
    <w:rsid w:val="00844EC2"/>
    <w:rsid w:val="008476E9"/>
    <w:rsid w:val="00850590"/>
    <w:rsid w:val="0085753D"/>
    <w:rsid w:val="008602A6"/>
    <w:rsid w:val="00866B11"/>
    <w:rsid w:val="00872E46"/>
    <w:rsid w:val="00875E2D"/>
    <w:rsid w:val="008809BD"/>
    <w:rsid w:val="00881309"/>
    <w:rsid w:val="00881BD4"/>
    <w:rsid w:val="0088288E"/>
    <w:rsid w:val="00886404"/>
    <w:rsid w:val="00897E48"/>
    <w:rsid w:val="008A0897"/>
    <w:rsid w:val="008A1B38"/>
    <w:rsid w:val="008A3856"/>
    <w:rsid w:val="008B30D0"/>
    <w:rsid w:val="008B4629"/>
    <w:rsid w:val="008C729D"/>
    <w:rsid w:val="008D2B23"/>
    <w:rsid w:val="008D41E0"/>
    <w:rsid w:val="008D5ADC"/>
    <w:rsid w:val="008D7817"/>
    <w:rsid w:val="008E2C8D"/>
    <w:rsid w:val="008E5BEE"/>
    <w:rsid w:val="008E6F97"/>
    <w:rsid w:val="008F0E3C"/>
    <w:rsid w:val="008F3655"/>
    <w:rsid w:val="00912FD3"/>
    <w:rsid w:val="009161E5"/>
    <w:rsid w:val="00920396"/>
    <w:rsid w:val="00924ACA"/>
    <w:rsid w:val="00927EDB"/>
    <w:rsid w:val="0093051D"/>
    <w:rsid w:val="009320FB"/>
    <w:rsid w:val="00932296"/>
    <w:rsid w:val="00935DD2"/>
    <w:rsid w:val="00940AEB"/>
    <w:rsid w:val="009433E8"/>
    <w:rsid w:val="00946843"/>
    <w:rsid w:val="0095260D"/>
    <w:rsid w:val="00954ED1"/>
    <w:rsid w:val="009554B9"/>
    <w:rsid w:val="0096329A"/>
    <w:rsid w:val="0096446D"/>
    <w:rsid w:val="009739AE"/>
    <w:rsid w:val="00973AEE"/>
    <w:rsid w:val="00984525"/>
    <w:rsid w:val="0098490A"/>
    <w:rsid w:val="00987B52"/>
    <w:rsid w:val="00992D4F"/>
    <w:rsid w:val="009A1E90"/>
    <w:rsid w:val="009A6775"/>
    <w:rsid w:val="009A7772"/>
    <w:rsid w:val="009B1EBB"/>
    <w:rsid w:val="009B486C"/>
    <w:rsid w:val="009B5BB0"/>
    <w:rsid w:val="009C0167"/>
    <w:rsid w:val="009C4986"/>
    <w:rsid w:val="009D0E37"/>
    <w:rsid w:val="009D10CE"/>
    <w:rsid w:val="009D6417"/>
    <w:rsid w:val="009E40B8"/>
    <w:rsid w:val="009E6D06"/>
    <w:rsid w:val="009F37B9"/>
    <w:rsid w:val="00A0189A"/>
    <w:rsid w:val="00A06DC6"/>
    <w:rsid w:val="00A138C7"/>
    <w:rsid w:val="00A15114"/>
    <w:rsid w:val="00A2457B"/>
    <w:rsid w:val="00A25C77"/>
    <w:rsid w:val="00A426CF"/>
    <w:rsid w:val="00A45AFF"/>
    <w:rsid w:val="00A57BBC"/>
    <w:rsid w:val="00A64027"/>
    <w:rsid w:val="00A87642"/>
    <w:rsid w:val="00A92339"/>
    <w:rsid w:val="00A92508"/>
    <w:rsid w:val="00AA2BAB"/>
    <w:rsid w:val="00AB0E48"/>
    <w:rsid w:val="00AB72C5"/>
    <w:rsid w:val="00AC0631"/>
    <w:rsid w:val="00AC4567"/>
    <w:rsid w:val="00AC5E7F"/>
    <w:rsid w:val="00AC7883"/>
    <w:rsid w:val="00AD0F56"/>
    <w:rsid w:val="00AD1673"/>
    <w:rsid w:val="00AE59F6"/>
    <w:rsid w:val="00AF52D3"/>
    <w:rsid w:val="00AF591F"/>
    <w:rsid w:val="00AF6198"/>
    <w:rsid w:val="00B032EC"/>
    <w:rsid w:val="00B062B6"/>
    <w:rsid w:val="00B208DA"/>
    <w:rsid w:val="00B21306"/>
    <w:rsid w:val="00B27B9E"/>
    <w:rsid w:val="00B51031"/>
    <w:rsid w:val="00B5152F"/>
    <w:rsid w:val="00B5561E"/>
    <w:rsid w:val="00B559FA"/>
    <w:rsid w:val="00B57829"/>
    <w:rsid w:val="00B604DA"/>
    <w:rsid w:val="00B73574"/>
    <w:rsid w:val="00B77EB9"/>
    <w:rsid w:val="00B80022"/>
    <w:rsid w:val="00B92AD6"/>
    <w:rsid w:val="00B94B31"/>
    <w:rsid w:val="00BA2DC3"/>
    <w:rsid w:val="00BA5BC5"/>
    <w:rsid w:val="00BC5C23"/>
    <w:rsid w:val="00BC760F"/>
    <w:rsid w:val="00BD0D7F"/>
    <w:rsid w:val="00BD307F"/>
    <w:rsid w:val="00BD7DDA"/>
    <w:rsid w:val="00BE2A4B"/>
    <w:rsid w:val="00BE4270"/>
    <w:rsid w:val="00BF160D"/>
    <w:rsid w:val="00BF3071"/>
    <w:rsid w:val="00BF6353"/>
    <w:rsid w:val="00C00376"/>
    <w:rsid w:val="00C071BD"/>
    <w:rsid w:val="00C1511E"/>
    <w:rsid w:val="00C16A72"/>
    <w:rsid w:val="00C17230"/>
    <w:rsid w:val="00C17E3D"/>
    <w:rsid w:val="00C208B1"/>
    <w:rsid w:val="00C21283"/>
    <w:rsid w:val="00C309E2"/>
    <w:rsid w:val="00C30C31"/>
    <w:rsid w:val="00C31C47"/>
    <w:rsid w:val="00C33565"/>
    <w:rsid w:val="00C345F1"/>
    <w:rsid w:val="00C412AF"/>
    <w:rsid w:val="00C42A9A"/>
    <w:rsid w:val="00C475D2"/>
    <w:rsid w:val="00C479E1"/>
    <w:rsid w:val="00C556E9"/>
    <w:rsid w:val="00C71E27"/>
    <w:rsid w:val="00C7462D"/>
    <w:rsid w:val="00C74C4F"/>
    <w:rsid w:val="00C807B7"/>
    <w:rsid w:val="00C824D5"/>
    <w:rsid w:val="00C87F7C"/>
    <w:rsid w:val="00C900CD"/>
    <w:rsid w:val="00C903DE"/>
    <w:rsid w:val="00C9251A"/>
    <w:rsid w:val="00CA0609"/>
    <w:rsid w:val="00CA3BC2"/>
    <w:rsid w:val="00CA4165"/>
    <w:rsid w:val="00CA5123"/>
    <w:rsid w:val="00CA5F2C"/>
    <w:rsid w:val="00CB65D0"/>
    <w:rsid w:val="00CC5F64"/>
    <w:rsid w:val="00CD0D73"/>
    <w:rsid w:val="00CD360D"/>
    <w:rsid w:val="00CE2403"/>
    <w:rsid w:val="00CE7441"/>
    <w:rsid w:val="00CF53AE"/>
    <w:rsid w:val="00CF7AF9"/>
    <w:rsid w:val="00D003E3"/>
    <w:rsid w:val="00D06CD1"/>
    <w:rsid w:val="00D20279"/>
    <w:rsid w:val="00D2130E"/>
    <w:rsid w:val="00D2228F"/>
    <w:rsid w:val="00D224C3"/>
    <w:rsid w:val="00D234AB"/>
    <w:rsid w:val="00D2361B"/>
    <w:rsid w:val="00D308BC"/>
    <w:rsid w:val="00D31831"/>
    <w:rsid w:val="00D3282F"/>
    <w:rsid w:val="00D35DF4"/>
    <w:rsid w:val="00D37593"/>
    <w:rsid w:val="00D40193"/>
    <w:rsid w:val="00D430DC"/>
    <w:rsid w:val="00D43DCD"/>
    <w:rsid w:val="00D46524"/>
    <w:rsid w:val="00D533C9"/>
    <w:rsid w:val="00D57F55"/>
    <w:rsid w:val="00D60F40"/>
    <w:rsid w:val="00D616A6"/>
    <w:rsid w:val="00D6678A"/>
    <w:rsid w:val="00D66938"/>
    <w:rsid w:val="00D769A0"/>
    <w:rsid w:val="00D93826"/>
    <w:rsid w:val="00D97D3A"/>
    <w:rsid w:val="00DA22A7"/>
    <w:rsid w:val="00DA4816"/>
    <w:rsid w:val="00DA63B7"/>
    <w:rsid w:val="00DB4EC7"/>
    <w:rsid w:val="00DB5A18"/>
    <w:rsid w:val="00DB7721"/>
    <w:rsid w:val="00DC27EF"/>
    <w:rsid w:val="00DC48DA"/>
    <w:rsid w:val="00DD0D3B"/>
    <w:rsid w:val="00DD460F"/>
    <w:rsid w:val="00DD4B30"/>
    <w:rsid w:val="00DD6ADB"/>
    <w:rsid w:val="00DE1014"/>
    <w:rsid w:val="00DE5BE6"/>
    <w:rsid w:val="00DF4539"/>
    <w:rsid w:val="00DF4CE5"/>
    <w:rsid w:val="00DF57F7"/>
    <w:rsid w:val="00DF7441"/>
    <w:rsid w:val="00E00989"/>
    <w:rsid w:val="00E0161C"/>
    <w:rsid w:val="00E01B41"/>
    <w:rsid w:val="00E02731"/>
    <w:rsid w:val="00E0558E"/>
    <w:rsid w:val="00E079F8"/>
    <w:rsid w:val="00E142DC"/>
    <w:rsid w:val="00E174FD"/>
    <w:rsid w:val="00E21F62"/>
    <w:rsid w:val="00E26568"/>
    <w:rsid w:val="00E42A05"/>
    <w:rsid w:val="00E53EDB"/>
    <w:rsid w:val="00E54D93"/>
    <w:rsid w:val="00E60C95"/>
    <w:rsid w:val="00E613AC"/>
    <w:rsid w:val="00E62FE8"/>
    <w:rsid w:val="00E73843"/>
    <w:rsid w:val="00E743D1"/>
    <w:rsid w:val="00E750D0"/>
    <w:rsid w:val="00E90B99"/>
    <w:rsid w:val="00E9411A"/>
    <w:rsid w:val="00E968F6"/>
    <w:rsid w:val="00EA463A"/>
    <w:rsid w:val="00EA5179"/>
    <w:rsid w:val="00EC2844"/>
    <w:rsid w:val="00EC3B05"/>
    <w:rsid w:val="00EC3FDA"/>
    <w:rsid w:val="00ED43EE"/>
    <w:rsid w:val="00ED577E"/>
    <w:rsid w:val="00ED5F27"/>
    <w:rsid w:val="00EE139B"/>
    <w:rsid w:val="00EE63C0"/>
    <w:rsid w:val="00EF23B7"/>
    <w:rsid w:val="00EF28C1"/>
    <w:rsid w:val="00EF4CF8"/>
    <w:rsid w:val="00EF5A0C"/>
    <w:rsid w:val="00F02711"/>
    <w:rsid w:val="00F03BA8"/>
    <w:rsid w:val="00F110B7"/>
    <w:rsid w:val="00F200A7"/>
    <w:rsid w:val="00F21472"/>
    <w:rsid w:val="00F21A5B"/>
    <w:rsid w:val="00F30657"/>
    <w:rsid w:val="00F3390D"/>
    <w:rsid w:val="00F33EF8"/>
    <w:rsid w:val="00F42142"/>
    <w:rsid w:val="00F421AD"/>
    <w:rsid w:val="00F4243E"/>
    <w:rsid w:val="00F514D5"/>
    <w:rsid w:val="00F52FC1"/>
    <w:rsid w:val="00F62CE4"/>
    <w:rsid w:val="00F64F22"/>
    <w:rsid w:val="00F7081A"/>
    <w:rsid w:val="00F71943"/>
    <w:rsid w:val="00F71C5E"/>
    <w:rsid w:val="00F87B9C"/>
    <w:rsid w:val="00F90688"/>
    <w:rsid w:val="00F911E0"/>
    <w:rsid w:val="00F93EE9"/>
    <w:rsid w:val="00F952FB"/>
    <w:rsid w:val="00FA0C17"/>
    <w:rsid w:val="00FA6404"/>
    <w:rsid w:val="00FA7A3F"/>
    <w:rsid w:val="00FB17DB"/>
    <w:rsid w:val="00FB374B"/>
    <w:rsid w:val="00FB75E2"/>
    <w:rsid w:val="00FC3A74"/>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5752"/>
  <w15:docId w15:val="{E7B4B198-E25E-42C3-B40B-41F09AE4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32"/>
    <w:pPr>
      <w:spacing w:line="256" w:lineRule="auto"/>
    </w:pPr>
  </w:style>
  <w:style w:type="paragraph" w:styleId="Heading3">
    <w:name w:val="heading 3"/>
    <w:basedOn w:val="Normal"/>
    <w:next w:val="Normal"/>
    <w:link w:val="Heading3Char"/>
    <w:uiPriority w:val="9"/>
    <w:semiHidden/>
    <w:unhideWhenUsed/>
    <w:qFormat/>
    <w:rsid w:val="00987B52"/>
    <w:pPr>
      <w:keepNext/>
      <w:keepLines/>
      <w:spacing w:before="160" w:after="80" w:line="240" w:lineRule="auto"/>
      <w:outlineLvl w:val="2"/>
    </w:pPr>
    <w:rPr>
      <w:rFonts w:ascii="Times New Roman" w:eastAsiaTheme="majorEastAsia" w:hAnsi="Times New Roman" w:cstheme="majorBidi"/>
      <w:color w:val="2E74B5" w:themeColor="accent1" w:themeShade="BF"/>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34549"/>
    <w:rPr>
      <w:rFonts w:ascii="Calibri" w:eastAsia="Calibri" w:hAnsi="Calibri"/>
      <w:color w:val="00000A"/>
    </w:rPr>
  </w:style>
  <w:style w:type="paragraph" w:styleId="ListNumber">
    <w:name w:val="List Number"/>
    <w:basedOn w:val="Normal"/>
    <w:uiPriority w:val="99"/>
    <w:unhideWhenUsed/>
    <w:rsid w:val="00F110B7"/>
    <w:pPr>
      <w:numPr>
        <w:numId w:val="21"/>
      </w:numPr>
      <w:spacing w:after="200" w:line="276" w:lineRule="auto"/>
      <w:contextualSpacing/>
    </w:pPr>
    <w:rPr>
      <w:rFonts w:ascii="Arial" w:eastAsiaTheme="minorEastAsia" w:hAnsi="Arial"/>
    </w:rPr>
  </w:style>
  <w:style w:type="paragraph" w:styleId="CommentText">
    <w:name w:val="annotation text"/>
    <w:basedOn w:val="Normal"/>
    <w:link w:val="CommentTextChar"/>
    <w:uiPriority w:val="99"/>
    <w:unhideWhenUsed/>
    <w:rsid w:val="00CA5F2C"/>
    <w:pPr>
      <w:spacing w:line="240" w:lineRule="auto"/>
    </w:pPr>
    <w:rPr>
      <w:sz w:val="20"/>
      <w:szCs w:val="20"/>
    </w:rPr>
  </w:style>
  <w:style w:type="character" w:customStyle="1" w:styleId="CommentTextChar">
    <w:name w:val="Comment Text Char"/>
    <w:basedOn w:val="DefaultParagraphFont"/>
    <w:link w:val="CommentText"/>
    <w:uiPriority w:val="99"/>
    <w:rsid w:val="00CA5F2C"/>
    <w:rPr>
      <w:sz w:val="20"/>
      <w:szCs w:val="20"/>
    </w:rPr>
  </w:style>
  <w:style w:type="character" w:customStyle="1" w:styleId="Heading3Char">
    <w:name w:val="Heading 3 Char"/>
    <w:basedOn w:val="DefaultParagraphFont"/>
    <w:link w:val="Heading3"/>
    <w:uiPriority w:val="9"/>
    <w:semiHidden/>
    <w:rsid w:val="00987B52"/>
    <w:rPr>
      <w:rFonts w:ascii="Times New Roman" w:eastAsiaTheme="majorEastAsia" w:hAnsi="Times New Roman" w:cstheme="majorBidi"/>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3824">
      <w:bodyDiv w:val="1"/>
      <w:marLeft w:val="0"/>
      <w:marRight w:val="0"/>
      <w:marTop w:val="0"/>
      <w:marBottom w:val="0"/>
      <w:divBdr>
        <w:top w:val="none" w:sz="0" w:space="0" w:color="auto"/>
        <w:left w:val="none" w:sz="0" w:space="0" w:color="auto"/>
        <w:bottom w:val="none" w:sz="0" w:space="0" w:color="auto"/>
        <w:right w:val="none" w:sz="0" w:space="0" w:color="auto"/>
      </w:divBdr>
      <w:divsChild>
        <w:div w:id="1991979898">
          <w:marLeft w:val="0"/>
          <w:marRight w:val="0"/>
          <w:marTop w:val="0"/>
          <w:marBottom w:val="0"/>
          <w:divBdr>
            <w:top w:val="none" w:sz="0" w:space="0" w:color="auto"/>
            <w:left w:val="none" w:sz="0" w:space="0" w:color="auto"/>
            <w:bottom w:val="none" w:sz="0" w:space="0" w:color="auto"/>
            <w:right w:val="none" w:sz="0" w:space="0" w:color="auto"/>
          </w:divBdr>
          <w:divsChild>
            <w:div w:id="18397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8734">
      <w:bodyDiv w:val="1"/>
      <w:marLeft w:val="0"/>
      <w:marRight w:val="0"/>
      <w:marTop w:val="0"/>
      <w:marBottom w:val="0"/>
      <w:divBdr>
        <w:top w:val="none" w:sz="0" w:space="0" w:color="auto"/>
        <w:left w:val="none" w:sz="0" w:space="0" w:color="auto"/>
        <w:bottom w:val="none" w:sz="0" w:space="0" w:color="auto"/>
        <w:right w:val="none" w:sz="0" w:space="0" w:color="auto"/>
      </w:divBdr>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51884926">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39575">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E9CC8-5A01-494B-A39C-C140393A0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7</Pages>
  <Words>947</Words>
  <Characters>6837</Characters>
  <Application>Microsoft Office Word</Application>
  <DocSecurity>0</DocSecurity>
  <Lines>183</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https://mul2.gov.am/tasks/1196352/oneclick?token=7f5a779e4a74871f92c1b25a7cb43a92</cp:keywords>
  <dc:description/>
  <cp:lastModifiedBy>Tatevik Stepanyan</cp:lastModifiedBy>
  <cp:revision>42</cp:revision>
  <dcterms:created xsi:type="dcterms:W3CDTF">2024-12-13T10:29:00Z</dcterms:created>
  <dcterms:modified xsi:type="dcterms:W3CDTF">2025-08-26T11:55:00Z</dcterms:modified>
</cp:coreProperties>
</file>