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F0E" w:rsidRDefault="00532F0E" w:rsidP="00532F0E">
      <w:pPr>
        <w:pStyle w:val="ListParagraph"/>
        <w:shd w:val="clear" w:color="auto" w:fill="FFFFFF"/>
        <w:tabs>
          <w:tab w:val="left" w:pos="1080"/>
        </w:tabs>
        <w:spacing w:after="0" w:line="360" w:lineRule="auto"/>
        <w:ind w:left="0" w:firstLine="720"/>
        <w:jc w:val="center"/>
        <w:rPr>
          <w:bCs/>
          <w:color w:val="000000"/>
          <w:szCs w:val="24"/>
          <w:shd w:val="clear" w:color="auto" w:fill="FFFFFF"/>
          <w:lang w:val="hy-AM"/>
        </w:rPr>
      </w:pPr>
      <w:r>
        <w:rPr>
          <w:b/>
          <w:szCs w:val="24"/>
          <w:lang w:val="hy-AM"/>
        </w:rPr>
        <w:t>ՀԻՄՆԱՎՈՐՈՒՄ</w:t>
      </w:r>
    </w:p>
    <w:p w:rsidR="00532F0E" w:rsidRDefault="00532F0E" w:rsidP="00532F0E">
      <w:pPr>
        <w:tabs>
          <w:tab w:val="left" w:pos="0"/>
        </w:tabs>
        <w:spacing w:line="360" w:lineRule="auto"/>
        <w:ind w:firstLine="720"/>
        <w:jc w:val="center"/>
        <w:rPr>
          <w:b/>
          <w:lang w:val="hy-AM"/>
        </w:rPr>
      </w:pPr>
      <w:r>
        <w:rPr>
          <w:rFonts w:cs="Sylfaen"/>
          <w:b/>
          <w:szCs w:val="24"/>
          <w:lang w:val="hy-AM"/>
        </w:rPr>
        <w:t>«</w:t>
      </w:r>
      <w:r>
        <w:rPr>
          <w:b/>
          <w:lang w:val="hy-AM"/>
        </w:rPr>
        <w:t>ՀԱՅԱՍՏԱՆԻ ՀԱՆՐԱՊԵՏՈՒԹՅԱՆ ԿԱՌԱՎԱՐՈՒԹՅԱՆ 2020 ԹՎԱԿԱՆԻ ՄԱՐՏԻ 12-Ի N 287-Ն ՈՐՈՇՈՇՄԱՆ ՄԵՋ ՓՈՓՈԽՈՒԹՅՈՒՆՆԵՐ ԵՎ ԼՐԱՑՈՒՄՆԵՐ ԿԱՏԱՐԵԼՈՒ ՄԱՍԻՆ</w:t>
      </w:r>
      <w:r>
        <w:rPr>
          <w:rFonts w:cs="Sylfaen"/>
          <w:b/>
          <w:szCs w:val="24"/>
          <w:lang w:val="hy-AM"/>
        </w:rPr>
        <w:t xml:space="preserve"> ԿԱՌԱՎԱՐՈՒԹՅԱՆ ՈՐՈՇՄԱՆ </w:t>
      </w:r>
      <w:r>
        <w:rPr>
          <w:b/>
          <w:szCs w:val="24"/>
          <w:lang w:val="hy-AM"/>
        </w:rPr>
        <w:t>ՆԱԽԱԳԾԻ ԸՆԴՈՒՆՄԱՆ</w:t>
      </w:r>
    </w:p>
    <w:p w:rsidR="00532F0E" w:rsidRDefault="00532F0E" w:rsidP="00532F0E">
      <w:pPr>
        <w:spacing w:line="360" w:lineRule="auto"/>
        <w:ind w:firstLine="720"/>
        <w:jc w:val="center"/>
        <w:rPr>
          <w:b/>
          <w:szCs w:val="24"/>
          <w:lang w:val="hy-AM"/>
        </w:rPr>
      </w:pPr>
    </w:p>
    <w:p w:rsidR="00532F0E" w:rsidRDefault="00532F0E" w:rsidP="00532F0E">
      <w:pPr>
        <w:tabs>
          <w:tab w:val="left" w:pos="567"/>
        </w:tabs>
        <w:spacing w:line="360" w:lineRule="auto"/>
        <w:ind w:firstLine="720"/>
        <w:jc w:val="both"/>
        <w:rPr>
          <w:rFonts w:cs="Sylfaen"/>
          <w:b/>
          <w:szCs w:val="24"/>
          <w:lang w:val="hy-AM"/>
        </w:rPr>
      </w:pPr>
      <w:r>
        <w:rPr>
          <w:rFonts w:cs="Sylfaen"/>
          <w:b/>
          <w:szCs w:val="24"/>
          <w:lang w:val="hy-AM"/>
        </w:rPr>
        <w:t>1. Իրավական ակտի անհրաժեշտությունը (նպատակը)</w:t>
      </w:r>
    </w:p>
    <w:p w:rsidR="00532F0E" w:rsidRDefault="00532F0E" w:rsidP="00532F0E">
      <w:pPr>
        <w:tabs>
          <w:tab w:val="left" w:pos="1080"/>
        </w:tabs>
        <w:spacing w:line="360" w:lineRule="auto"/>
        <w:ind w:firstLine="720"/>
        <w:jc w:val="both"/>
        <w:rPr>
          <w:rFonts w:cs="Sylfaen"/>
          <w:szCs w:val="24"/>
          <w:lang w:val="hy-AM"/>
        </w:rPr>
      </w:pPr>
      <w:r>
        <w:rPr>
          <w:rFonts w:cs="Sylfaen"/>
          <w:szCs w:val="24"/>
          <w:lang w:val="hy-AM"/>
        </w:rPr>
        <w:t>Ներկայացվող նախագծի ընդունումը պայմանավորված է ««Ժամանակավոր անաշխատունակության և մայրության նպաստների մասին» օրենքում լրացումներ և փոփոխություններ</w:t>
      </w:r>
      <w:r>
        <w:rPr>
          <w:rFonts w:ascii="Courier New" w:hAnsi="Courier New" w:cs="Courier New"/>
          <w:szCs w:val="24"/>
          <w:lang w:val="hy-AM"/>
        </w:rPr>
        <w:t> </w:t>
      </w:r>
      <w:r>
        <w:rPr>
          <w:rFonts w:cs="Sylfaen"/>
          <w:szCs w:val="24"/>
          <w:lang w:val="hy-AM"/>
        </w:rPr>
        <w:t>կատարելու</w:t>
      </w:r>
      <w:r>
        <w:rPr>
          <w:rFonts w:ascii="Courier New" w:hAnsi="Courier New" w:cs="Courier New"/>
          <w:szCs w:val="24"/>
          <w:lang w:val="hy-AM"/>
        </w:rPr>
        <w:t> </w:t>
      </w:r>
      <w:r>
        <w:rPr>
          <w:rFonts w:cs="Sylfaen"/>
          <w:szCs w:val="24"/>
          <w:lang w:val="hy-AM"/>
        </w:rPr>
        <w:t>մասին» 27.03.2025, ՀՕ-73-Ն օրենքի կիրարկումն ապահովելու անհրաժեշտությամբ։</w:t>
      </w:r>
    </w:p>
    <w:p w:rsidR="00532F0E" w:rsidRDefault="00532F0E" w:rsidP="00532F0E">
      <w:pPr>
        <w:tabs>
          <w:tab w:val="left" w:pos="567"/>
        </w:tabs>
        <w:spacing w:line="360" w:lineRule="auto"/>
        <w:ind w:firstLine="720"/>
        <w:jc w:val="both"/>
        <w:rPr>
          <w:rFonts w:cs="Sylfaen"/>
          <w:b/>
          <w:szCs w:val="24"/>
          <w:lang w:val="hy-AM"/>
        </w:rPr>
      </w:pPr>
    </w:p>
    <w:p w:rsidR="00532F0E" w:rsidRDefault="00532F0E" w:rsidP="00532F0E">
      <w:pPr>
        <w:tabs>
          <w:tab w:val="left" w:pos="567"/>
        </w:tabs>
        <w:spacing w:line="360" w:lineRule="auto"/>
        <w:ind w:firstLine="720"/>
        <w:jc w:val="both"/>
        <w:rPr>
          <w:rFonts w:cs="Sylfaen"/>
          <w:b/>
          <w:szCs w:val="24"/>
          <w:lang w:val="hy-AM"/>
        </w:rPr>
      </w:pPr>
      <w:r>
        <w:rPr>
          <w:rFonts w:cs="Sylfaen"/>
          <w:b/>
          <w:szCs w:val="24"/>
          <w:lang w:val="hy-AM"/>
        </w:rPr>
        <w:t>1.1. Կարգավորման հարաբերությունների ներկա վիճակը և առկա խնդիրները</w:t>
      </w:r>
    </w:p>
    <w:p w:rsidR="00532F0E" w:rsidRDefault="00532F0E" w:rsidP="00532F0E">
      <w:pPr>
        <w:shd w:val="clear" w:color="auto" w:fill="FFFFFF"/>
        <w:spacing w:after="0" w:line="360" w:lineRule="auto"/>
        <w:ind w:firstLine="720"/>
        <w:jc w:val="both"/>
        <w:rPr>
          <w:rFonts w:cs="Sylfaen"/>
          <w:szCs w:val="24"/>
          <w:lang w:val="hy-AM"/>
        </w:rPr>
      </w:pPr>
      <w:r>
        <w:rPr>
          <w:rFonts w:cs="Sylfaen"/>
          <w:szCs w:val="24"/>
          <w:lang w:val="hy-AM"/>
        </w:rPr>
        <w:t>««Ժամանակավոր անաշխատունակության և մայրության նպաստների մասին» օրենքում լրացումներ և փոփոխություններ</w:t>
      </w:r>
      <w:r>
        <w:rPr>
          <w:rFonts w:ascii="Courier New" w:hAnsi="Courier New" w:cs="Courier New"/>
          <w:szCs w:val="24"/>
          <w:lang w:val="hy-AM"/>
        </w:rPr>
        <w:t> </w:t>
      </w:r>
      <w:r>
        <w:rPr>
          <w:rFonts w:cs="Sylfaen"/>
          <w:szCs w:val="24"/>
          <w:lang w:val="hy-AM"/>
        </w:rPr>
        <w:t>կատարելու</w:t>
      </w:r>
      <w:r>
        <w:rPr>
          <w:rFonts w:ascii="Courier New" w:hAnsi="Courier New" w:cs="Courier New"/>
          <w:szCs w:val="24"/>
          <w:lang w:val="hy-AM"/>
        </w:rPr>
        <w:t> </w:t>
      </w:r>
      <w:r>
        <w:rPr>
          <w:rFonts w:cs="Sylfaen"/>
          <w:szCs w:val="24"/>
          <w:lang w:val="hy-AM"/>
        </w:rPr>
        <w:t xml:space="preserve">մասին» 27.03.2025, ՀՕ-73-Ն օրենքով (այսուհետ՝ Օրենք) ներդրվեց Ժամանակավոր անաշխատունակության և մայրության նպաստների (այսուհետ՝ նպաստ) հաշվարկելու, նշանակելու և վճարելու նոր համակարգ: Ըստ նոր կարգավորումների՝ </w:t>
      </w:r>
      <w:r>
        <w:rPr>
          <w:rFonts w:eastAsia="Times New Roman" w:cs="Times New Roman"/>
          <w:szCs w:val="24"/>
          <w:lang w:val="hy-AM"/>
        </w:rPr>
        <w:t xml:space="preserve">«Եկամտային հարկի, շահութահարկի և սոցիալական վճարի անձնավորված հաշվառման մասին» օրենքով սահմանված տեղեկատվական բազայի </w:t>
      </w:r>
      <w:r>
        <w:rPr>
          <w:rFonts w:eastAsia="Times New Roman" w:cs="Times New Roman"/>
          <w:color w:val="000000"/>
          <w:szCs w:val="24"/>
          <w:lang w:val="hy-AM"/>
        </w:rPr>
        <w:t xml:space="preserve">(այսուհետ՝ հարկային մարմնի բազա) </w:t>
      </w:r>
      <w:r>
        <w:rPr>
          <w:rFonts w:eastAsia="Times New Roman" w:cs="Times New Roman"/>
          <w:szCs w:val="24"/>
          <w:lang w:val="hy-AM"/>
        </w:rPr>
        <w:t xml:space="preserve">և էլեկտրոնային առողջապահության համակարգի տվյալների հիման վրա </w:t>
      </w:r>
      <w:r>
        <w:rPr>
          <w:rFonts w:eastAsia="Times New Roman" w:cs="Times New Roman"/>
          <w:color w:val="000000"/>
          <w:szCs w:val="24"/>
          <w:lang w:val="hy-AM"/>
        </w:rPr>
        <w:t xml:space="preserve">Աշխատանքի և սոցիալական հարցերի նախարարության միասնական սոցիալական ծառայությունը (այսուհետ՝ ծառայություն) </w:t>
      </w:r>
      <w:r>
        <w:rPr>
          <w:rFonts w:cs="Sylfaen"/>
          <w:szCs w:val="24"/>
          <w:lang w:val="hy-AM"/>
        </w:rPr>
        <w:t xml:space="preserve">հաշվարկելու, նշանակելու և վճարելու է նպաստը: </w:t>
      </w:r>
    </w:p>
    <w:p w:rsidR="00532F0E" w:rsidRDefault="00532F0E" w:rsidP="00532F0E">
      <w:pPr>
        <w:shd w:val="clear" w:color="auto" w:fill="FFFFFF"/>
        <w:spacing w:after="0" w:line="360" w:lineRule="auto"/>
        <w:ind w:firstLine="720"/>
        <w:jc w:val="both"/>
        <w:rPr>
          <w:rFonts w:cs="Sylfaen"/>
          <w:szCs w:val="24"/>
          <w:lang w:val="hy-AM"/>
        </w:rPr>
      </w:pPr>
      <w:r>
        <w:rPr>
          <w:rFonts w:cs="Sylfaen"/>
          <w:szCs w:val="24"/>
          <w:lang w:val="hy-AM"/>
        </w:rPr>
        <w:t>Օրենքով կառավարությանը վերապահված է սահմանել նաև մայրության նպաստը, ժամանակավոր անաշխատունակության նպաստի՝ պետական բյուջեից վճարման ենթակա գումարը բանկի միջոցով վճարելու կարգը (24-րդ հոդվածի 8-րդ մաս)։</w:t>
      </w:r>
    </w:p>
    <w:p w:rsidR="00532F0E" w:rsidRDefault="00532F0E" w:rsidP="00532F0E">
      <w:pPr>
        <w:shd w:val="clear" w:color="auto" w:fill="FFFFFF"/>
        <w:spacing w:after="0" w:line="360" w:lineRule="auto"/>
        <w:ind w:firstLine="720"/>
        <w:jc w:val="both"/>
        <w:rPr>
          <w:rFonts w:cs="Sylfaen"/>
          <w:szCs w:val="24"/>
          <w:lang w:val="hy-AM"/>
        </w:rPr>
      </w:pPr>
      <w:r>
        <w:rPr>
          <w:rFonts w:cs="Sylfaen"/>
          <w:szCs w:val="24"/>
          <w:lang w:val="hy-AM"/>
        </w:rPr>
        <w:t>Հարկ է նկատի ունենալ, որ «Ժամանակավոր անաշխատունակության և մայրության նպաստների մասին» օրենքի կիրարկումն ապահովում է Կառավարության 2011 թվականի հուլիսի 14-ի N 1024-Ն որոշմամբ։ Ըստ այդմ, օրենքի ընդունմամբ մշակվել և շրջանառության մեջ է դրվել նաև «Հայաuտանի Հանրապետության կառավարության 2011 թվականի հուլիսի 14-ի N 1024-Ն որոշման մեջ փոփոխություն կատարելու մասին Հայաuտանի Հանրապետության կառավարության որոշման նախագիծը, որով առաջարկվել սահմանել նաև օրենքի 24-րդ հոդվածի 8-րդ մասով նախատեսված՝ մայրության նպաստը, ժամանակավոր անաշխատունակության նպաստի՝ պետական բյուջեից վճարման ենթակա գումարը բանկի միջոցով վճարելու կարգը։</w:t>
      </w:r>
    </w:p>
    <w:p w:rsidR="00532F0E" w:rsidRDefault="00532F0E" w:rsidP="00532F0E">
      <w:pPr>
        <w:shd w:val="clear" w:color="auto" w:fill="FFFFFF"/>
        <w:spacing w:after="0" w:line="360" w:lineRule="auto"/>
        <w:ind w:firstLine="720"/>
        <w:jc w:val="both"/>
        <w:rPr>
          <w:rFonts w:cs="Sylfaen"/>
          <w:szCs w:val="24"/>
          <w:lang w:val="hy-AM"/>
        </w:rPr>
      </w:pPr>
      <w:r>
        <w:rPr>
          <w:rFonts w:cs="Sylfaen"/>
          <w:szCs w:val="24"/>
          <w:lang w:val="hy-AM"/>
        </w:rPr>
        <w:t xml:space="preserve">Մասնավորապես շրջանառվող նախագծով նախատեսվել է, որ նպաստը վճարվում է բացառապես անկանխիկ եղանակով՝ Հայաստանի Հանրապետության քաղաքացիական օրենսգրքի 928.8-րդ հոդվածով սահմանված միանվագ դրամական վճարների հաշվի պայմանագիր կնքած բանկում (այսուհետ՝ բանկ) վարձու աշխատողի անվամբ բացված՝ </w:t>
      </w:r>
      <w:r>
        <w:rPr>
          <w:color w:val="000000"/>
          <w:lang w:val="hy-AM"/>
        </w:rPr>
        <w:t>հատուկ բանկային հաշիվ չհանդիսացող այլ դրամային հաշվին (</w:t>
      </w:r>
      <w:r>
        <w:rPr>
          <w:rFonts w:cs="Sylfaen"/>
          <w:lang w:val="hy-AM"/>
        </w:rPr>
        <w:t>պայմանագրում կիրառվող հասկացություններում սահմանվում է «բանկային այլ հաշիվ» եզրույթը</w:t>
      </w:r>
      <w:r>
        <w:rPr>
          <w:color w:val="000000"/>
          <w:lang w:val="hy-AM"/>
        </w:rPr>
        <w:t xml:space="preserve">) փոխանցելու միջոցով, իսկ նման հաշվի բացակայության դեպքում՝ </w:t>
      </w:r>
      <w:r>
        <w:rPr>
          <w:rFonts w:cs="Sylfaen"/>
          <w:szCs w:val="24"/>
          <w:lang w:val="hy-AM"/>
        </w:rPr>
        <w:t>միանվագ դրամական վճարների հաշվին փոխանցելու միջոցով։ Բանկի ընտրությունն անձը կատարում է բժշկական հաստատությունում (էլեկտրոնային առողջապահության համակարգում), երբ իր անվամբ բացվում է անաշխատունակության թերթիկ։ Ընդ որում, օրենքի 24-րդ հոդվածի 8-րդ մասի և 26-րդ հոդվածի 2-րդ մասի հաշվառմամբ անձը Էլեկտրոնային առողջապահական համակարգում ընտրում է միայն բանկը (բանկային հաշվի համար չի տրամադրում), ինչով պայմանավորված էլ նպաստի գումարը փոխանցվում է անձի (բուժառուի) ընտրած բանկ։ Բանկը ճշտում է նրա անվամբ բացված բանկային այլ հաշվի առկայությունը և անձի (բուժառուի) անվամբ՝</w:t>
      </w:r>
    </w:p>
    <w:p w:rsidR="00532F0E" w:rsidRDefault="00532F0E" w:rsidP="00532F0E">
      <w:pPr>
        <w:shd w:val="clear" w:color="auto" w:fill="FFFFFF"/>
        <w:spacing w:after="0" w:line="360" w:lineRule="auto"/>
        <w:ind w:firstLine="720"/>
        <w:jc w:val="both"/>
        <w:rPr>
          <w:rFonts w:cs="Sylfaen"/>
          <w:szCs w:val="24"/>
          <w:lang w:val="hy-AM"/>
        </w:rPr>
      </w:pPr>
      <w:r>
        <w:rPr>
          <w:rFonts w:cs="Sylfaen"/>
          <w:szCs w:val="24"/>
          <w:lang w:val="hy-AM"/>
        </w:rPr>
        <w:t>1) բացված բանկային այլ հաշվի առկայության դեպքում` նպաստի գումարը մուտքագրում է այդ բանկային հաշվին.</w:t>
      </w:r>
    </w:p>
    <w:p w:rsidR="00532F0E" w:rsidRDefault="00532F0E" w:rsidP="00532F0E">
      <w:pPr>
        <w:shd w:val="clear" w:color="auto" w:fill="FFFFFF"/>
        <w:spacing w:after="0" w:line="360" w:lineRule="auto"/>
        <w:ind w:firstLine="720"/>
        <w:jc w:val="both"/>
        <w:rPr>
          <w:rFonts w:cs="Sylfaen"/>
          <w:szCs w:val="24"/>
          <w:lang w:val="hy-AM"/>
        </w:rPr>
      </w:pPr>
      <w:r>
        <w:rPr>
          <w:rFonts w:cs="Sylfaen"/>
          <w:szCs w:val="24"/>
          <w:lang w:val="hy-AM"/>
        </w:rPr>
        <w:t xml:space="preserve">2) բանկային այլ հաշվի բացակայության դեպքում` անձի (բուժառուի) անվամբ բացում է միանվագ դրամական վճարների հաշիվ և նպաստի գումարը մուտքագրում այդ հաշվին: </w:t>
      </w:r>
    </w:p>
    <w:p w:rsidR="00532F0E" w:rsidRDefault="00532F0E" w:rsidP="00532F0E">
      <w:pPr>
        <w:shd w:val="clear" w:color="auto" w:fill="FFFFFF"/>
        <w:spacing w:after="0" w:line="360" w:lineRule="auto"/>
        <w:ind w:firstLine="709"/>
        <w:jc w:val="both"/>
        <w:rPr>
          <w:rFonts w:cs="Sylfaen"/>
          <w:szCs w:val="24"/>
          <w:lang w:val="hy-AM"/>
        </w:rPr>
      </w:pPr>
      <w:r>
        <w:rPr>
          <w:rFonts w:eastAsia="Times New Roman" w:cs="Times New Roman"/>
          <w:color w:val="000000" w:themeColor="text1"/>
          <w:szCs w:val="24"/>
          <w:lang w:val="hy-AM"/>
        </w:rPr>
        <w:t xml:space="preserve">Ըստ այդմ, անհրաժեշտություն է առաջացել նպաստների վճարման այս կարգին համապատասխան կարգավորումներ նախատեսել նաև </w:t>
      </w:r>
      <w:r>
        <w:rPr>
          <w:rFonts w:cs="Sylfaen"/>
          <w:szCs w:val="24"/>
          <w:lang w:val="hy-AM"/>
        </w:rPr>
        <w:t xml:space="preserve">Հայաuտանի Հանրապետության կառավարության </w:t>
      </w:r>
      <w:r>
        <w:rPr>
          <w:rFonts w:eastAsia="Times New Roman" w:cs="Times New Roman"/>
          <w:bCs/>
          <w:color w:val="000000"/>
          <w:szCs w:val="24"/>
          <w:lang w:val="hy-AM"/>
        </w:rPr>
        <w:t>2020 թվականի մարտի 12-ի</w:t>
      </w:r>
      <w:r>
        <w:rPr>
          <w:rFonts w:cs="Sylfaen"/>
          <w:szCs w:val="24"/>
          <w:lang w:val="hy-AM"/>
        </w:rPr>
        <w:t xml:space="preserve"> N 287-Ն որոշման մեջ, որով սահմանված են Հայաստանի Հանրապետության քաղաքացիական օրենսգրքի 928.8-րդ հոդվածով սահմանված միանվագ դրամական վճարների հաշվին մուտքագրելու միջոցով վճարվող գումարները և միանվագ դրամական վճարների հաշվի պայմանագրի օրինակելի ձևը:</w:t>
      </w:r>
    </w:p>
    <w:p w:rsidR="00532F0E" w:rsidRDefault="00532F0E" w:rsidP="00532F0E">
      <w:pPr>
        <w:spacing w:after="0" w:line="360" w:lineRule="auto"/>
        <w:ind w:firstLine="720"/>
        <w:jc w:val="both"/>
        <w:rPr>
          <w:rFonts w:cs="Sylfaen"/>
          <w:szCs w:val="24"/>
          <w:lang w:val="hy-AM"/>
        </w:rPr>
      </w:pPr>
    </w:p>
    <w:p w:rsidR="00532F0E" w:rsidRDefault="00532F0E" w:rsidP="00532F0E">
      <w:pPr>
        <w:tabs>
          <w:tab w:val="left" w:pos="1080"/>
        </w:tabs>
        <w:spacing w:after="0" w:line="360" w:lineRule="auto"/>
        <w:ind w:firstLine="720"/>
        <w:jc w:val="both"/>
        <w:rPr>
          <w:rFonts w:cs="Sylfaen"/>
          <w:b/>
          <w:szCs w:val="24"/>
          <w:lang w:val="hy-AM"/>
        </w:rPr>
      </w:pPr>
      <w:r>
        <w:rPr>
          <w:rFonts w:cs="Sylfaen"/>
          <w:b/>
          <w:szCs w:val="24"/>
          <w:lang w:val="hy-AM"/>
        </w:rPr>
        <w:t>1.2. Առկա խնդրի առաջարկվող լուծումը</w:t>
      </w:r>
    </w:p>
    <w:p w:rsidR="00532F0E" w:rsidRDefault="00532F0E" w:rsidP="00532F0E">
      <w:pPr>
        <w:tabs>
          <w:tab w:val="left" w:pos="567"/>
        </w:tabs>
        <w:spacing w:after="0" w:line="360" w:lineRule="auto"/>
        <w:ind w:firstLine="720"/>
        <w:jc w:val="both"/>
        <w:rPr>
          <w:rFonts w:cs="Sylfaen"/>
          <w:szCs w:val="24"/>
          <w:lang w:val="hy-AM"/>
        </w:rPr>
      </w:pPr>
      <w:r>
        <w:rPr>
          <w:rFonts w:cs="Sylfaen"/>
          <w:szCs w:val="24"/>
          <w:lang w:val="hy-AM"/>
        </w:rPr>
        <w:t xml:space="preserve">Առաջարկվում է ընդունել «Հայաuտանի Հանրապետության կառավարության </w:t>
      </w:r>
      <w:r>
        <w:rPr>
          <w:rFonts w:eastAsia="Times New Roman" w:cs="Times New Roman"/>
          <w:bCs/>
          <w:color w:val="000000"/>
          <w:szCs w:val="24"/>
          <w:lang w:val="hy-AM"/>
        </w:rPr>
        <w:t>2020 թվականի մարտի 12-ի</w:t>
      </w:r>
      <w:r>
        <w:rPr>
          <w:rFonts w:cs="Sylfaen"/>
          <w:szCs w:val="24"/>
          <w:lang w:val="hy-AM"/>
        </w:rPr>
        <w:t xml:space="preserve"> N 287-Ն որոշման մեջ փոփոխություններ և լրացումներ կատարելու մասին Հայաuտանի Հանրապետության կառավարության որոշման նախագիծը։ </w:t>
      </w:r>
    </w:p>
    <w:p w:rsidR="00532F0E" w:rsidRDefault="00532F0E" w:rsidP="00532F0E">
      <w:pPr>
        <w:tabs>
          <w:tab w:val="left" w:pos="567"/>
        </w:tabs>
        <w:spacing w:after="0" w:line="360" w:lineRule="auto"/>
        <w:ind w:firstLine="720"/>
        <w:jc w:val="both"/>
        <w:rPr>
          <w:rFonts w:cs="Sylfaen"/>
          <w:szCs w:val="24"/>
          <w:lang w:val="hy-AM"/>
        </w:rPr>
      </w:pPr>
    </w:p>
    <w:p w:rsidR="00532F0E" w:rsidRDefault="00532F0E" w:rsidP="00532F0E">
      <w:pPr>
        <w:tabs>
          <w:tab w:val="left" w:pos="1080"/>
        </w:tabs>
        <w:spacing w:after="0" w:line="360" w:lineRule="auto"/>
        <w:ind w:firstLine="720"/>
        <w:jc w:val="both"/>
        <w:rPr>
          <w:rFonts w:cs="Sylfaen"/>
          <w:b/>
          <w:szCs w:val="24"/>
          <w:lang w:val="hy-AM"/>
        </w:rPr>
      </w:pPr>
      <w:r>
        <w:rPr>
          <w:rFonts w:cs="Sylfaen"/>
          <w:b/>
          <w:szCs w:val="24"/>
          <w:lang w:val="hy-AM"/>
        </w:rPr>
        <w:t>2. Կարգավորման առարկան</w:t>
      </w:r>
    </w:p>
    <w:p w:rsidR="00532F0E" w:rsidRDefault="00532F0E" w:rsidP="00532F0E">
      <w:pPr>
        <w:pStyle w:val="ListParagraph"/>
        <w:shd w:val="clear" w:color="auto" w:fill="FFFFFF"/>
        <w:tabs>
          <w:tab w:val="left" w:pos="993"/>
        </w:tabs>
        <w:spacing w:after="0" w:line="360" w:lineRule="auto"/>
        <w:ind w:left="0" w:firstLine="709"/>
        <w:jc w:val="both"/>
        <w:rPr>
          <w:rFonts w:eastAsia="Times New Roman" w:cs="Times New Roman"/>
          <w:color w:val="000000" w:themeColor="text1"/>
          <w:szCs w:val="24"/>
          <w:lang w:val="hy-AM"/>
        </w:rPr>
      </w:pPr>
      <w:r>
        <w:rPr>
          <w:rFonts w:eastAsia="Times New Roman" w:cs="Times New Roman"/>
          <w:color w:val="000000" w:themeColor="text1"/>
          <w:szCs w:val="24"/>
          <w:lang w:val="hy-AM"/>
        </w:rPr>
        <w:t>Նպաստի վճարումը Հանրապետության քաղաքացիական օրենսգրքի 928.8-րդ հոդվածով սահմանված միանվագ դրամական վճարների հաշվի պայմանագիր կնքած բանկի միջոցով իրականանցնելու նպատակով առաջարկվում է Կառավարության 2020 թվականի մարտի 12-ի թիվ 287-Ն որոշման մեջ կատարել հետևյալ փոփոխությունները՝</w:t>
      </w:r>
    </w:p>
    <w:p w:rsidR="00532F0E" w:rsidRDefault="00532F0E" w:rsidP="00532F0E">
      <w:pPr>
        <w:pStyle w:val="ListParagraph"/>
        <w:numPr>
          <w:ilvl w:val="0"/>
          <w:numId w:val="17"/>
        </w:numPr>
        <w:shd w:val="clear" w:color="auto" w:fill="FFFFFF"/>
        <w:tabs>
          <w:tab w:val="left" w:pos="993"/>
        </w:tabs>
        <w:spacing w:after="0" w:line="360" w:lineRule="auto"/>
        <w:ind w:left="0" w:firstLine="720"/>
        <w:jc w:val="both"/>
        <w:rPr>
          <w:rFonts w:cs="Sylfaen"/>
          <w:lang w:val="hy-AM"/>
        </w:rPr>
      </w:pPr>
      <w:r>
        <w:rPr>
          <w:rFonts w:eastAsia="Times New Roman" w:cs="Times New Roman"/>
          <w:color w:val="000000" w:themeColor="text1"/>
          <w:szCs w:val="24"/>
          <w:lang w:val="hy-AM"/>
        </w:rPr>
        <w:t>սահմանել, որ միանվագ դրամական վճարների հաշվին մուտքագրելու միջոցով վճարվում են նաև «Ժամանակավոր անաշխատունակության և մայրության նպաստների մասին» օրենքով սահմանված՝ մայրության նպաստի և ժամանակավոր անաշխատունակության նպաստի՝ պետական բյուջեից վճարման ենթակա գումարները (երկուսը միասին՝ նպաստ),</w:t>
      </w:r>
    </w:p>
    <w:p w:rsidR="00532F0E" w:rsidRDefault="00532F0E" w:rsidP="00532F0E">
      <w:pPr>
        <w:pStyle w:val="ListParagraph"/>
        <w:numPr>
          <w:ilvl w:val="0"/>
          <w:numId w:val="17"/>
        </w:numPr>
        <w:shd w:val="clear" w:color="auto" w:fill="FFFFFF"/>
        <w:tabs>
          <w:tab w:val="left" w:pos="993"/>
        </w:tabs>
        <w:spacing w:after="0" w:line="360" w:lineRule="auto"/>
        <w:ind w:left="0" w:firstLine="720"/>
        <w:jc w:val="both"/>
        <w:rPr>
          <w:rFonts w:cs="Sylfaen"/>
          <w:lang w:val="hy-AM"/>
        </w:rPr>
      </w:pPr>
      <w:r>
        <w:rPr>
          <w:rFonts w:cs="Sylfaen"/>
          <w:lang w:val="hy-AM"/>
        </w:rPr>
        <w:t xml:space="preserve"> սահմանված կարգով լիազոր մարմնի կողմից վճարման ցուցակը բանկին տրամադրելուց հետո, բանկը շահառուի անվամբ բացում է բանկային հաշիվ և այդ հաշվին է մուտքագրում նպաստի գումարը, եթե  շահառուի անվամբ բանկում առկա չէ բանկային այլ հաշիվ (պայմանագրում կիրառվող հասկացություններում սահմանվում է նաև «բանկային այլ հաշիվ եզրույթը»),</w:t>
      </w:r>
    </w:p>
    <w:p w:rsidR="00532F0E" w:rsidRDefault="00532F0E" w:rsidP="00532F0E">
      <w:pPr>
        <w:pStyle w:val="ListParagraph"/>
        <w:numPr>
          <w:ilvl w:val="0"/>
          <w:numId w:val="17"/>
        </w:numPr>
        <w:shd w:val="clear" w:color="auto" w:fill="FFFFFF"/>
        <w:tabs>
          <w:tab w:val="left" w:pos="993"/>
        </w:tabs>
        <w:spacing w:after="0" w:line="360" w:lineRule="auto"/>
        <w:ind w:left="0" w:firstLine="720"/>
        <w:jc w:val="both"/>
        <w:rPr>
          <w:rFonts w:cs="Sylfaen"/>
          <w:lang w:val="hy-AM"/>
        </w:rPr>
      </w:pPr>
      <w:r>
        <w:rPr>
          <w:rFonts w:cs="Sylfaen"/>
          <w:lang w:val="hy-AM"/>
        </w:rPr>
        <w:t>լիազոր մարմնի կողմից նպաստի վճարման ցուցակը բանկին տրամադրելուց հետո, եթե շահառուի անվամբ բանկում առկա է բանկային այլ հաշիվ, ապա բանկը այդ հաշվին է մուտքագրում նպաստի գումարը, որից հետո այն համարվում է վճարված (12-ամսյա ժամկետում բանկ ներկայանալու պահանջը վերանում է և 12-ամսյա ժամկետի հաշվառումը այս դեպքում բանկը չի կատարում),</w:t>
      </w:r>
    </w:p>
    <w:p w:rsidR="00532F0E" w:rsidRDefault="00532F0E" w:rsidP="00532F0E">
      <w:pPr>
        <w:pStyle w:val="ListParagraph"/>
        <w:numPr>
          <w:ilvl w:val="0"/>
          <w:numId w:val="17"/>
        </w:numPr>
        <w:shd w:val="clear" w:color="auto" w:fill="FFFFFF"/>
        <w:tabs>
          <w:tab w:val="left" w:pos="993"/>
        </w:tabs>
        <w:spacing w:after="0" w:line="360" w:lineRule="auto"/>
        <w:ind w:left="0" w:firstLine="720"/>
        <w:jc w:val="both"/>
        <w:rPr>
          <w:rFonts w:cs="Sylfaen"/>
          <w:lang w:val="hy-AM"/>
        </w:rPr>
      </w:pPr>
      <w:r>
        <w:rPr>
          <w:rFonts w:cs="Sylfaen"/>
          <w:lang w:val="hy-AM"/>
        </w:rPr>
        <w:t xml:space="preserve"> համապատասխան փոփոխություններ են կատարվել նաև հաշվետվողական ձևերի մեջ և նպաստի համար սահմանվել է հաշվետվողական նոր՝ 9-րդ ձև, որը բանկը յուրաքանչյուր ամիս տրամադրելու է լիազոր մարմնին (այլ հաշվետվողական ձևերի նման)։</w:t>
      </w:r>
    </w:p>
    <w:p w:rsidR="00532F0E" w:rsidRDefault="00532F0E" w:rsidP="00532F0E">
      <w:pPr>
        <w:tabs>
          <w:tab w:val="left" w:pos="720"/>
        </w:tabs>
        <w:spacing w:after="0" w:line="360" w:lineRule="auto"/>
        <w:ind w:firstLine="720"/>
        <w:jc w:val="both"/>
        <w:rPr>
          <w:rFonts w:cs="Sylfaen"/>
          <w:color w:val="000000"/>
          <w:szCs w:val="24"/>
          <w:lang w:val="hy-AM"/>
        </w:rPr>
      </w:pPr>
    </w:p>
    <w:p w:rsidR="00532F0E" w:rsidRDefault="00532F0E" w:rsidP="00532F0E">
      <w:pPr>
        <w:tabs>
          <w:tab w:val="left" w:pos="567"/>
        </w:tabs>
        <w:spacing w:after="0" w:line="360" w:lineRule="auto"/>
        <w:ind w:firstLine="720"/>
        <w:jc w:val="both"/>
        <w:rPr>
          <w:rFonts w:cs="Sylfaen"/>
          <w:b/>
          <w:szCs w:val="24"/>
          <w:lang w:val="hy-AM"/>
        </w:rPr>
      </w:pPr>
      <w:r>
        <w:rPr>
          <w:rFonts w:cs="Sylfaen"/>
          <w:b/>
          <w:szCs w:val="24"/>
          <w:lang w:val="hy-AM"/>
        </w:rPr>
        <w:t>3. Իրավական ակտի կիրառման դեպքում ակնկալվող արդյունքը</w:t>
      </w:r>
    </w:p>
    <w:p w:rsidR="00532F0E" w:rsidRDefault="00532F0E" w:rsidP="00532F0E">
      <w:pPr>
        <w:tabs>
          <w:tab w:val="left" w:pos="567"/>
        </w:tabs>
        <w:spacing w:after="0" w:line="360" w:lineRule="auto"/>
        <w:ind w:firstLine="720"/>
        <w:jc w:val="both"/>
        <w:rPr>
          <w:rFonts w:cs="Sylfaen"/>
          <w:szCs w:val="24"/>
          <w:lang w:val="hy-AM"/>
        </w:rPr>
      </w:pPr>
      <w:r>
        <w:rPr>
          <w:rFonts w:cs="Sylfaen"/>
          <w:szCs w:val="24"/>
          <w:lang w:val="hy-AM"/>
        </w:rPr>
        <w:t>Նախագիծն ընդունվելու դեպքում կապահովվի ««Ժամանակավոր անաշխատունակության և մայրության նպաստների մասին» օրենքում լրացումներ և փոփոխություններ</w:t>
      </w:r>
      <w:r>
        <w:rPr>
          <w:rFonts w:ascii="Courier New" w:hAnsi="Courier New" w:cs="Courier New"/>
          <w:szCs w:val="24"/>
          <w:lang w:val="hy-AM"/>
        </w:rPr>
        <w:t> </w:t>
      </w:r>
      <w:r>
        <w:rPr>
          <w:rFonts w:cs="Sylfaen"/>
          <w:szCs w:val="24"/>
          <w:lang w:val="hy-AM"/>
        </w:rPr>
        <w:t>կատարելու</w:t>
      </w:r>
      <w:r>
        <w:rPr>
          <w:rFonts w:ascii="Courier New" w:hAnsi="Courier New" w:cs="Courier New"/>
          <w:szCs w:val="24"/>
          <w:lang w:val="hy-AM"/>
        </w:rPr>
        <w:t> </w:t>
      </w:r>
      <w:r>
        <w:rPr>
          <w:rFonts w:cs="Sylfaen"/>
          <w:szCs w:val="24"/>
          <w:lang w:val="hy-AM"/>
        </w:rPr>
        <w:t>մասին» 27.03.2025, ՀՕ-73-Ն օրենքի կիրարկումը։</w:t>
      </w:r>
    </w:p>
    <w:p w:rsidR="00532F0E" w:rsidRDefault="00532F0E" w:rsidP="00532F0E">
      <w:pPr>
        <w:tabs>
          <w:tab w:val="left" w:pos="567"/>
        </w:tabs>
        <w:spacing w:after="0" w:line="360" w:lineRule="auto"/>
        <w:ind w:firstLine="720"/>
        <w:jc w:val="both"/>
        <w:rPr>
          <w:rFonts w:cs="Sylfaen"/>
          <w:szCs w:val="24"/>
          <w:lang w:val="hy-AM"/>
        </w:rPr>
      </w:pPr>
    </w:p>
    <w:p w:rsidR="00532F0E" w:rsidRDefault="00532F0E" w:rsidP="00532F0E">
      <w:pPr>
        <w:tabs>
          <w:tab w:val="left" w:pos="567"/>
          <w:tab w:val="left" w:pos="900"/>
        </w:tabs>
        <w:spacing w:after="0" w:line="360" w:lineRule="auto"/>
        <w:ind w:firstLine="720"/>
        <w:jc w:val="both"/>
        <w:rPr>
          <w:rFonts w:cs="Sylfaen"/>
          <w:b/>
          <w:szCs w:val="24"/>
          <w:lang w:val="hy-AM"/>
        </w:rPr>
      </w:pPr>
      <w:r>
        <w:rPr>
          <w:rFonts w:cs="Sylfaen"/>
          <w:b/>
          <w:szCs w:val="24"/>
          <w:lang w:val="hy-AM"/>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32F0E" w:rsidRDefault="00532F0E" w:rsidP="00532F0E">
      <w:pPr>
        <w:tabs>
          <w:tab w:val="left" w:pos="567"/>
        </w:tabs>
        <w:spacing w:after="0" w:line="360" w:lineRule="auto"/>
        <w:ind w:firstLine="720"/>
        <w:jc w:val="both"/>
        <w:rPr>
          <w:color w:val="000000"/>
          <w:szCs w:val="24"/>
          <w:lang w:val="hy-AM" w:eastAsia="ru-RU"/>
        </w:rPr>
      </w:pPr>
      <w:r>
        <w:rPr>
          <w:rFonts w:cs="Sylfaen"/>
          <w:szCs w:val="24"/>
          <w:lang w:val="hy-AM"/>
        </w:rPr>
        <w:t xml:space="preserve">«Հայաuտանի Հանրապետության կառավարության </w:t>
      </w:r>
      <w:r>
        <w:rPr>
          <w:rFonts w:eastAsia="Times New Roman" w:cs="Times New Roman"/>
          <w:bCs/>
          <w:color w:val="000000"/>
          <w:szCs w:val="24"/>
          <w:lang w:val="hy-AM"/>
        </w:rPr>
        <w:t>2020 թվականի մարտի 12-ի</w:t>
      </w:r>
      <w:r>
        <w:rPr>
          <w:rFonts w:cs="Sylfaen"/>
          <w:szCs w:val="24"/>
          <w:lang w:val="hy-AM"/>
        </w:rPr>
        <w:t xml:space="preserve"> N 287-Ն որոշման մեջ փոփոխություններ և լրացումներ կատարելու մասին  Հայաuտանի Հանրապետության կառավարության որոշման</w:t>
      </w:r>
      <w:r>
        <w:rPr>
          <w:szCs w:val="24"/>
          <w:lang w:val="hy-AM"/>
        </w:rPr>
        <w:t xml:space="preserve"> նախագիծը բխում է </w:t>
      </w:r>
      <w:r>
        <w:rPr>
          <w:rFonts w:cs="Sylfaen"/>
          <w:szCs w:val="24"/>
          <w:lang w:val="hy-AM"/>
        </w:rPr>
        <w:t>Կառավարության 2021-2026թթ</w:t>
      </w:r>
      <w:r>
        <w:rPr>
          <w:rFonts w:ascii="MS Gothic" w:eastAsia="MS Gothic" w:hAnsi="MS Gothic" w:cs="MS Gothic" w:hint="eastAsia"/>
          <w:szCs w:val="24"/>
          <w:lang w:val="hy-AM"/>
        </w:rPr>
        <w:t>․</w:t>
      </w:r>
      <w:r>
        <w:rPr>
          <w:rFonts w:cs="Sylfaen"/>
          <w:szCs w:val="24"/>
          <w:lang w:val="hy-AM"/>
        </w:rPr>
        <w:t xml:space="preserve"> </w:t>
      </w:r>
      <w:r>
        <w:rPr>
          <w:rFonts w:cs="GHEA Grapalat"/>
          <w:szCs w:val="24"/>
          <w:lang w:val="hy-AM"/>
        </w:rPr>
        <w:t>ծրագրի 4.6-րդ կետից (Կառավարությունը քայլեր է ձեռնարկելու կենսաթոշակառուներին և  նպաստառուներին մատուցվող ծառայությունների որակը բարձրացնելու, ինչպես նաև  կենսաթոշակների և  նպաստների նշանակման, վճարման գործընթացները լավարկելու նպատակով կատարելագործվելու է օրենսդրությունը, ընդլայնվելու է առցանց մատուցվող ծառայությունների սպեկտրը՝ ի հաշիվ տեղեկատվական համակարգեր ներառող տվյալների ստացման որակական և  քանակական բարելավման)</w:t>
      </w:r>
      <w:r>
        <w:rPr>
          <w:color w:val="000000"/>
          <w:szCs w:val="24"/>
          <w:lang w:val="hy-AM" w:eastAsia="ru-RU"/>
        </w:rPr>
        <w:t>:</w:t>
      </w:r>
    </w:p>
    <w:p w:rsidR="00532F0E" w:rsidRDefault="00532F0E" w:rsidP="00532F0E">
      <w:pPr>
        <w:tabs>
          <w:tab w:val="left" w:pos="567"/>
        </w:tabs>
        <w:spacing w:after="0" w:line="360" w:lineRule="auto"/>
        <w:ind w:firstLine="720"/>
        <w:jc w:val="both"/>
        <w:rPr>
          <w:rFonts w:cs="Sylfaen"/>
          <w:szCs w:val="24"/>
          <w:lang w:val="hy-AM"/>
        </w:rPr>
      </w:pPr>
    </w:p>
    <w:p w:rsidR="00532F0E" w:rsidRDefault="00532F0E" w:rsidP="00532F0E">
      <w:pPr>
        <w:tabs>
          <w:tab w:val="left" w:pos="567"/>
          <w:tab w:val="left" w:pos="900"/>
        </w:tabs>
        <w:spacing w:after="0" w:line="360" w:lineRule="auto"/>
        <w:ind w:firstLine="720"/>
        <w:jc w:val="both"/>
        <w:rPr>
          <w:rFonts w:cs="Sylfaen"/>
          <w:b/>
          <w:szCs w:val="24"/>
          <w:lang w:val="hy-AM"/>
        </w:rPr>
      </w:pPr>
      <w:r>
        <w:rPr>
          <w:rFonts w:cs="Sylfaen"/>
          <w:b/>
          <w:szCs w:val="24"/>
          <w:lang w:val="hy-AM"/>
        </w:rPr>
        <w:t>5. Տեղեկանք</w:t>
      </w:r>
    </w:p>
    <w:p w:rsidR="00532F0E" w:rsidRDefault="00532F0E" w:rsidP="00532F0E">
      <w:pPr>
        <w:spacing w:after="0" w:line="360" w:lineRule="auto"/>
        <w:ind w:right="4" w:firstLine="900"/>
        <w:jc w:val="both"/>
        <w:rPr>
          <w:szCs w:val="24"/>
          <w:lang w:val="hy-AM"/>
        </w:rPr>
      </w:pPr>
      <w:r>
        <w:rPr>
          <w:rFonts w:cs="Sylfaen"/>
          <w:szCs w:val="24"/>
          <w:lang w:val="hy-AM"/>
        </w:rPr>
        <w:t xml:space="preserve">«Հայաuտանի Հանրապետության կառավարության </w:t>
      </w:r>
      <w:r>
        <w:rPr>
          <w:rFonts w:eastAsia="Times New Roman" w:cs="Times New Roman"/>
          <w:bCs/>
          <w:color w:val="000000"/>
          <w:szCs w:val="24"/>
          <w:lang w:val="hy-AM"/>
        </w:rPr>
        <w:t>2020 թվականի մարտի 12-ի</w:t>
      </w:r>
      <w:r>
        <w:rPr>
          <w:rFonts w:cs="Sylfaen"/>
          <w:szCs w:val="24"/>
          <w:lang w:val="hy-AM"/>
        </w:rPr>
        <w:t xml:space="preserve"> N 287-Ն որոշման մեջ փոփոխություններ և լրացումներ կատարելու մասին Հայաuտանի Հանրապետության կառավարության որոշման նախագծի ընդունման դեպքում </w:t>
      </w:r>
      <w:r>
        <w:rPr>
          <w:szCs w:val="24"/>
          <w:lang w:val="hy-AM"/>
        </w:rPr>
        <w:t xml:space="preserve">ՀՀ 2025 թվականի պետական բյուջեի եկամուտները և ծախսերը չեն ավելանա։ </w:t>
      </w:r>
    </w:p>
    <w:p w:rsidR="00532F0E" w:rsidRDefault="00532F0E" w:rsidP="00532F0E">
      <w:pPr>
        <w:tabs>
          <w:tab w:val="left" w:pos="567"/>
        </w:tabs>
        <w:spacing w:after="0" w:line="360" w:lineRule="auto"/>
        <w:ind w:firstLine="720"/>
        <w:jc w:val="both"/>
        <w:rPr>
          <w:rFonts w:eastAsia="Times New Roman" w:cs="Times New Roman"/>
          <w:szCs w:val="24"/>
          <w:lang w:val="hy-AM"/>
        </w:rPr>
      </w:pPr>
    </w:p>
    <w:p w:rsidR="001A3EB1" w:rsidRPr="006F552B" w:rsidRDefault="001A3EB1" w:rsidP="00154097">
      <w:pPr>
        <w:tabs>
          <w:tab w:val="left" w:pos="567"/>
        </w:tabs>
        <w:spacing w:after="0" w:line="360" w:lineRule="auto"/>
        <w:ind w:firstLine="720"/>
        <w:jc w:val="both"/>
        <w:rPr>
          <w:rFonts w:eastAsia="Times New Roman" w:cs="Times New Roman"/>
          <w:szCs w:val="24"/>
          <w:lang w:val="hy-AM"/>
        </w:rPr>
      </w:pPr>
      <w:bookmarkStart w:id="0" w:name="_GoBack"/>
      <w:bookmarkEnd w:id="0"/>
    </w:p>
    <w:sectPr w:rsidR="001A3EB1" w:rsidRPr="006F552B" w:rsidSect="003B7FE3">
      <w:pgSz w:w="12240" w:h="15840"/>
      <w:pgMar w:top="1350" w:right="758"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B6B02"/>
    <w:multiLevelType w:val="hybridMultilevel"/>
    <w:tmpl w:val="2C503D0C"/>
    <w:lvl w:ilvl="0" w:tplc="7DCA2598">
      <w:start w:val="1"/>
      <w:numFmt w:val="decimal"/>
      <w:lvlText w:val="%1."/>
      <w:lvlJc w:val="left"/>
      <w:pPr>
        <w:ind w:left="180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64C26FC"/>
    <w:multiLevelType w:val="hybridMultilevel"/>
    <w:tmpl w:val="6A26C6B2"/>
    <w:lvl w:ilvl="0" w:tplc="2A649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A2C362D"/>
    <w:multiLevelType w:val="hybridMultilevel"/>
    <w:tmpl w:val="97866D8E"/>
    <w:lvl w:ilvl="0" w:tplc="80A84214">
      <w:start w:val="1"/>
      <w:numFmt w:val="decimal"/>
      <w:lvlText w:val="%1."/>
      <w:lvlJc w:val="left"/>
      <w:pPr>
        <w:ind w:left="720" w:hanging="360"/>
      </w:pPr>
      <w:rPr>
        <w:rFonts w:ascii="GHEA Grapalat" w:hAnsi="GHEA Grapalat" w:cs="Arial"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7024CE"/>
    <w:multiLevelType w:val="hybridMultilevel"/>
    <w:tmpl w:val="949CABD2"/>
    <w:lvl w:ilvl="0" w:tplc="7DCA2598">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6769EE"/>
    <w:multiLevelType w:val="hybridMultilevel"/>
    <w:tmpl w:val="9B0C8594"/>
    <w:lvl w:ilvl="0" w:tplc="2A0C94FE">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FA3683"/>
    <w:multiLevelType w:val="hybridMultilevel"/>
    <w:tmpl w:val="0C4AE56C"/>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C530F7B"/>
    <w:multiLevelType w:val="hybridMultilevel"/>
    <w:tmpl w:val="66A420BE"/>
    <w:lvl w:ilvl="0" w:tplc="4A38C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11A43DB"/>
    <w:multiLevelType w:val="hybridMultilevel"/>
    <w:tmpl w:val="31341706"/>
    <w:lvl w:ilvl="0" w:tplc="F0244422">
      <w:start w:val="2"/>
      <w:numFmt w:val="bullet"/>
      <w:lvlText w:val="-"/>
      <w:lvlJc w:val="left"/>
      <w:pPr>
        <w:ind w:left="1080" w:hanging="360"/>
      </w:pPr>
      <w:rPr>
        <w:rFonts w:ascii="GHEA Grapalat" w:eastAsiaTheme="minorHAns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3317796"/>
    <w:multiLevelType w:val="hybridMultilevel"/>
    <w:tmpl w:val="EF4262B0"/>
    <w:lvl w:ilvl="0" w:tplc="77E4EC7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9" w15:restartNumberingAfterBreak="0">
    <w:nsid w:val="491E52D6"/>
    <w:multiLevelType w:val="hybridMultilevel"/>
    <w:tmpl w:val="2C503D0C"/>
    <w:lvl w:ilvl="0" w:tplc="7DCA2598">
      <w:start w:val="1"/>
      <w:numFmt w:val="decimal"/>
      <w:lvlText w:val="%1."/>
      <w:lvlJc w:val="left"/>
      <w:pPr>
        <w:ind w:left="1800" w:hanging="360"/>
      </w:pPr>
      <w:rPr>
        <w:rFonts w:cs="Sylfaen"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C8E2AC5"/>
    <w:multiLevelType w:val="hybridMultilevel"/>
    <w:tmpl w:val="F37C7422"/>
    <w:lvl w:ilvl="0" w:tplc="04090011">
      <w:start w:val="1"/>
      <w:numFmt w:val="decimal"/>
      <w:lvlText w:val="%1)"/>
      <w:lvlJc w:val="left"/>
      <w:pPr>
        <w:ind w:left="1530"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1" w15:restartNumberingAfterBreak="0">
    <w:nsid w:val="58382CA9"/>
    <w:multiLevelType w:val="hybridMultilevel"/>
    <w:tmpl w:val="66A420BE"/>
    <w:lvl w:ilvl="0" w:tplc="4A38C8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CD46948"/>
    <w:multiLevelType w:val="hybridMultilevel"/>
    <w:tmpl w:val="D7FEC3B4"/>
    <w:lvl w:ilvl="0" w:tplc="0409000F">
      <w:start w:val="1"/>
      <w:numFmt w:val="decimal"/>
      <w:lvlText w:val="%1."/>
      <w:lvlJc w:val="left"/>
      <w:pPr>
        <w:ind w:left="990" w:hanging="360"/>
      </w:pPr>
    </w:lvl>
    <w:lvl w:ilvl="1" w:tplc="09FA2EF2">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62343D13"/>
    <w:multiLevelType w:val="hybridMultilevel"/>
    <w:tmpl w:val="75ACDF28"/>
    <w:lvl w:ilvl="0" w:tplc="2180A4BE">
      <w:start w:val="1"/>
      <w:numFmt w:val="decimal"/>
      <w:lvlText w:val="%1."/>
      <w:lvlJc w:val="left"/>
      <w:pPr>
        <w:ind w:left="1144" w:hanging="360"/>
      </w:pPr>
      <w:rPr>
        <w:rFonts w:eastAsia="Times New Roman" w:cs="Times New Roman" w:hint="default"/>
        <w:color w:val="000000" w:themeColor="text1"/>
      </w:rPr>
    </w:lvl>
    <w:lvl w:ilvl="1" w:tplc="04090019" w:tentative="1">
      <w:start w:val="1"/>
      <w:numFmt w:val="lowerLetter"/>
      <w:lvlText w:val="%2."/>
      <w:lvlJc w:val="left"/>
      <w:pPr>
        <w:ind w:left="1864" w:hanging="360"/>
      </w:pPr>
    </w:lvl>
    <w:lvl w:ilvl="2" w:tplc="0409001B" w:tentative="1">
      <w:start w:val="1"/>
      <w:numFmt w:val="lowerRoman"/>
      <w:lvlText w:val="%3."/>
      <w:lvlJc w:val="right"/>
      <w:pPr>
        <w:ind w:left="2584" w:hanging="180"/>
      </w:pPr>
    </w:lvl>
    <w:lvl w:ilvl="3" w:tplc="0409000F" w:tentative="1">
      <w:start w:val="1"/>
      <w:numFmt w:val="decimal"/>
      <w:lvlText w:val="%4."/>
      <w:lvlJc w:val="left"/>
      <w:pPr>
        <w:ind w:left="3304" w:hanging="360"/>
      </w:pPr>
    </w:lvl>
    <w:lvl w:ilvl="4" w:tplc="04090019" w:tentative="1">
      <w:start w:val="1"/>
      <w:numFmt w:val="lowerLetter"/>
      <w:lvlText w:val="%5."/>
      <w:lvlJc w:val="left"/>
      <w:pPr>
        <w:ind w:left="4024" w:hanging="360"/>
      </w:pPr>
    </w:lvl>
    <w:lvl w:ilvl="5" w:tplc="0409001B" w:tentative="1">
      <w:start w:val="1"/>
      <w:numFmt w:val="lowerRoman"/>
      <w:lvlText w:val="%6."/>
      <w:lvlJc w:val="right"/>
      <w:pPr>
        <w:ind w:left="4744" w:hanging="180"/>
      </w:pPr>
    </w:lvl>
    <w:lvl w:ilvl="6" w:tplc="0409000F" w:tentative="1">
      <w:start w:val="1"/>
      <w:numFmt w:val="decimal"/>
      <w:lvlText w:val="%7."/>
      <w:lvlJc w:val="left"/>
      <w:pPr>
        <w:ind w:left="5464" w:hanging="360"/>
      </w:pPr>
    </w:lvl>
    <w:lvl w:ilvl="7" w:tplc="04090019" w:tentative="1">
      <w:start w:val="1"/>
      <w:numFmt w:val="lowerLetter"/>
      <w:lvlText w:val="%8."/>
      <w:lvlJc w:val="left"/>
      <w:pPr>
        <w:ind w:left="6184" w:hanging="360"/>
      </w:pPr>
    </w:lvl>
    <w:lvl w:ilvl="8" w:tplc="0409001B" w:tentative="1">
      <w:start w:val="1"/>
      <w:numFmt w:val="lowerRoman"/>
      <w:lvlText w:val="%9."/>
      <w:lvlJc w:val="right"/>
      <w:pPr>
        <w:ind w:left="6904" w:hanging="180"/>
      </w:pPr>
    </w:lvl>
  </w:abstractNum>
  <w:abstractNum w:abstractNumId="14" w15:restartNumberingAfterBreak="0">
    <w:nsid w:val="75C72E2B"/>
    <w:multiLevelType w:val="hybridMultilevel"/>
    <w:tmpl w:val="176E2836"/>
    <w:lvl w:ilvl="0" w:tplc="829CFCD4">
      <w:start w:val="2"/>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F813A17"/>
    <w:multiLevelType w:val="hybridMultilevel"/>
    <w:tmpl w:val="786C43E6"/>
    <w:lvl w:ilvl="0" w:tplc="0409000F">
      <w:start w:val="1"/>
      <w:numFmt w:val="decimal"/>
      <w:lvlText w:val="%1."/>
      <w:lvlJc w:val="left"/>
      <w:pPr>
        <w:ind w:left="144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2"/>
  </w:num>
  <w:num w:numId="2">
    <w:abstractNumId w:val="7"/>
  </w:num>
  <w:num w:numId="3">
    <w:abstractNumId w:val="5"/>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9"/>
  </w:num>
  <w:num w:numId="7">
    <w:abstractNumId w:val="0"/>
  </w:num>
  <w:num w:numId="8">
    <w:abstractNumId w:val="1"/>
  </w:num>
  <w:num w:numId="9">
    <w:abstractNumId w:val="14"/>
  </w:num>
  <w:num w:numId="10">
    <w:abstractNumId w:val="6"/>
  </w:num>
  <w:num w:numId="11">
    <w:abstractNumId w:val="11"/>
  </w:num>
  <w:num w:numId="12">
    <w:abstractNumId w:val="15"/>
  </w:num>
  <w:num w:numId="13">
    <w:abstractNumId w:val="12"/>
  </w:num>
  <w:num w:numId="14">
    <w:abstractNumId w:val="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9F1"/>
    <w:rsid w:val="00021AAB"/>
    <w:rsid w:val="0002568F"/>
    <w:rsid w:val="00025D99"/>
    <w:rsid w:val="000343C7"/>
    <w:rsid w:val="00036193"/>
    <w:rsid w:val="0003665A"/>
    <w:rsid w:val="00042B04"/>
    <w:rsid w:val="00043041"/>
    <w:rsid w:val="000460C9"/>
    <w:rsid w:val="00052BB7"/>
    <w:rsid w:val="00053685"/>
    <w:rsid w:val="0005617D"/>
    <w:rsid w:val="00065599"/>
    <w:rsid w:val="00084871"/>
    <w:rsid w:val="00085392"/>
    <w:rsid w:val="000A0147"/>
    <w:rsid w:val="000A259E"/>
    <w:rsid w:val="000B0354"/>
    <w:rsid w:val="000B0C9D"/>
    <w:rsid w:val="000B3ECE"/>
    <w:rsid w:val="000D602D"/>
    <w:rsid w:val="000D698E"/>
    <w:rsid w:val="000F429B"/>
    <w:rsid w:val="000F61CB"/>
    <w:rsid w:val="00105F29"/>
    <w:rsid w:val="00106DE4"/>
    <w:rsid w:val="00107807"/>
    <w:rsid w:val="001124DE"/>
    <w:rsid w:val="001155F8"/>
    <w:rsid w:val="00120960"/>
    <w:rsid w:val="00142B08"/>
    <w:rsid w:val="00145E53"/>
    <w:rsid w:val="00146DC4"/>
    <w:rsid w:val="00150188"/>
    <w:rsid w:val="001505D1"/>
    <w:rsid w:val="00154097"/>
    <w:rsid w:val="00154C3D"/>
    <w:rsid w:val="00156492"/>
    <w:rsid w:val="00163FB9"/>
    <w:rsid w:val="00180E3C"/>
    <w:rsid w:val="00182B3F"/>
    <w:rsid w:val="001A3EB1"/>
    <w:rsid w:val="001A5160"/>
    <w:rsid w:val="001A6B64"/>
    <w:rsid w:val="001C33E8"/>
    <w:rsid w:val="001C369C"/>
    <w:rsid w:val="001C776E"/>
    <w:rsid w:val="001D02EE"/>
    <w:rsid w:val="001D1829"/>
    <w:rsid w:val="001D1DC2"/>
    <w:rsid w:val="001D5932"/>
    <w:rsid w:val="001D71A2"/>
    <w:rsid w:val="001F3AEB"/>
    <w:rsid w:val="00201C44"/>
    <w:rsid w:val="00207CC3"/>
    <w:rsid w:val="00212421"/>
    <w:rsid w:val="00216786"/>
    <w:rsid w:val="0022289E"/>
    <w:rsid w:val="00235883"/>
    <w:rsid w:val="002429A5"/>
    <w:rsid w:val="00244FDE"/>
    <w:rsid w:val="00251307"/>
    <w:rsid w:val="002632C3"/>
    <w:rsid w:val="00264BA8"/>
    <w:rsid w:val="0027074C"/>
    <w:rsid w:val="002815F0"/>
    <w:rsid w:val="00286D66"/>
    <w:rsid w:val="00292D45"/>
    <w:rsid w:val="00294C49"/>
    <w:rsid w:val="00295A2F"/>
    <w:rsid w:val="002976D8"/>
    <w:rsid w:val="002A5EAF"/>
    <w:rsid w:val="002B0081"/>
    <w:rsid w:val="002E1EB4"/>
    <w:rsid w:val="002E2588"/>
    <w:rsid w:val="002E4109"/>
    <w:rsid w:val="002E6670"/>
    <w:rsid w:val="002F055B"/>
    <w:rsid w:val="003008D2"/>
    <w:rsid w:val="00301526"/>
    <w:rsid w:val="00317F2E"/>
    <w:rsid w:val="00321013"/>
    <w:rsid w:val="00327403"/>
    <w:rsid w:val="0033566E"/>
    <w:rsid w:val="00351777"/>
    <w:rsid w:val="00354249"/>
    <w:rsid w:val="00354564"/>
    <w:rsid w:val="00361BF9"/>
    <w:rsid w:val="00364D38"/>
    <w:rsid w:val="00387511"/>
    <w:rsid w:val="003920D1"/>
    <w:rsid w:val="003A3C89"/>
    <w:rsid w:val="003A54AA"/>
    <w:rsid w:val="003B4D49"/>
    <w:rsid w:val="003B50FD"/>
    <w:rsid w:val="003B7FE3"/>
    <w:rsid w:val="003C0EA3"/>
    <w:rsid w:val="003C5DFF"/>
    <w:rsid w:val="003E593C"/>
    <w:rsid w:val="003F0A88"/>
    <w:rsid w:val="004025A4"/>
    <w:rsid w:val="004076C7"/>
    <w:rsid w:val="004330AB"/>
    <w:rsid w:val="0043501D"/>
    <w:rsid w:val="00442A99"/>
    <w:rsid w:val="00450630"/>
    <w:rsid w:val="00454F6C"/>
    <w:rsid w:val="0045687C"/>
    <w:rsid w:val="00457717"/>
    <w:rsid w:val="0046206E"/>
    <w:rsid w:val="004646F4"/>
    <w:rsid w:val="0047451A"/>
    <w:rsid w:val="004746A7"/>
    <w:rsid w:val="00487C73"/>
    <w:rsid w:val="00490171"/>
    <w:rsid w:val="00491279"/>
    <w:rsid w:val="004B4A24"/>
    <w:rsid w:val="004D232A"/>
    <w:rsid w:val="004D26EB"/>
    <w:rsid w:val="004E02F5"/>
    <w:rsid w:val="004E1462"/>
    <w:rsid w:val="004E2C0F"/>
    <w:rsid w:val="00506A52"/>
    <w:rsid w:val="00517461"/>
    <w:rsid w:val="005177E1"/>
    <w:rsid w:val="00522952"/>
    <w:rsid w:val="00523A3B"/>
    <w:rsid w:val="00530D8D"/>
    <w:rsid w:val="00532F0E"/>
    <w:rsid w:val="00547ADA"/>
    <w:rsid w:val="00555487"/>
    <w:rsid w:val="0057701E"/>
    <w:rsid w:val="00580CC0"/>
    <w:rsid w:val="00581396"/>
    <w:rsid w:val="00591DE1"/>
    <w:rsid w:val="00593A23"/>
    <w:rsid w:val="005A7E10"/>
    <w:rsid w:val="005B1B7A"/>
    <w:rsid w:val="005B28F4"/>
    <w:rsid w:val="005B5803"/>
    <w:rsid w:val="005C2A78"/>
    <w:rsid w:val="005D57B5"/>
    <w:rsid w:val="005E21EF"/>
    <w:rsid w:val="005F201A"/>
    <w:rsid w:val="0060035A"/>
    <w:rsid w:val="00634210"/>
    <w:rsid w:val="00657909"/>
    <w:rsid w:val="00681556"/>
    <w:rsid w:val="00682C6E"/>
    <w:rsid w:val="00694BB2"/>
    <w:rsid w:val="0069509E"/>
    <w:rsid w:val="006A173C"/>
    <w:rsid w:val="006B4918"/>
    <w:rsid w:val="006C39F1"/>
    <w:rsid w:val="006D24A9"/>
    <w:rsid w:val="006E2B00"/>
    <w:rsid w:val="006E2E5F"/>
    <w:rsid w:val="006F552B"/>
    <w:rsid w:val="007038C9"/>
    <w:rsid w:val="00706213"/>
    <w:rsid w:val="00721043"/>
    <w:rsid w:val="00725DB3"/>
    <w:rsid w:val="00730726"/>
    <w:rsid w:val="00737E22"/>
    <w:rsid w:val="00742F91"/>
    <w:rsid w:val="007432D9"/>
    <w:rsid w:val="00745D96"/>
    <w:rsid w:val="00750D55"/>
    <w:rsid w:val="00763797"/>
    <w:rsid w:val="00765FA7"/>
    <w:rsid w:val="00766DFB"/>
    <w:rsid w:val="00774A36"/>
    <w:rsid w:val="00776E7F"/>
    <w:rsid w:val="00783D8F"/>
    <w:rsid w:val="00787BDC"/>
    <w:rsid w:val="007941B4"/>
    <w:rsid w:val="007B2368"/>
    <w:rsid w:val="007B543E"/>
    <w:rsid w:val="007B78DE"/>
    <w:rsid w:val="007C1A9F"/>
    <w:rsid w:val="007C58EA"/>
    <w:rsid w:val="007D269C"/>
    <w:rsid w:val="007E5883"/>
    <w:rsid w:val="00804A50"/>
    <w:rsid w:val="008103B3"/>
    <w:rsid w:val="00814F9D"/>
    <w:rsid w:val="008220E6"/>
    <w:rsid w:val="00822B61"/>
    <w:rsid w:val="00823E9A"/>
    <w:rsid w:val="00826597"/>
    <w:rsid w:val="008336F7"/>
    <w:rsid w:val="00837940"/>
    <w:rsid w:val="008444FE"/>
    <w:rsid w:val="008459B5"/>
    <w:rsid w:val="00864E7F"/>
    <w:rsid w:val="00865FB3"/>
    <w:rsid w:val="0088762E"/>
    <w:rsid w:val="008A1293"/>
    <w:rsid w:val="008D3C6E"/>
    <w:rsid w:val="008D48C1"/>
    <w:rsid w:val="008E6F47"/>
    <w:rsid w:val="008E748C"/>
    <w:rsid w:val="008F0079"/>
    <w:rsid w:val="008F412C"/>
    <w:rsid w:val="009014E3"/>
    <w:rsid w:val="0091412E"/>
    <w:rsid w:val="009163DE"/>
    <w:rsid w:val="009244B5"/>
    <w:rsid w:val="009328D4"/>
    <w:rsid w:val="0096077B"/>
    <w:rsid w:val="0096191D"/>
    <w:rsid w:val="009758F5"/>
    <w:rsid w:val="00975CE4"/>
    <w:rsid w:val="00985AF4"/>
    <w:rsid w:val="00986BA1"/>
    <w:rsid w:val="00987F17"/>
    <w:rsid w:val="00990CB8"/>
    <w:rsid w:val="00997EC0"/>
    <w:rsid w:val="009B105A"/>
    <w:rsid w:val="009B21B3"/>
    <w:rsid w:val="009D76CD"/>
    <w:rsid w:val="009E1577"/>
    <w:rsid w:val="009E46C3"/>
    <w:rsid w:val="009E5C17"/>
    <w:rsid w:val="009F53D0"/>
    <w:rsid w:val="00A11C7C"/>
    <w:rsid w:val="00A15179"/>
    <w:rsid w:val="00A369F3"/>
    <w:rsid w:val="00A5003E"/>
    <w:rsid w:val="00A560E6"/>
    <w:rsid w:val="00A6158C"/>
    <w:rsid w:val="00A62CC3"/>
    <w:rsid w:val="00A73EF2"/>
    <w:rsid w:val="00A75160"/>
    <w:rsid w:val="00A75FE2"/>
    <w:rsid w:val="00A772E9"/>
    <w:rsid w:val="00A80458"/>
    <w:rsid w:val="00A82CD2"/>
    <w:rsid w:val="00A87CF8"/>
    <w:rsid w:val="00A901BA"/>
    <w:rsid w:val="00A9725D"/>
    <w:rsid w:val="00AA5FDE"/>
    <w:rsid w:val="00AB6DAB"/>
    <w:rsid w:val="00AC03EB"/>
    <w:rsid w:val="00AC3FD2"/>
    <w:rsid w:val="00AC5E07"/>
    <w:rsid w:val="00AD28C6"/>
    <w:rsid w:val="00AD518A"/>
    <w:rsid w:val="00AE1F10"/>
    <w:rsid w:val="00AE652E"/>
    <w:rsid w:val="00AF0C46"/>
    <w:rsid w:val="00B0310E"/>
    <w:rsid w:val="00B04A8B"/>
    <w:rsid w:val="00B0573E"/>
    <w:rsid w:val="00B15B5A"/>
    <w:rsid w:val="00B16BF1"/>
    <w:rsid w:val="00B218F9"/>
    <w:rsid w:val="00B30EB4"/>
    <w:rsid w:val="00B32005"/>
    <w:rsid w:val="00B40492"/>
    <w:rsid w:val="00B44A95"/>
    <w:rsid w:val="00B4669A"/>
    <w:rsid w:val="00B62C9E"/>
    <w:rsid w:val="00B66343"/>
    <w:rsid w:val="00B960D2"/>
    <w:rsid w:val="00BA01C0"/>
    <w:rsid w:val="00BA2E2E"/>
    <w:rsid w:val="00BB1E05"/>
    <w:rsid w:val="00BC66D9"/>
    <w:rsid w:val="00BC70D7"/>
    <w:rsid w:val="00BC7118"/>
    <w:rsid w:val="00BD6B96"/>
    <w:rsid w:val="00BF5071"/>
    <w:rsid w:val="00BF5CF6"/>
    <w:rsid w:val="00C006EC"/>
    <w:rsid w:val="00C0449C"/>
    <w:rsid w:val="00C045DD"/>
    <w:rsid w:val="00C14BE6"/>
    <w:rsid w:val="00C23C45"/>
    <w:rsid w:val="00C306D8"/>
    <w:rsid w:val="00C338CD"/>
    <w:rsid w:val="00C367AC"/>
    <w:rsid w:val="00C369D6"/>
    <w:rsid w:val="00C43B2B"/>
    <w:rsid w:val="00C46F14"/>
    <w:rsid w:val="00C52710"/>
    <w:rsid w:val="00C5302B"/>
    <w:rsid w:val="00C6053E"/>
    <w:rsid w:val="00C65477"/>
    <w:rsid w:val="00C71BDD"/>
    <w:rsid w:val="00CB0206"/>
    <w:rsid w:val="00CB7410"/>
    <w:rsid w:val="00CD303C"/>
    <w:rsid w:val="00CE24FF"/>
    <w:rsid w:val="00CF205E"/>
    <w:rsid w:val="00CF4A2A"/>
    <w:rsid w:val="00CF56A0"/>
    <w:rsid w:val="00CF6154"/>
    <w:rsid w:val="00D02615"/>
    <w:rsid w:val="00D159F4"/>
    <w:rsid w:val="00D16C84"/>
    <w:rsid w:val="00D178C8"/>
    <w:rsid w:val="00D20C64"/>
    <w:rsid w:val="00D31CD4"/>
    <w:rsid w:val="00D335F1"/>
    <w:rsid w:val="00D354E7"/>
    <w:rsid w:val="00D44743"/>
    <w:rsid w:val="00D5082C"/>
    <w:rsid w:val="00D51FDC"/>
    <w:rsid w:val="00D567B6"/>
    <w:rsid w:val="00D60615"/>
    <w:rsid w:val="00D638F1"/>
    <w:rsid w:val="00D63E2F"/>
    <w:rsid w:val="00D729A7"/>
    <w:rsid w:val="00D8697E"/>
    <w:rsid w:val="00D90BD7"/>
    <w:rsid w:val="00D94C9C"/>
    <w:rsid w:val="00DA145A"/>
    <w:rsid w:val="00DB0CBE"/>
    <w:rsid w:val="00DB4F9D"/>
    <w:rsid w:val="00DC4645"/>
    <w:rsid w:val="00DC4A34"/>
    <w:rsid w:val="00DC52CC"/>
    <w:rsid w:val="00DD72D2"/>
    <w:rsid w:val="00DF2B07"/>
    <w:rsid w:val="00DF7F56"/>
    <w:rsid w:val="00E049A9"/>
    <w:rsid w:val="00E14583"/>
    <w:rsid w:val="00E21FF9"/>
    <w:rsid w:val="00E33D6B"/>
    <w:rsid w:val="00E408F9"/>
    <w:rsid w:val="00E41CF3"/>
    <w:rsid w:val="00E52243"/>
    <w:rsid w:val="00E611C1"/>
    <w:rsid w:val="00E7004A"/>
    <w:rsid w:val="00E74026"/>
    <w:rsid w:val="00E77568"/>
    <w:rsid w:val="00EA2680"/>
    <w:rsid w:val="00EA6683"/>
    <w:rsid w:val="00EB70F3"/>
    <w:rsid w:val="00EC6F80"/>
    <w:rsid w:val="00EF3739"/>
    <w:rsid w:val="00EF7A44"/>
    <w:rsid w:val="00F03339"/>
    <w:rsid w:val="00F07FD7"/>
    <w:rsid w:val="00F11D30"/>
    <w:rsid w:val="00F13FCF"/>
    <w:rsid w:val="00F22278"/>
    <w:rsid w:val="00F23D4D"/>
    <w:rsid w:val="00F256F0"/>
    <w:rsid w:val="00F31146"/>
    <w:rsid w:val="00F31888"/>
    <w:rsid w:val="00F4448C"/>
    <w:rsid w:val="00F461A1"/>
    <w:rsid w:val="00F46916"/>
    <w:rsid w:val="00F518FE"/>
    <w:rsid w:val="00F54A13"/>
    <w:rsid w:val="00F60253"/>
    <w:rsid w:val="00F62156"/>
    <w:rsid w:val="00F73A03"/>
    <w:rsid w:val="00F76AD6"/>
    <w:rsid w:val="00F80F9C"/>
    <w:rsid w:val="00F82A16"/>
    <w:rsid w:val="00F85B35"/>
    <w:rsid w:val="00FB3B74"/>
    <w:rsid w:val="00FB713E"/>
    <w:rsid w:val="00FC34C1"/>
    <w:rsid w:val="00FC5D0F"/>
    <w:rsid w:val="00FD3B90"/>
    <w:rsid w:val="00FE48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53F75"/>
  <w15:docId w15:val="{92DF1F52-F727-45A6-A5F2-F861D9613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39F1"/>
    <w:pPr>
      <w:spacing w:after="200" w:line="276" w:lineRule="auto"/>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6C39F1"/>
    <w:pPr>
      <w:ind w:left="720"/>
      <w:contextualSpacing/>
    </w:pPr>
  </w:style>
  <w:style w:type="character" w:customStyle="1" w:styleId="Bodytext2">
    <w:name w:val="Body text (2)_"/>
    <w:basedOn w:val="DefaultParagraphFont"/>
    <w:link w:val="Bodytext20"/>
    <w:rsid w:val="006C39F1"/>
    <w:rPr>
      <w:rFonts w:ascii="Times New Roman" w:eastAsia="Times New Roman" w:hAnsi="Times New Roman" w:cs="Times New Roman"/>
      <w:sz w:val="28"/>
      <w:szCs w:val="28"/>
      <w:shd w:val="clear" w:color="auto" w:fill="FFFFFF"/>
    </w:rPr>
  </w:style>
  <w:style w:type="paragraph" w:customStyle="1" w:styleId="Bodytext20">
    <w:name w:val="Body text (2)"/>
    <w:basedOn w:val="Normal"/>
    <w:link w:val="Bodytext2"/>
    <w:rsid w:val="006C39F1"/>
    <w:pPr>
      <w:widowControl w:val="0"/>
      <w:shd w:val="clear" w:color="auto" w:fill="FFFFFF"/>
      <w:spacing w:before="420" w:after="960" w:line="0" w:lineRule="atLeast"/>
      <w:ind w:hanging="1420"/>
      <w:jc w:val="both"/>
    </w:pPr>
    <w:rPr>
      <w:rFonts w:ascii="Times New Roman" w:eastAsia="Times New Roman" w:hAnsi="Times New Roman" w:cs="Times New Roman"/>
      <w:sz w:val="28"/>
      <w:szCs w:val="28"/>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6C39F1"/>
    <w:rPr>
      <w:rFonts w:ascii="GHEA Grapalat" w:hAnsi="GHEA Grapalat"/>
      <w:sz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AD518A"/>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AD518A"/>
    <w:rPr>
      <w:rFonts w:ascii="Times New Roman" w:eastAsia="Times New Roman" w:hAnsi="Times New Roman" w:cs="Times New Roman"/>
      <w:sz w:val="24"/>
      <w:szCs w:val="24"/>
    </w:rPr>
  </w:style>
  <w:style w:type="paragraph" w:customStyle="1" w:styleId="msonormal0">
    <w:name w:val="msonormal"/>
    <w:basedOn w:val="Normal"/>
    <w:rsid w:val="004D26EB"/>
    <w:pPr>
      <w:spacing w:before="100" w:beforeAutospacing="1" w:after="100" w:afterAutospacing="1" w:line="240" w:lineRule="auto"/>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264B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BA8"/>
    <w:rPr>
      <w:rFonts w:ascii="Segoe UI" w:hAnsi="Segoe UI" w:cs="Segoe UI"/>
      <w:sz w:val="18"/>
      <w:szCs w:val="18"/>
    </w:rPr>
  </w:style>
  <w:style w:type="character" w:styleId="Emphasis">
    <w:name w:val="Emphasis"/>
    <w:basedOn w:val="DefaultParagraphFont"/>
    <w:uiPriority w:val="20"/>
    <w:qFormat/>
    <w:rsid w:val="00120960"/>
    <w:rPr>
      <w:i/>
      <w:iCs/>
    </w:rPr>
  </w:style>
  <w:style w:type="character" w:styleId="Hyperlink">
    <w:name w:val="Hyperlink"/>
    <w:basedOn w:val="DefaultParagraphFont"/>
    <w:uiPriority w:val="99"/>
    <w:unhideWhenUsed/>
    <w:rsid w:val="00B15B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54764">
      <w:bodyDiv w:val="1"/>
      <w:marLeft w:val="0"/>
      <w:marRight w:val="0"/>
      <w:marTop w:val="0"/>
      <w:marBottom w:val="0"/>
      <w:divBdr>
        <w:top w:val="none" w:sz="0" w:space="0" w:color="auto"/>
        <w:left w:val="none" w:sz="0" w:space="0" w:color="auto"/>
        <w:bottom w:val="none" w:sz="0" w:space="0" w:color="auto"/>
        <w:right w:val="none" w:sz="0" w:space="0" w:color="auto"/>
      </w:divBdr>
    </w:div>
    <w:div w:id="178466881">
      <w:bodyDiv w:val="1"/>
      <w:marLeft w:val="0"/>
      <w:marRight w:val="0"/>
      <w:marTop w:val="0"/>
      <w:marBottom w:val="0"/>
      <w:divBdr>
        <w:top w:val="none" w:sz="0" w:space="0" w:color="auto"/>
        <w:left w:val="none" w:sz="0" w:space="0" w:color="auto"/>
        <w:bottom w:val="none" w:sz="0" w:space="0" w:color="auto"/>
        <w:right w:val="none" w:sz="0" w:space="0" w:color="auto"/>
      </w:divBdr>
    </w:div>
    <w:div w:id="282419546">
      <w:bodyDiv w:val="1"/>
      <w:marLeft w:val="0"/>
      <w:marRight w:val="0"/>
      <w:marTop w:val="0"/>
      <w:marBottom w:val="0"/>
      <w:divBdr>
        <w:top w:val="none" w:sz="0" w:space="0" w:color="auto"/>
        <w:left w:val="none" w:sz="0" w:space="0" w:color="auto"/>
        <w:bottom w:val="none" w:sz="0" w:space="0" w:color="auto"/>
        <w:right w:val="none" w:sz="0" w:space="0" w:color="auto"/>
      </w:divBdr>
    </w:div>
    <w:div w:id="576401076">
      <w:bodyDiv w:val="1"/>
      <w:marLeft w:val="0"/>
      <w:marRight w:val="0"/>
      <w:marTop w:val="0"/>
      <w:marBottom w:val="0"/>
      <w:divBdr>
        <w:top w:val="none" w:sz="0" w:space="0" w:color="auto"/>
        <w:left w:val="none" w:sz="0" w:space="0" w:color="auto"/>
        <w:bottom w:val="none" w:sz="0" w:space="0" w:color="auto"/>
        <w:right w:val="none" w:sz="0" w:space="0" w:color="auto"/>
      </w:divBdr>
    </w:div>
    <w:div w:id="712846924">
      <w:bodyDiv w:val="1"/>
      <w:marLeft w:val="0"/>
      <w:marRight w:val="0"/>
      <w:marTop w:val="0"/>
      <w:marBottom w:val="0"/>
      <w:divBdr>
        <w:top w:val="none" w:sz="0" w:space="0" w:color="auto"/>
        <w:left w:val="none" w:sz="0" w:space="0" w:color="auto"/>
        <w:bottom w:val="none" w:sz="0" w:space="0" w:color="auto"/>
        <w:right w:val="none" w:sz="0" w:space="0" w:color="auto"/>
      </w:divBdr>
    </w:div>
    <w:div w:id="990863586">
      <w:bodyDiv w:val="1"/>
      <w:marLeft w:val="0"/>
      <w:marRight w:val="0"/>
      <w:marTop w:val="0"/>
      <w:marBottom w:val="0"/>
      <w:divBdr>
        <w:top w:val="none" w:sz="0" w:space="0" w:color="auto"/>
        <w:left w:val="none" w:sz="0" w:space="0" w:color="auto"/>
        <w:bottom w:val="none" w:sz="0" w:space="0" w:color="auto"/>
        <w:right w:val="none" w:sz="0" w:space="0" w:color="auto"/>
      </w:divBdr>
    </w:div>
    <w:div w:id="1275093293">
      <w:bodyDiv w:val="1"/>
      <w:marLeft w:val="0"/>
      <w:marRight w:val="0"/>
      <w:marTop w:val="0"/>
      <w:marBottom w:val="0"/>
      <w:divBdr>
        <w:top w:val="none" w:sz="0" w:space="0" w:color="auto"/>
        <w:left w:val="none" w:sz="0" w:space="0" w:color="auto"/>
        <w:bottom w:val="none" w:sz="0" w:space="0" w:color="auto"/>
        <w:right w:val="none" w:sz="0" w:space="0" w:color="auto"/>
      </w:divBdr>
    </w:div>
    <w:div w:id="1390037887">
      <w:bodyDiv w:val="1"/>
      <w:marLeft w:val="0"/>
      <w:marRight w:val="0"/>
      <w:marTop w:val="0"/>
      <w:marBottom w:val="0"/>
      <w:divBdr>
        <w:top w:val="none" w:sz="0" w:space="0" w:color="auto"/>
        <w:left w:val="none" w:sz="0" w:space="0" w:color="auto"/>
        <w:bottom w:val="none" w:sz="0" w:space="0" w:color="auto"/>
        <w:right w:val="none" w:sz="0" w:space="0" w:color="auto"/>
      </w:divBdr>
    </w:div>
    <w:div w:id="1395545584">
      <w:bodyDiv w:val="1"/>
      <w:marLeft w:val="0"/>
      <w:marRight w:val="0"/>
      <w:marTop w:val="0"/>
      <w:marBottom w:val="0"/>
      <w:divBdr>
        <w:top w:val="none" w:sz="0" w:space="0" w:color="auto"/>
        <w:left w:val="none" w:sz="0" w:space="0" w:color="auto"/>
        <w:bottom w:val="none" w:sz="0" w:space="0" w:color="auto"/>
        <w:right w:val="none" w:sz="0" w:space="0" w:color="auto"/>
      </w:divBdr>
    </w:div>
    <w:div w:id="1514219336">
      <w:bodyDiv w:val="1"/>
      <w:marLeft w:val="0"/>
      <w:marRight w:val="0"/>
      <w:marTop w:val="0"/>
      <w:marBottom w:val="0"/>
      <w:divBdr>
        <w:top w:val="none" w:sz="0" w:space="0" w:color="auto"/>
        <w:left w:val="none" w:sz="0" w:space="0" w:color="auto"/>
        <w:bottom w:val="none" w:sz="0" w:space="0" w:color="auto"/>
        <w:right w:val="none" w:sz="0" w:space="0" w:color="auto"/>
      </w:divBdr>
    </w:div>
    <w:div w:id="172644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F29E1-50EF-4422-8474-8DE20D380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815</Words>
  <Characters>5965</Characters>
  <Application>Microsoft Office Word</Application>
  <DocSecurity>0</DocSecurity>
  <Lines>113</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 Harutyunyan</dc:creator>
  <cp:keywords>https://mul2.gov.am/tasks/1196352/oneclick?token=4ad328e49ca67721db21a249e346ef53</cp:keywords>
  <cp:lastModifiedBy>Tatevik Stepanyan</cp:lastModifiedBy>
  <cp:revision>3</cp:revision>
  <dcterms:created xsi:type="dcterms:W3CDTF">2025-08-20T10:35:00Z</dcterms:created>
  <dcterms:modified xsi:type="dcterms:W3CDTF">2025-08-26T11:55:00Z</dcterms:modified>
</cp:coreProperties>
</file>