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495D1" w14:textId="77777777" w:rsidR="006C5588" w:rsidRDefault="00BC6150">
      <w:pPr>
        <w:spacing w:line="276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3E545010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ՀԱՐԿԱՅԻՆ ՕՐԵՆՍԳՐՔՈՒՄ ՓՈՓՈԽՈՒԹՅՈՒՆ ԵՎ ԼՐԱՑՈՒՄՆԵՐ ԿԱՏԱՐԵԼՈՒ ՄԱՍԻՆ»</w:t>
      </w:r>
    </w:p>
    <w:p w14:paraId="4390472F" w14:textId="77777777" w:rsidR="006C5588" w:rsidRDefault="00BC6150">
      <w:pPr>
        <w:spacing w:line="276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ՕՐԵՆՔԻ ՆԱԽԱԳԾԻ ՎԵՐԱԲԵՐՅԱԼ</w:t>
      </w:r>
    </w:p>
    <w:p w14:paraId="1107B9F5" w14:textId="77777777" w:rsidR="006C5588" w:rsidRDefault="006C5588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7075A459" w14:textId="77777777" w:rsidR="006C5588" w:rsidRDefault="00BC61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ԱՌԿԱ ԻՐԱՎԻՃԱԿԸ ԵՎ ՆԱԽԱԳԾՈՎ ԿԱՐԳԱՎՈՐՄԱՆ ԵՆԹԱԿԱ ԽՆԴԻՐՆԵՐԸ</w:t>
      </w:r>
    </w:p>
    <w:p w14:paraId="6C2EDAF2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3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C92766A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ՀՀ էկոնոմիկայի նախարարության և ՎԶԵԲ Հայաստանի ներդրումային խորհրդի կողմից իրականացված քննարկումների, նվիրատուների և նվիրառուների հետ հանդիպումների արդյունքում վեր են հանվել որոշ խնդիրներ, որոնք չեն նպաստում Հայաստանում նվիրատվության և բարեգործության ինստիտուտների զարգացմանը:</w:t>
      </w:r>
    </w:p>
    <w:p w14:paraId="79D5AE20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Հարկային օրենսգրքի 123-րդ հոդվածի կարգավորումները թույլ են տալիս 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գրադարաններին, թանգարաններին, հանրակրթական դպրոցներին, տուն-գիշերօթիկներին, ծերանոցներին, մանկատներին, բժշկական հաստատություններին, ինչպես նաև ոչ առևտրային կազմակերպություններին տրամադրված ակտիվների, դրանց համար կատարված աշխատանքների և (կամ) դրանց մատուցված ծառայությունների արժեքը, բայց ոչ ավելի, քան հարկային տարվա համախառն եկամտի 0.25 տոկոսը նվազեցնել </w:t>
      </w:r>
      <w:r>
        <w:rPr>
          <w:rFonts w:ascii="GHEA Grapalat" w:eastAsia="GHEA Grapalat" w:hAnsi="GHEA Grapalat" w:cs="GHEA Grapalat"/>
          <w:sz w:val="24"/>
          <w:szCs w:val="24"/>
        </w:rPr>
        <w:t>շահութահարկով հարկման բազայի որոշման նպատակով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Սույն դրույթը նպատակ ունի ընձեռել նվիրատվություն իրականացնելու հնարավորություն: </w:t>
      </w:r>
    </w:p>
    <w:p w14:paraId="1585F7DD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Հարցումները ցույց են տալիս, որ հայաստանյան ԲՈւՀ-երի համար նվիրատվությունները կարևոր դեր ունեն և նպաստում են ինչպես գույքային բազայի համալրմանը, այնպես էլ լսարանների վերանորոգմանն ու կահավորմանը, լաբորատորիաների ստեղծմանը, բարձրարժեք թվային ծրագրերի հասանելիությանը և ուսման որակի բարելավմաննն ուղղված այլ ակտիվների ձեռքբերմանը։</w:t>
      </w:r>
    </w:p>
    <w:p w14:paraId="4F82A509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Օրինակ, Հայաստանում ֆրանսիական համալսարանը միայն դրամական փոխանցումների տեսքով (գույքային նվիրատվությունները չհաշված) ՀՀ ռեզիդենտ իրավաբանական անձանցից 2020-2023թթ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 ընթացքում ստացել է 234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000 եվրո ընդհանուր ծավալով անհատույց ակտիվներ։</w:t>
      </w:r>
    </w:p>
    <w:p w14:paraId="62023C9C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Հայաստանի ազգային ագրարային համալսարանը վերջին 6 տարիների ընթացքում ստացել է մոտ 30 մլն դրամի նվիրատվություններ։</w:t>
      </w:r>
    </w:p>
    <w:p w14:paraId="0ADC0D8F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Հայաստանի ազգային պոլիտեխնիկական համալսարանը նախորդ 3 տարիների ընթացքում ստացել է ավելի քան 400 մլն դրամի չափով նվիրատվություններ, որոնց բացվածքը ներկայացված է ստորև։</w:t>
      </w:r>
    </w:p>
    <w:p w14:paraId="3700D51B" w14:textId="77777777" w:rsidR="006C5588" w:rsidRDefault="006C55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highlight w:val="yellow"/>
        </w:rPr>
      </w:pPr>
    </w:p>
    <w:tbl>
      <w:tblPr>
        <w:tblStyle w:val="a3"/>
        <w:tblW w:w="96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1810"/>
        <w:gridCol w:w="1590"/>
        <w:gridCol w:w="1635"/>
        <w:gridCol w:w="1679"/>
      </w:tblGrid>
      <w:tr w:rsidR="006C5588" w14:paraId="7040A1EC" w14:textId="77777777">
        <w:trPr>
          <w:trHeight w:val="290"/>
        </w:trPr>
        <w:tc>
          <w:tcPr>
            <w:tcW w:w="2965" w:type="dxa"/>
          </w:tcPr>
          <w:p w14:paraId="35FC4274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0" w:type="dxa"/>
          </w:tcPr>
          <w:p w14:paraId="298E2738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2021</w:t>
            </w:r>
          </w:p>
        </w:tc>
        <w:tc>
          <w:tcPr>
            <w:tcW w:w="1590" w:type="dxa"/>
          </w:tcPr>
          <w:p w14:paraId="4D836955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2022</w:t>
            </w:r>
          </w:p>
        </w:tc>
        <w:tc>
          <w:tcPr>
            <w:tcW w:w="1635" w:type="dxa"/>
          </w:tcPr>
          <w:p w14:paraId="456CC17D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2023</w:t>
            </w:r>
          </w:p>
        </w:tc>
        <w:tc>
          <w:tcPr>
            <w:tcW w:w="1679" w:type="dxa"/>
          </w:tcPr>
          <w:p w14:paraId="7847A98E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ԸՆԴԱՄԵՆԸ</w:t>
            </w:r>
          </w:p>
        </w:tc>
      </w:tr>
      <w:tr w:rsidR="006C5588" w14:paraId="4F789EC7" w14:textId="77777777">
        <w:trPr>
          <w:trHeight w:val="750"/>
        </w:trPr>
        <w:tc>
          <w:tcPr>
            <w:tcW w:w="2965" w:type="dxa"/>
          </w:tcPr>
          <w:p w14:paraId="7A90C5F4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Եկամուտներին վերաբերող շնորհներ</w:t>
            </w:r>
          </w:p>
        </w:tc>
        <w:tc>
          <w:tcPr>
            <w:tcW w:w="1810" w:type="dxa"/>
          </w:tcPr>
          <w:p w14:paraId="1F071F26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79,176,424</w:t>
            </w:r>
          </w:p>
        </w:tc>
        <w:tc>
          <w:tcPr>
            <w:tcW w:w="1590" w:type="dxa"/>
          </w:tcPr>
          <w:p w14:paraId="6F42B1DE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122,204,234</w:t>
            </w:r>
          </w:p>
        </w:tc>
        <w:tc>
          <w:tcPr>
            <w:tcW w:w="1635" w:type="dxa"/>
          </w:tcPr>
          <w:p w14:paraId="6CAE9346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69,843,906</w:t>
            </w:r>
          </w:p>
        </w:tc>
        <w:tc>
          <w:tcPr>
            <w:tcW w:w="1679" w:type="dxa"/>
          </w:tcPr>
          <w:p w14:paraId="0054C790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271,224,564</w:t>
            </w:r>
          </w:p>
        </w:tc>
      </w:tr>
      <w:tr w:rsidR="006C5588" w14:paraId="06691D89" w14:textId="77777777">
        <w:trPr>
          <w:trHeight w:val="810"/>
        </w:trPr>
        <w:tc>
          <w:tcPr>
            <w:tcW w:w="2965" w:type="dxa"/>
          </w:tcPr>
          <w:p w14:paraId="61700C5D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Ակտիվներին վերաբերող շնորհներ</w:t>
            </w:r>
          </w:p>
        </w:tc>
        <w:tc>
          <w:tcPr>
            <w:tcW w:w="1810" w:type="dxa"/>
          </w:tcPr>
          <w:p w14:paraId="22972C5F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5,758,400</w:t>
            </w:r>
          </w:p>
        </w:tc>
        <w:tc>
          <w:tcPr>
            <w:tcW w:w="1590" w:type="dxa"/>
          </w:tcPr>
          <w:p w14:paraId="1C8DF129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56,286,817</w:t>
            </w:r>
          </w:p>
        </w:tc>
        <w:tc>
          <w:tcPr>
            <w:tcW w:w="1635" w:type="dxa"/>
          </w:tcPr>
          <w:p w14:paraId="0C6971A9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75,747,368</w:t>
            </w:r>
          </w:p>
        </w:tc>
        <w:tc>
          <w:tcPr>
            <w:tcW w:w="1679" w:type="dxa"/>
          </w:tcPr>
          <w:p w14:paraId="443A29F9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137,792,585</w:t>
            </w:r>
          </w:p>
        </w:tc>
      </w:tr>
      <w:tr w:rsidR="006C5588" w14:paraId="0465E405" w14:textId="77777777">
        <w:trPr>
          <w:trHeight w:val="705"/>
        </w:trPr>
        <w:tc>
          <w:tcPr>
            <w:tcW w:w="2965" w:type="dxa"/>
          </w:tcPr>
          <w:p w14:paraId="099ECFB7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10" w:type="dxa"/>
          </w:tcPr>
          <w:p w14:paraId="2C9342C6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84,934,824</w:t>
            </w:r>
          </w:p>
        </w:tc>
        <w:tc>
          <w:tcPr>
            <w:tcW w:w="1590" w:type="dxa"/>
          </w:tcPr>
          <w:p w14:paraId="28756E9D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178,491,051</w:t>
            </w:r>
          </w:p>
        </w:tc>
        <w:tc>
          <w:tcPr>
            <w:tcW w:w="1635" w:type="dxa"/>
          </w:tcPr>
          <w:p w14:paraId="3C2137DB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145,591,274</w:t>
            </w:r>
          </w:p>
        </w:tc>
        <w:tc>
          <w:tcPr>
            <w:tcW w:w="1679" w:type="dxa"/>
          </w:tcPr>
          <w:p w14:paraId="61689696" w14:textId="77777777" w:rsidR="006C5588" w:rsidRDefault="00BC61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firstLine="360"/>
              <w:jc w:val="both"/>
              <w:rPr>
                <w:rFonts w:ascii="GHEA Grapalat" w:eastAsia="GHEA Grapalat" w:hAnsi="GHEA Grapalat" w:cs="GHEA Grapalat"/>
                <w:sz w:val="18"/>
                <w:szCs w:val="18"/>
              </w:rPr>
            </w:pPr>
            <w:r>
              <w:rPr>
                <w:rFonts w:ascii="GHEA Grapalat" w:eastAsia="GHEA Grapalat" w:hAnsi="GHEA Grapalat" w:cs="GHEA Grapalat"/>
                <w:sz w:val="18"/>
                <w:szCs w:val="18"/>
              </w:rPr>
              <w:t>409,017,149</w:t>
            </w:r>
          </w:p>
        </w:tc>
      </w:tr>
    </w:tbl>
    <w:p w14:paraId="53E93A07" w14:textId="77777777" w:rsidR="006C5588" w:rsidRDefault="006C55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356410CF" w14:textId="77777777" w:rsidR="006C5588" w:rsidRDefault="00BC6150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Հարկ է նշել նաև, որ բազմաթիվ տնտեսավարողներ պատրաստակամություն են հայտնում իրականացնելու ավելի շատ նվիրատվություններ կրթական և գիտական հաստատություններին` նպատակ ունենալով կարճաժամկետ հատվածում նպաստելու իրենց հետաքրքրող մասնագիտությունների գծով շրջանավարտների որակավորման աճին, ինչպես նաև երկարաժամկետ հատվածում այդ հաստատություններում միջազգային չափանիշներին համապատասխան միջավայրի ձևավորմանը: Նման վարքագծի խրախուսմանը չի նպաստում համախառն եկամտի 0.25 տոկոսից ավել չափով կատարված նվիրատվության հարկումը:</w:t>
      </w:r>
    </w:p>
    <w:p w14:paraId="5AE5AF1D" w14:textId="77777777" w:rsidR="006C5588" w:rsidRDefault="00BC6150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Նշված կարգավորումը արդարացված չէ նաև այնպիսի ոչ առևտրային կազմակերպություններին իրականացվող նվիրատվությունների մասով, որոնց գործունեության նպատակները համահունչ են պետության նպատակներին և ունեն թափանցիկության բավարար մակարդակ: Օրինակ, Զինծառայողների ապահովագրության ազգային հիմնադրամին ուղղված նվիրատվությունները կտրուկ աճել են ճգնաժամային իրավիճակում (2020թ</w:t>
      </w:r>
      <w:r>
        <w:rPr>
          <w:rFonts w:ascii="Cambria Math" w:eastAsia="Cambria Math" w:hAnsi="Cambria Math" w:cs="Cambria Math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)՝ էապես խնայելով պետության միջոցները, որոնք ուղղվել են զինծառայողներին և նրանց ընտանիքի անդամներին։</w:t>
      </w:r>
    </w:p>
    <w:p w14:paraId="387BC42D" w14:textId="77777777" w:rsidR="006C5588" w:rsidRDefault="006C5588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F21C79D" w14:textId="77777777" w:rsidR="006C5588" w:rsidRDefault="00BC6150">
      <w:pPr>
        <w:spacing w:after="0" w:line="276" w:lineRule="auto"/>
        <w:ind w:firstLine="375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Զինապահ հիմնադրամին իրականացված նվիրատվությունները</w:t>
      </w:r>
    </w:p>
    <w:tbl>
      <w:tblPr>
        <w:tblStyle w:val="a4"/>
        <w:tblW w:w="9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997"/>
        <w:gridCol w:w="1128"/>
        <w:gridCol w:w="998"/>
        <w:gridCol w:w="998"/>
        <w:gridCol w:w="998"/>
        <w:gridCol w:w="1278"/>
        <w:gridCol w:w="1128"/>
      </w:tblGrid>
      <w:tr w:rsidR="006C5588" w14:paraId="3688A39C" w14:textId="77777777">
        <w:tc>
          <w:tcPr>
            <w:tcW w:w="2152" w:type="dxa"/>
          </w:tcPr>
          <w:p w14:paraId="4DF3C6FF" w14:textId="77777777" w:rsidR="006C5588" w:rsidRDefault="006C5588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97" w:type="dxa"/>
          </w:tcPr>
          <w:p w14:paraId="1C26134F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2017-2019</w:t>
            </w:r>
          </w:p>
        </w:tc>
        <w:tc>
          <w:tcPr>
            <w:tcW w:w="1128" w:type="dxa"/>
          </w:tcPr>
          <w:p w14:paraId="7BBF7C09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2020</w:t>
            </w:r>
          </w:p>
        </w:tc>
        <w:tc>
          <w:tcPr>
            <w:tcW w:w="998" w:type="dxa"/>
          </w:tcPr>
          <w:p w14:paraId="7C066A44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2021</w:t>
            </w:r>
          </w:p>
        </w:tc>
        <w:tc>
          <w:tcPr>
            <w:tcW w:w="998" w:type="dxa"/>
          </w:tcPr>
          <w:p w14:paraId="1D279C6E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2022</w:t>
            </w:r>
          </w:p>
        </w:tc>
        <w:tc>
          <w:tcPr>
            <w:tcW w:w="998" w:type="dxa"/>
          </w:tcPr>
          <w:p w14:paraId="13A8E6D4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2023</w:t>
            </w:r>
          </w:p>
        </w:tc>
        <w:tc>
          <w:tcPr>
            <w:tcW w:w="1278" w:type="dxa"/>
          </w:tcPr>
          <w:p w14:paraId="51AC15B3" w14:textId="77777777" w:rsidR="006C5588" w:rsidRDefault="004D27B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0"/>
                <w:id w:val="1720936823"/>
              </w:sdtPr>
              <w:sdtEndPr/>
              <w:sdtContent>
                <w:r w:rsidR="00BC6150">
                  <w:rPr>
                    <w:rFonts w:ascii="Tahoma" w:eastAsia="Tahoma" w:hAnsi="Tahoma" w:cs="Tahoma"/>
                    <w:sz w:val="20"/>
                    <w:szCs w:val="20"/>
                  </w:rPr>
                  <w:t>2024 (կիսամյակ)</w:t>
                </w:r>
              </w:sdtContent>
            </w:sdt>
          </w:p>
        </w:tc>
        <w:tc>
          <w:tcPr>
            <w:tcW w:w="1128" w:type="dxa"/>
          </w:tcPr>
          <w:p w14:paraId="51C96731" w14:textId="77777777" w:rsidR="006C5588" w:rsidRDefault="00BC615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2017-2024</w:t>
            </w:r>
          </w:p>
        </w:tc>
      </w:tr>
      <w:tr w:rsidR="006C5588" w14:paraId="2CB978F8" w14:textId="77777777">
        <w:tc>
          <w:tcPr>
            <w:tcW w:w="2152" w:type="dxa"/>
          </w:tcPr>
          <w:p w14:paraId="32F96539" w14:textId="77777777" w:rsidR="006C5588" w:rsidRDefault="004D27B0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tag w:val="goog_rdk_1"/>
                <w:id w:val="345873"/>
              </w:sdtPr>
              <w:sdtEndPr/>
              <w:sdtContent>
                <w:r w:rsidR="00BC6150"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ՀՀ դրամով իրականացված </w:t>
                </w:r>
                <w:r w:rsidR="00BC6150">
                  <w:rPr>
                    <w:rFonts w:ascii="Tahoma" w:eastAsia="Tahoma" w:hAnsi="Tahoma" w:cs="Tahoma"/>
                    <w:sz w:val="20"/>
                    <w:szCs w:val="20"/>
                  </w:rPr>
                  <w:lastRenderedPageBreak/>
                  <w:t>նվիրատվություններ, հազար դրամ</w:t>
                </w:r>
              </w:sdtContent>
            </w:sdt>
          </w:p>
        </w:tc>
        <w:tc>
          <w:tcPr>
            <w:tcW w:w="997" w:type="dxa"/>
          </w:tcPr>
          <w:p w14:paraId="24AD1579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296,495</w:t>
            </w:r>
          </w:p>
        </w:tc>
        <w:tc>
          <w:tcPr>
            <w:tcW w:w="1128" w:type="dxa"/>
          </w:tcPr>
          <w:p w14:paraId="1F1D8DAA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4,380,043</w:t>
            </w:r>
          </w:p>
        </w:tc>
        <w:tc>
          <w:tcPr>
            <w:tcW w:w="998" w:type="dxa"/>
          </w:tcPr>
          <w:p w14:paraId="4BD069E8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765,793</w:t>
            </w:r>
          </w:p>
        </w:tc>
        <w:tc>
          <w:tcPr>
            <w:tcW w:w="998" w:type="dxa"/>
          </w:tcPr>
          <w:p w14:paraId="157BB722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301,333</w:t>
            </w:r>
          </w:p>
        </w:tc>
        <w:tc>
          <w:tcPr>
            <w:tcW w:w="998" w:type="dxa"/>
          </w:tcPr>
          <w:p w14:paraId="462D62A0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173,750</w:t>
            </w:r>
          </w:p>
        </w:tc>
        <w:tc>
          <w:tcPr>
            <w:tcW w:w="1278" w:type="dxa"/>
          </w:tcPr>
          <w:p w14:paraId="562D74B5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46,484</w:t>
            </w:r>
          </w:p>
        </w:tc>
        <w:tc>
          <w:tcPr>
            <w:tcW w:w="1128" w:type="dxa"/>
          </w:tcPr>
          <w:p w14:paraId="28E322C4" w14:textId="77777777" w:rsidR="006C5588" w:rsidRDefault="00BC615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5,937,198</w:t>
            </w:r>
          </w:p>
        </w:tc>
      </w:tr>
    </w:tbl>
    <w:p w14:paraId="62628BAC" w14:textId="77777777" w:rsidR="006C5588" w:rsidRDefault="006C5588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9952D8E" w14:textId="77777777" w:rsidR="006C5588" w:rsidRDefault="006C5588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B01AC40" w14:textId="77777777" w:rsidR="006C5588" w:rsidRDefault="006C5588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3A3A0345" w14:textId="77777777" w:rsidR="006C5588" w:rsidRDefault="006C5588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5E9C36D2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2. ԿԱՐԳԱՎՈՐՄԱՆ ՆՊԱՏԱԿՆԵՐԸ</w:t>
      </w:r>
    </w:p>
    <w:p w14:paraId="29EFFE71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Կարգավորման նպատակը կրթության, գիտության ոլորտներում ոչ պետական միջոցների հաշվին իրականացվող ներդրումների աճն է, կրթություն (գիտություն) – բիզնես կապի ամրապնդումը, ինչպես նաև պետության համար առաջնային նշանակություն ունեցող հիմնադրամներին իրականացվող նվիրատվությունների խրախուսումը:</w:t>
      </w:r>
    </w:p>
    <w:p w14:paraId="7700FAF5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3</w:t>
      </w:r>
      <w:r>
        <w:rPr>
          <w:rFonts w:ascii="Cambria Math" w:eastAsia="Cambria Math" w:hAnsi="Cambria Math" w:cs="Cambria Math"/>
          <w:b/>
          <w:sz w:val="24"/>
          <w:szCs w:val="24"/>
        </w:rPr>
        <w:t>․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ԱՌԱՋԱՐԿՎՈՂ ԿԱՐԳԱՎՈՐՈՒՄՆԵՐԸ</w:t>
      </w:r>
    </w:p>
    <w:p w14:paraId="7BA874E6" w14:textId="77777777" w:rsidR="006C5588" w:rsidRDefault="00BC6150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առաջարկվում է ՀՀ հարկային օրենսգրքում փոփոխություններ իրականացնելու միջոցով հնարավորություն տալ շահութահարկ վճարողներին` իրենց համախառն եկամտի մինչև 2.5%-ի չափով պետական հանրակրթական դպրոցներին, ԲՈՒՀ-երին և նախնական մասնագիտական (արհեստագործական), միջին մասնագիտական կրթական հաստատություններին իրականացված նվիրատվությունները նվազեցնել համախառն եկամտից: </w:t>
      </w:r>
    </w:p>
    <w:p w14:paraId="08998AFA" w14:textId="77777777" w:rsidR="006C5588" w:rsidRDefault="00BC6150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Նույն մոտեցումը առաջարկվում է կիրառել նաև Զինծառայողների ապահովագրության հիմնադրամին իրականացվող նվիրատվությունների մասով:</w:t>
      </w:r>
    </w:p>
    <w:p w14:paraId="05755032" w14:textId="77777777" w:rsidR="006C5588" w:rsidRDefault="00BC6150">
      <w:pPr>
        <w:spacing w:after="0"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Առաջարկի համար որպես հիմք ուսումնասիրվել է նաև միջազգային փորձը, որը փաստում է, որ բազմաթիվ երկրներ առավել նպաստավոր պայմաններ են ստեղծել նվիրատվությունների համար, քան Հայաստանը: Մասնավորապես`</w:t>
      </w:r>
    </w:p>
    <w:p w14:paraId="00924A8F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Վրաստանում</w:t>
      </w:r>
      <w:r>
        <w:rPr>
          <w:rFonts w:ascii="GHEA Grapalat" w:eastAsia="GHEA Grapalat" w:hAnsi="GHEA Grapalat" w:cs="GHEA Grapalat"/>
          <w:b/>
          <w:sz w:val="24"/>
          <w:szCs w:val="24"/>
          <w:vertAlign w:val="superscript"/>
        </w:rPr>
        <w:footnoteReference w:id="1"/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 իրավունքի իրավաբանական անձանց (պետական դպրոցներ, գիտահետազոտական ինստիտուտներ, ԲՈւՀ-եր, միջին մասնագիտական հաստատություններ) ապրանքների և ծառայությունների անհատույց մատակարարումը (տրամադրումը) ազատվում է շահութահարկից:</w:t>
      </w:r>
    </w:p>
    <w:p w14:paraId="074312DD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ԱՄՆ-ում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2"/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կազմակերպությունները և ֆիզիկական անձինք կարող են իրենց հարկման բազան նվազեցնել գիտական, կրթական, բարեգործական և մի շարք այլ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>հաստատություններին իրականացված նվիրատվությունների գումարի, բայց ոչ ավելի քան հարկվող շահույթի 10%-ի չափով: Ընդ որում, նշված շեմից ավել իրականացված նվիրատվությունները կարող են նվազեցվել` ի հաշիվ հաջորդող 5 տարիների թույլատրելի չափի:</w:t>
      </w:r>
    </w:p>
    <w:p w14:paraId="333763A1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Ֆինլանդիայում </w:t>
      </w:r>
      <w:r>
        <w:rPr>
          <w:rFonts w:ascii="GHEA Grapalat" w:eastAsia="GHEA Grapalat" w:hAnsi="GHEA Grapalat" w:cs="GHEA Grapalat"/>
          <w:sz w:val="24"/>
          <w:szCs w:val="24"/>
        </w:rPr>
        <w:t>կազմակերպությունների կողմից մինչև 250.000 եվրոյի չափով նվիրատվությունները Եվրոպական Տնտեսական Տարածքի որոշ համալսարանների նվազեցվում են հարկվող շահույթից:</w:t>
      </w:r>
    </w:p>
    <w:p w14:paraId="6EF5F76E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30j0zll" w:colFirst="0" w:colLast="0"/>
      <w:bookmarkEnd w:id="0"/>
      <w:r>
        <w:rPr>
          <w:rFonts w:ascii="GHEA Grapalat" w:eastAsia="GHEA Grapalat" w:hAnsi="GHEA Grapalat" w:cs="GHEA Grapalat"/>
          <w:b/>
          <w:sz w:val="24"/>
          <w:szCs w:val="24"/>
        </w:rPr>
        <w:t>Գերմանիայում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ոչ առևտրային կազմակերպություններին իրականացված նվիրատվությունների գումարները նվազեցվում են հարկվող շահույթից` մինչև 20%-ի չափով:</w:t>
      </w:r>
    </w:p>
    <w:p w14:paraId="6D223AA5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Իտալիայում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դպրոցներին, համալսարաններին և գիտական հետազոտությունների նպատակով նվիրատվությունների համար սահմանված են հարկային արտոնություններ` մինչև հարկվող շահույթի 10%-ի չափով:</w:t>
      </w:r>
    </w:p>
    <w:p w14:paraId="5530C1F4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Բուլղարիայում </w:t>
      </w:r>
      <w:r>
        <w:rPr>
          <w:rFonts w:ascii="GHEA Grapalat" w:eastAsia="GHEA Grapalat" w:hAnsi="GHEA Grapalat" w:cs="GHEA Grapalat"/>
          <w:sz w:val="24"/>
          <w:szCs w:val="24"/>
        </w:rPr>
        <w:t>նախակրթարաններին, կրթական և գիտական հաստատություններին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իրականացված նվիրատվությունների գումարները նվազեցվում են հարկվող շահույթից` մինչև 10%-ի չափով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3"/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A8D8AC7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Ռուսաստանի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հարկային օրենսգրքում իրականացված փոփոխությունների համաձայն` 2023թ. հունվարի 1-ից ուժի մեջ են մտնում դրույթներ` համաձայն որոնց ՌԴ սուբյեկտների կողմից ընդունված օրենքների հիման վրա կարող է սահմանվել, որ հարկ վճարողներն իրավունք ունեն կրթական կազմակերպություններին անհատույց փոխանցված գույքի (դրամական միջոցների) արժեքի մինչև 100%-ի չափով նվազեցնել այդ սուբյեկտների բյուջե փոխանցվող շահութահարկի գումարները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4"/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3311C5AB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Միաժամանակ, գույքի և դրամական միջոցների անհատույց տրամադրումը պետական կամ համայնքային սեփականություն հանդիսացող ոչ առևտրային կրթական կամ գիտական հաստատություններին, ազատվում է ԱԱՀ-ից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5"/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BD8EEA3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Վերը նշված երկրներից բացի առևտրային կազմակերպությունների կողմից նվիրատվությունները խրախուսող հարկային արտոնություններ են կիրառվում նաև հետևյալ երկրներում` Ավստրալիա, Արգենտինա, Ավստրիա, Բելգիա, Կանադա, Չիլի, Չեխիա, Էստոնիա, Հունաստան, Հունգարիա, Հնդկաստան, Ինդոնեզիա, Իռլանդիա, Ճապոնիա, Լատվիա, Լիտվա, Լյուքսեմբուրգ, Մալթա, Նիդերլանդներ, Նոր Զելանդիա, Նորվեգիա, Պորտուգալիա, Ռումինիա, Սինգապուր, Սլովենիա, Հարավաֆրիկյան Հանրապետություն, Շվեյցարիա, Միացյալ Թագավորություն,  Կոլումբիա, Իսրայել, Սլովակիա: Նշված երկրներում, որպես կանոն, համախառն եկամտից նվազեցման թույլատրելի չափն էապես մեծ է Հայաստանում գործող չափից` պայմանով, որ նվիրատվություններն իրականացվեն որոշակի չափանիշների բավարարող բարեգործական կամ այլ հանրային բարիք ստեղծող  կազմակերպությունների: Օրինակ` Սլովակիայում հարկվող շահույթից կարող է նվազեցվել բարեգործության նպատակով իրականացված ծախսերի մինչև 2%, Չեխիայում` 5%, Իտալիայում, Ավստրիայում, Իսպանիայում, Վրաստանում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6"/>
      </w:r>
      <w:r>
        <w:rPr>
          <w:rFonts w:ascii="GHEA Grapalat" w:eastAsia="GHEA Grapalat" w:hAnsi="GHEA Grapalat" w:cs="GHEA Grapalat"/>
          <w:sz w:val="24"/>
          <w:szCs w:val="24"/>
        </w:rPr>
        <w:t>` 10%, Գերմանիայում և Շվեյցարիայում` 20%, Նիդերլանդներում` 50%, Իռլանդիայում, ՄԹ-ում և Ավստրալիայում` 100%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7"/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t>,7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C47C1EC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Ֆրանսիայում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կազմակերպությունները կարող են իրենց շահութահարկը նվազեցնել բարեգործության գումարի մինչև 60%-ի չափով, բայց ոչ ավել քան </w:t>
      </w:r>
      <w:r>
        <w:rPr>
          <w:rFonts w:ascii="GHEA Grapalat" w:eastAsia="GHEA Grapalat" w:hAnsi="GHEA Grapalat" w:cs="GHEA Grapalat"/>
          <w:b/>
          <w:sz w:val="24"/>
          <w:szCs w:val="24"/>
        </w:rPr>
        <w:t>տարեկան հասույթի 0.5%</w:t>
      </w:r>
      <w:r>
        <w:rPr>
          <w:rFonts w:ascii="GHEA Grapalat" w:eastAsia="GHEA Grapalat" w:hAnsi="GHEA Grapalat" w:cs="GHEA Grapalat"/>
          <w:sz w:val="24"/>
          <w:szCs w:val="24"/>
        </w:rPr>
        <w:t>-ը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8"/>
      </w:r>
      <w:r>
        <w:rPr>
          <w:rFonts w:ascii="GHEA Grapalat" w:eastAsia="GHEA Grapalat" w:hAnsi="GHEA Grapalat" w:cs="GHEA Grapalat"/>
          <w:sz w:val="24"/>
          <w:szCs w:val="24"/>
        </w:rPr>
        <w:t>: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Արգենտինայում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բարեգործության գումարը կարող է նվազեցվել մինչև </w:t>
      </w:r>
      <w:r>
        <w:rPr>
          <w:rFonts w:ascii="GHEA Grapalat" w:eastAsia="GHEA Grapalat" w:hAnsi="GHEA Grapalat" w:cs="GHEA Grapalat"/>
          <w:b/>
          <w:sz w:val="24"/>
          <w:szCs w:val="24"/>
        </w:rPr>
        <w:t>հասույթի 5%</w:t>
      </w:r>
      <w:r>
        <w:rPr>
          <w:rFonts w:ascii="GHEA Grapalat" w:eastAsia="GHEA Grapalat" w:hAnsi="GHEA Grapalat" w:cs="GHEA Grapalat"/>
          <w:sz w:val="24"/>
          <w:szCs w:val="24"/>
        </w:rPr>
        <w:t>-ի չափով: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Մեքսիկայում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կազմակերպությունները մասնավոր բարեգործական և պետական  հաստատություններին իրականացվող նվիրատվությունների գումարները կարող են նվազեցնել ընթացիկ տարվա համախառն եկամտից` նախորդ տարվա </w:t>
      </w:r>
      <w:r>
        <w:rPr>
          <w:rFonts w:ascii="GHEA Grapalat" w:eastAsia="GHEA Grapalat" w:hAnsi="GHEA Grapalat" w:cs="GHEA Grapalat"/>
          <w:b/>
          <w:sz w:val="24"/>
          <w:szCs w:val="24"/>
        </w:rPr>
        <w:t>հասույթի մինչև 7%</w:t>
      </w:r>
      <w:r>
        <w:rPr>
          <w:rFonts w:ascii="GHEA Grapalat" w:eastAsia="GHEA Grapalat" w:hAnsi="GHEA Grapalat" w:cs="GHEA Grapalat"/>
          <w:sz w:val="24"/>
          <w:szCs w:val="24"/>
        </w:rPr>
        <w:t>-ի չափով</w:t>
      </w:r>
      <w:r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9"/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47E76B5A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* Արտոնության բազաների միասնականության նպատակով հիմք է ընդունվել շահութաբերության 20%  պայմանական չափը:</w:t>
      </w:r>
    </w:p>
    <w:p w14:paraId="140E35C3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en-US"/>
        </w:rPr>
        <w:lastRenderedPageBreak/>
        <w:drawing>
          <wp:inline distT="0" distB="0" distL="0" distR="0" wp14:anchorId="01767A80" wp14:editId="3946412A">
            <wp:extent cx="5127625" cy="27432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0313A0F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* </w:t>
      </w:r>
      <w:r>
        <w:rPr>
          <w:rFonts w:ascii="GHEA Grapalat" w:eastAsia="GHEA Grapalat" w:hAnsi="GHEA Grapalat" w:cs="GHEA Grapalat"/>
          <w:sz w:val="24"/>
          <w:szCs w:val="24"/>
        </w:rPr>
        <w:t>Արտոնության բազաների միասնականության նպատակով հիմք է ընդունվել շահութաբերության 20%  պայմանական չափը:</w:t>
      </w:r>
    </w:p>
    <w:p w14:paraId="7B8CF81C" w14:textId="77777777" w:rsidR="006C5588" w:rsidRDefault="006C5588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A173FE2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4. ԱԿՆԿԱԼՎՈՂ ԱՐԴՅՈՒՆՔՆԵՐԸ</w:t>
      </w:r>
    </w:p>
    <w:p w14:paraId="18FAB71E" w14:textId="77777777" w:rsidR="006C5588" w:rsidRDefault="00BC6150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  <w:t>Ակնկալվում է, որ նախագծի ընդունման արդյունքում բիզնեսի կողմից ավելի շատ միջոցներ կուղղվեն պետական ԲՈւՀ-երի, միջին մասնագիտական և հանրակրթական հաստատությունների կարիքների բավարարմանը: Դա որոշակիորեն կբավարարի նշված կրթական հաստատությունների դրամական պահանջները, մյուս կողմից` կստեղծի կրթություն-բիզնես ամուր կապերի հիմք` ապահովելով կադրերի պատրաստման և հետազոտությունների իրականացման ինստիտուցիոնալ բնույթի հարաբերություններ:</w:t>
      </w:r>
    </w:p>
    <w:p w14:paraId="654FB098" w14:textId="77777777" w:rsidR="006C5588" w:rsidRDefault="00BC6150">
      <w:pPr>
        <w:spacing w:after="0" w:line="312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Նախագծի ընդունմամբ լրացուցիչ ֆինանսական միջոցների անհրաժեշտություն և պետական բյուջեի եկամուտներում և ծախսերում փոփոխություններ չեն սպասվում` հաշվի առնելով նվիրատվությունների արդյունքում ԲՈւՀ-երի և միջին մասնագիտական կրթական հաստատությունների կարիքների բավարարմանը զուգահեռ պետական բյուջեից իրականացվող ծախսերի կրճատման հնարավորությունը: </w:t>
      </w:r>
    </w:p>
    <w:p w14:paraId="3D36A7FC" w14:textId="77777777" w:rsidR="006C5588" w:rsidRDefault="00BC6150">
      <w:pPr>
        <w:spacing w:after="0" w:line="312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ԲՈւՀ-երի և խոշոր ու միջին բիզնեսների շրջանում իրականացված հարցման հիման վրա կանխատեսվել է, որ նախագծի ընդունման արդյունքում կրթական հաստատություններին ուղղվող նվիրատվությունների ծավալը կավելանա միջինում 25%-ով։</w:t>
      </w:r>
    </w:p>
    <w:p w14:paraId="74D7568B" w14:textId="77777777" w:rsidR="006C5588" w:rsidRDefault="006C5588">
      <w:pPr>
        <w:spacing w:line="276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4201733" w14:textId="77777777" w:rsidR="006C5588" w:rsidRDefault="00BC615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ԿԱՊԸ ՌԱԶՄԱՎԱՐԱԿԱՆ ՓԱՍՏԱԹՂԹԵՐԻ ՀԵՏ</w:t>
      </w:r>
    </w:p>
    <w:p w14:paraId="5E26A703" w14:textId="77777777" w:rsidR="006C5588" w:rsidRDefault="006C5588">
      <w:pPr>
        <w:spacing w:after="0" w:line="312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BE213BB" w14:textId="2A887661" w:rsidR="006C5588" w:rsidRPr="004C41D1" w:rsidRDefault="00BC6150" w:rsidP="004C41D1">
      <w:pPr>
        <w:spacing w:after="0" w:line="312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Նախագծի ընդունումը բխում է ՀՀ կառավարության 2021-2026թթ. ծրագրի «4.3 Կրթություն» բաժնից</w:t>
      </w:r>
      <w:r w:rsidR="004C41D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այդ թվում </w:t>
      </w:r>
      <w:r w:rsidR="004C41D1" w:rsidRPr="004C41D1">
        <w:rPr>
          <w:rFonts w:ascii="GHEA Grapalat" w:eastAsia="GHEA Grapalat" w:hAnsi="GHEA Grapalat" w:cs="GHEA Grapalat"/>
          <w:sz w:val="24"/>
          <w:szCs w:val="24"/>
          <w:lang w:val="hy-AM"/>
        </w:rPr>
        <w:t>դպրոցների, բուհերի և մասնավոր հատվածի միջև արդյունավետ</w:t>
      </w:r>
      <w:r w:rsidR="004C41D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41D1" w:rsidRPr="004C41D1">
        <w:rPr>
          <w:rFonts w:ascii="GHEA Grapalat" w:eastAsia="GHEA Grapalat" w:hAnsi="GHEA Grapalat" w:cs="GHEA Grapalat"/>
          <w:sz w:val="24"/>
          <w:szCs w:val="24"/>
          <w:lang w:val="hy-AM"/>
        </w:rPr>
        <w:t>համագործակցություն ստեղծվելու</w:t>
      </w:r>
      <w:r w:rsidR="004C41D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նպատակից</w:t>
      </w:r>
      <w:r>
        <w:rPr>
          <w:rFonts w:ascii="GHEA Grapalat" w:eastAsia="GHEA Grapalat" w:hAnsi="GHEA Grapalat" w:cs="GHEA Grapalat"/>
          <w:sz w:val="24"/>
          <w:szCs w:val="24"/>
        </w:rPr>
        <w:t xml:space="preserve">։ </w:t>
      </w:r>
    </w:p>
    <w:p w14:paraId="7B1BA726" w14:textId="77777777" w:rsidR="006C5588" w:rsidRDefault="00BC6150">
      <w:pPr>
        <w:tabs>
          <w:tab w:val="left" w:pos="1650"/>
        </w:tabs>
        <w:spacing w:line="276" w:lineRule="auto"/>
        <w:ind w:firstLine="375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</w:p>
    <w:p w14:paraId="6EE8622D" w14:textId="77777777" w:rsidR="006C5588" w:rsidRDefault="00BC615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0"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ՆԱԽԱԳԻԾԸ ՄՇԱԿՈՂ ՄԱՐՄԻՆՆԵՐԸ</w:t>
      </w:r>
    </w:p>
    <w:p w14:paraId="640B3E79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 մշակվել է Վերակառուցման և Զարգացման Եվրոպական Բանկի Հայաստանի Ներդրումային Խորհրդի և ՀՀ էկոնոմիկայի նախարարության կողմից:</w:t>
      </w:r>
    </w:p>
    <w:p w14:paraId="1E6897FA" w14:textId="77777777" w:rsidR="006C5588" w:rsidRDefault="00BC6150">
      <w:pPr>
        <w:spacing w:after="0" w:line="276" w:lineRule="auto"/>
        <w:ind w:firstLine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Նախագիծը քննարկվել է ՀՀ փոխվարչապետ Տիգրան Խաչատրյանի մոտ 12.04.2023 թվականին կայացած ՓՄՁ զարգացման խորհրդի նիստում` մասնավոր հատվածի և պետական մարմինների ներկայացուցիչների մասնակցությամբ: </w:t>
      </w:r>
    </w:p>
    <w:p w14:paraId="2D9B1A81" w14:textId="77777777" w:rsidR="006C5588" w:rsidRDefault="006C5588">
      <w:pPr>
        <w:spacing w:after="240" w:line="24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25481AF" w14:textId="77777777" w:rsidR="006C5588" w:rsidRDefault="006C5588">
      <w:pPr>
        <w:spacing w:after="0" w:line="240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2" w:name="_GoBack"/>
      <w:bookmarkEnd w:id="2"/>
    </w:p>
    <w:sectPr w:rsidR="006C5588">
      <w:headerReference w:type="default" r:id="rId9"/>
      <w:pgSz w:w="12240" w:h="15840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B971B" w14:textId="77777777" w:rsidR="004D27B0" w:rsidRDefault="004D27B0">
      <w:pPr>
        <w:spacing w:after="0" w:line="240" w:lineRule="auto"/>
      </w:pPr>
      <w:r>
        <w:separator/>
      </w:r>
    </w:p>
  </w:endnote>
  <w:endnote w:type="continuationSeparator" w:id="0">
    <w:p w14:paraId="75290855" w14:textId="77777777" w:rsidR="004D27B0" w:rsidRDefault="004D2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1" w:usb1="00000002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7EA43" w14:textId="77777777" w:rsidR="004D27B0" w:rsidRDefault="004D27B0">
      <w:pPr>
        <w:spacing w:after="0" w:line="240" w:lineRule="auto"/>
      </w:pPr>
      <w:r>
        <w:separator/>
      </w:r>
    </w:p>
  </w:footnote>
  <w:footnote w:type="continuationSeparator" w:id="0">
    <w:p w14:paraId="7E1150CB" w14:textId="77777777" w:rsidR="004D27B0" w:rsidRDefault="004D27B0">
      <w:pPr>
        <w:spacing w:after="0" w:line="240" w:lineRule="auto"/>
      </w:pPr>
      <w:r>
        <w:continuationSeparator/>
      </w:r>
    </w:p>
  </w:footnote>
  <w:footnote w:id="1">
    <w:p w14:paraId="6981EF0E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hyperlink r:id="rId1">
        <w:r>
          <w:rPr>
            <w:color w:val="0563C1"/>
            <w:sz w:val="20"/>
            <w:szCs w:val="20"/>
            <w:u w:val="single"/>
          </w:rPr>
          <w:t>https://matsne.gov.ge/ka/document/view/1043717?impose=translateEn&amp;publication=175&amp;fbclid=IwAR1zE1KofB4vu5uQfDxJY6enk7VKLykWemOz_KoKKHTOQGQedWlzjbZbnZM</w:t>
        </w:r>
      </w:hyperlink>
      <w:r>
        <w:rPr>
          <w:color w:val="000000"/>
          <w:sz w:val="20"/>
          <w:szCs w:val="20"/>
        </w:rPr>
        <w:t xml:space="preserve"> , հոդված 98</w:t>
      </w:r>
      <w:r>
        <w:rPr>
          <w:color w:val="000000"/>
          <w:sz w:val="20"/>
          <w:szCs w:val="20"/>
          <w:vertAlign w:val="superscript"/>
        </w:rPr>
        <w:t>3</w:t>
      </w:r>
    </w:p>
  </w:footnote>
  <w:footnote w:id="2">
    <w:p w14:paraId="38BCE625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2">
        <w:r>
          <w:rPr>
            <w:color w:val="0563C1"/>
            <w:sz w:val="20"/>
            <w:szCs w:val="20"/>
            <w:u w:val="single"/>
          </w:rPr>
          <w:t>https://www.taxpolicycenter.org/briefing-book/what-tax-treatment-charitable-contributions</w:t>
        </w:r>
      </w:hyperlink>
      <w:r>
        <w:rPr>
          <w:color w:val="000000"/>
          <w:sz w:val="20"/>
          <w:szCs w:val="20"/>
        </w:rPr>
        <w:t xml:space="preserve"> </w:t>
      </w:r>
    </w:p>
    <w:p w14:paraId="41D5EF29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/>
      </w:r>
      <w:hyperlink r:id="rId3" w:anchor=":~:text=The%20exempt%20purposes%20set%20forth,cruelty%20to%20children%20or%20animals">
        <w:r>
          <w:rPr>
            <w:color w:val="0563C1"/>
            <w:sz w:val="20"/>
            <w:szCs w:val="20"/>
            <w:u w:val="single"/>
          </w:rPr>
          <w:t>https://www.irs.gov/charities-non-profits/charitable-organizations/exempt-purposes-internal-revenue-code-section-501c3#:~:text=The%20exempt%20purposes%20set%20forth,cruelty%20to%20children%20or%20animals</w:t>
        </w:r>
      </w:hyperlink>
      <w:r>
        <w:rPr>
          <w:color w:val="000000"/>
          <w:sz w:val="20"/>
          <w:szCs w:val="20"/>
        </w:rPr>
        <w:br/>
      </w:r>
    </w:p>
  </w:footnote>
  <w:footnote w:id="3">
    <w:p w14:paraId="4744C9F1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4">
        <w:r>
          <w:rPr>
            <w:color w:val="0563C1"/>
            <w:sz w:val="20"/>
            <w:szCs w:val="20"/>
            <w:u w:val="single"/>
          </w:rPr>
          <w:t>https://efa-net.eu/wp-content/uploads/2018/12/EFA-Tax-Survey-Report-Dec-2018.pdf</w:t>
        </w:r>
      </w:hyperlink>
      <w:r>
        <w:rPr>
          <w:color w:val="000000"/>
          <w:sz w:val="20"/>
          <w:szCs w:val="20"/>
        </w:rPr>
        <w:t xml:space="preserve"> </w:t>
      </w:r>
    </w:p>
  </w:footnote>
  <w:footnote w:id="4">
    <w:p w14:paraId="3503F86B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5" w:anchor="/docu%20ment/405604347/paragraph/5/doclist/180/showentries/0/highlight/430-%D0%A4%D0%97:0">
        <w:r>
          <w:rPr>
            <w:color w:val="0563C1"/>
            <w:sz w:val="20"/>
            <w:szCs w:val="20"/>
            <w:u w:val="single"/>
          </w:rPr>
          <w:t>http://ivo.garant.ru/#/docu ment/405604347/paragraph/5/doclist/180/showentries/0/highlight/430-%D0%A4%D0%97:0</w:t>
        </w:r>
      </w:hyperlink>
      <w:r>
        <w:rPr>
          <w:rFonts w:ascii="Merriweather" w:eastAsia="Merriweather" w:hAnsi="Merriweather" w:cs="Merriweather"/>
          <w:color w:val="000000"/>
          <w:sz w:val="20"/>
          <w:szCs w:val="20"/>
        </w:rPr>
        <w:t xml:space="preserve"> </w:t>
      </w:r>
    </w:p>
  </w:footnote>
  <w:footnote w:id="5">
    <w:p w14:paraId="745E00DA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6">
        <w:r>
          <w:rPr>
            <w:color w:val="0563C1"/>
            <w:sz w:val="20"/>
            <w:szCs w:val="20"/>
            <w:u w:val="single"/>
          </w:rPr>
          <w:t>http://nalog.garant.ru/fns/nk/0c5956aa76cdf561e1333b201c6d337d/</w:t>
        </w:r>
      </w:hyperlink>
      <w:r>
        <w:rPr>
          <w:rFonts w:ascii="Merriweather" w:eastAsia="Merriweather" w:hAnsi="Merriweather" w:cs="Merriweather"/>
          <w:color w:val="000000"/>
          <w:sz w:val="20"/>
          <w:szCs w:val="20"/>
        </w:rPr>
        <w:t xml:space="preserve"> </w:t>
      </w:r>
    </w:p>
  </w:footnote>
  <w:footnote w:id="6">
    <w:p w14:paraId="55539F2F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bookmarkStart w:id="1" w:name="_heading=h.1fob9te" w:colFirst="0" w:colLast="0"/>
      <w:bookmarkEnd w:id="1"/>
      <w:r>
        <w:rPr>
          <w:rStyle w:val="FootnoteReference"/>
        </w:rPr>
        <w:footnoteRef/>
      </w:r>
      <w:hyperlink r:id="rId7">
        <w:r>
          <w:rPr>
            <w:color w:val="0563C1"/>
            <w:sz w:val="20"/>
            <w:szCs w:val="20"/>
            <w:u w:val="single"/>
          </w:rPr>
          <w:t>https://matsne.gov.ge/ka/document/view/1043717?impose=translateEn&amp;publication=175&amp;fbclid=IwAR1zE1KofB4vu5uQfDxJY6enk7VKLykWemOz_KoKKHTOQGQedWlzjbZbnZM</w:t>
        </w:r>
      </w:hyperlink>
      <w:r>
        <w:rPr>
          <w:color w:val="000000"/>
          <w:sz w:val="20"/>
          <w:szCs w:val="20"/>
        </w:rPr>
        <w:t xml:space="preserve"> </w:t>
      </w:r>
    </w:p>
  </w:footnote>
  <w:footnote w:id="7">
    <w:p w14:paraId="040EAED0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8" w:anchor="section-d1e15223">
        <w:r>
          <w:rPr>
            <w:color w:val="0563C1"/>
            <w:sz w:val="20"/>
            <w:szCs w:val="20"/>
            <w:u w:val="single"/>
          </w:rPr>
          <w:t>https://www.oecd-ilibrary.org/sites/559f2c2c-en/index.html?itemId=/content/component/559f2c2c-en#section-d1e15223</w:t>
        </w:r>
      </w:hyperlink>
      <w:r>
        <w:rPr>
          <w:rFonts w:ascii="Merriweather" w:eastAsia="Merriweather" w:hAnsi="Merriweather" w:cs="Merriweather"/>
          <w:color w:val="000000"/>
          <w:sz w:val="20"/>
          <w:szCs w:val="20"/>
        </w:rPr>
        <w:t xml:space="preserve"> </w:t>
      </w:r>
    </w:p>
  </w:footnote>
  <w:footnote w:id="8">
    <w:p w14:paraId="425501C8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9">
        <w:r>
          <w:rPr>
            <w:color w:val="0563C1"/>
            <w:sz w:val="20"/>
            <w:szCs w:val="20"/>
            <w:u w:val="single"/>
          </w:rPr>
          <w:t>https://efa-net.eu/wp-content/uploads/2018/12/EFA-Tax-Survey-Report-Dec-2018.pdf</w:t>
        </w:r>
      </w:hyperlink>
      <w:r>
        <w:rPr>
          <w:color w:val="000000"/>
          <w:sz w:val="20"/>
          <w:szCs w:val="20"/>
        </w:rPr>
        <w:t xml:space="preserve"> </w:t>
      </w:r>
    </w:p>
  </w:footnote>
  <w:footnote w:id="9">
    <w:p w14:paraId="5232338A" w14:textId="77777777" w:rsidR="006C5588" w:rsidRDefault="00BC615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0" w:anchor="section-d1e15223">
        <w:r>
          <w:rPr>
            <w:color w:val="0563C1"/>
            <w:sz w:val="20"/>
            <w:szCs w:val="20"/>
            <w:u w:val="single"/>
          </w:rPr>
          <w:t>https://www.oecd-ilibrary.org/sites/559f2c2c-en/index.html?itemId=/content/component/559f2c2c-en#section-d1e15223</w:t>
        </w:r>
      </w:hyperlink>
      <w:r>
        <w:rPr>
          <w:rFonts w:ascii="Merriweather" w:eastAsia="Merriweather" w:hAnsi="Merriweather" w:cs="Merriweather"/>
          <w:color w:val="000000"/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7E670" w14:textId="77777777" w:rsidR="006C5588" w:rsidRDefault="00BC615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color w:val="000000"/>
      </w:rPr>
    </w:pPr>
    <w:r>
      <w:rPr>
        <w:color w:val="000000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C7A2C"/>
    <w:multiLevelType w:val="multilevel"/>
    <w:tmpl w:val="708AF49E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6595870"/>
    <w:multiLevelType w:val="multilevel"/>
    <w:tmpl w:val="37587FCE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pStyle w:val="Heading7"/>
      <w:lvlText w:val="%7."/>
      <w:lvlJc w:val="left"/>
      <w:pPr>
        <w:ind w:left="5040" w:hanging="360"/>
      </w:pPr>
    </w:lvl>
    <w:lvl w:ilvl="7">
      <w:start w:val="1"/>
      <w:numFmt w:val="lowerLetter"/>
      <w:pStyle w:val="Heading8"/>
      <w:lvlText w:val="%8."/>
      <w:lvlJc w:val="left"/>
      <w:pPr>
        <w:ind w:left="5760" w:hanging="360"/>
      </w:pPr>
    </w:lvl>
    <w:lvl w:ilvl="8">
      <w:start w:val="1"/>
      <w:numFmt w:val="lowerRoman"/>
      <w:pStyle w:val="Heading9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588"/>
    <w:rsid w:val="00064194"/>
    <w:rsid w:val="001B4F01"/>
    <w:rsid w:val="004C41D1"/>
    <w:rsid w:val="004D27B0"/>
    <w:rsid w:val="006C5588"/>
    <w:rsid w:val="00A0541E"/>
    <w:rsid w:val="00A6727D"/>
    <w:rsid w:val="00AE4F88"/>
    <w:rsid w:val="00BC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DB892"/>
  <w15:docId w15:val="{19194158-0205-413F-88DB-9ACDEA5B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ind w:left="720" w:hanging="36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ind w:left="1440" w:hanging="360"/>
      <w:outlineLvl w:val="1"/>
    </w:pPr>
    <w:rPr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ind w:left="2160" w:hanging="180"/>
      <w:outlineLvl w:val="2"/>
    </w:pPr>
    <w:rPr>
      <w:color w:val="1F38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ind w:left="2880" w:hanging="36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ind w:left="3600" w:hanging="36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ind w:left="4320" w:hanging="180"/>
      <w:outlineLvl w:val="5"/>
    </w:pPr>
    <w:rPr>
      <w:color w:val="1F386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6C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6C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6C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60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7606C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60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06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6C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606C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6C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6C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6C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6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6C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723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23B3"/>
  </w:style>
  <w:style w:type="paragraph" w:styleId="Footer">
    <w:name w:val="footer"/>
    <w:basedOn w:val="Normal"/>
    <w:link w:val="FooterChar"/>
    <w:uiPriority w:val="99"/>
    <w:unhideWhenUsed/>
    <w:rsid w:val="008723B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23B3"/>
  </w:style>
  <w:style w:type="character" w:styleId="FootnoteReference">
    <w:name w:val="footnote reference"/>
    <w:basedOn w:val="DefaultParagraphFont"/>
    <w:uiPriority w:val="99"/>
    <w:semiHidden/>
    <w:unhideWhenUsed/>
    <w:rsid w:val="000A3C4D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FA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FA4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57FA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7FA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7642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13C58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3B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B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3B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B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3B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BEE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56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D5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Revision">
    <w:name w:val="Revision"/>
    <w:hidden/>
    <w:uiPriority w:val="99"/>
    <w:semiHidden/>
    <w:rsid w:val="00100ABE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cd-ilibrary.org/sites/559f2c2c-en/index.html?itemId=/content/component/559f2c2c-en" TargetMode="External"/><Relationship Id="rId3" Type="http://schemas.openxmlformats.org/officeDocument/2006/relationships/hyperlink" Target="https://www.irs.gov/charities-non-profits/charitable-organizations/exempt-purposes-internal-revenue-code-section-501c3" TargetMode="External"/><Relationship Id="rId7" Type="http://schemas.openxmlformats.org/officeDocument/2006/relationships/hyperlink" Target="https://matsne.gov.ge/ka/document/view/1043717?impose=translateEn&amp;publication=175&amp;fbclid=IwAR1zE1KofB4vu5uQfDxJY6enk7VKLykWemOz_KoKKHTOQGQedWlzjbZbnZM" TargetMode="External"/><Relationship Id="rId2" Type="http://schemas.openxmlformats.org/officeDocument/2006/relationships/hyperlink" Target="https://www.taxpolicycenter.org/briefing-book/what-tax-treatment-charitable-contributions" TargetMode="External"/><Relationship Id="rId1" Type="http://schemas.openxmlformats.org/officeDocument/2006/relationships/hyperlink" Target="https://matsne.gov.ge/ka/document/view/1043717?impose=translateEn&amp;publication=175&amp;fbclid=IwAR1zE1KofB4vu5uQfDxJY6enk7VKLykWemOz_KoKKHTOQGQedWlzjbZbnZM" TargetMode="External"/><Relationship Id="rId6" Type="http://schemas.openxmlformats.org/officeDocument/2006/relationships/hyperlink" Target="http://nalog.garant.ru/fns/nk/0c5956aa76cdf561e1333b201c6d337d/" TargetMode="External"/><Relationship Id="rId5" Type="http://schemas.openxmlformats.org/officeDocument/2006/relationships/hyperlink" Target="http://ivo.garant.ru/" TargetMode="External"/><Relationship Id="rId10" Type="http://schemas.openxmlformats.org/officeDocument/2006/relationships/hyperlink" Target="https://www.oecd-ilibrary.org/sites/559f2c2c-en/index.html?itemId=/content/component/559f2c2c-en" TargetMode="External"/><Relationship Id="rId4" Type="http://schemas.openxmlformats.org/officeDocument/2006/relationships/hyperlink" Target="https://efa-net.eu/wp-content/uploads/2018/12/EFA-Tax-Survey-Report-Dec-2018.pdf" TargetMode="External"/><Relationship Id="rId9" Type="http://schemas.openxmlformats.org/officeDocument/2006/relationships/hyperlink" Target="https://efa-net.eu/wp-content/uploads/2018/12/EFA-Tax-Survey-Report-Dec-2018.pdf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Lenovo\Desktop\&#1398;&#1406;&#1387;&#1408;&#1377;&#1407;&#1406;&#1400;&#1410;&#1385;&#1397;&#1400;&#1410;&#1398;%20&#1330;&#1400;&#1410;&#1392;&#1381;&#1408;&#1387;&#1398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0" i="0" u="none" strike="noStrike" kern="1200" cap="none" spc="5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hy-AM"/>
              <a:t>Տարեկան հասույթից բարեգործության գումարի թույլատրելի նվազեցման չափը</a:t>
            </a:r>
            <a:r>
              <a:rPr lang="en-US"/>
              <a:t>*</a:t>
            </a:r>
          </a:p>
        </c:rich>
      </c:tx>
      <c:layout>
        <c:manualLayout>
          <c:xMode val="edge"/>
          <c:yMode val="edge"/>
          <c:x val="0.15558509056337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cap="none" spc="5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>
                <a:alpha val="7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Sheet1!$G$4:$G$11</c:f>
              <c:strCache>
                <c:ptCount val="8"/>
                <c:pt idx="0">
                  <c:v>Հայաստան</c:v>
                </c:pt>
                <c:pt idx="1">
                  <c:v>Ֆրանսիա</c:v>
                </c:pt>
                <c:pt idx="2">
                  <c:v>ԱՄՆ</c:v>
                </c:pt>
                <c:pt idx="3">
                  <c:v>Իտալիա</c:v>
                </c:pt>
                <c:pt idx="4">
                  <c:v>Բուլղարիա</c:v>
                </c:pt>
                <c:pt idx="5">
                  <c:v>Գերմանիա</c:v>
                </c:pt>
                <c:pt idx="6">
                  <c:v>Արգենտինա</c:v>
                </c:pt>
                <c:pt idx="7">
                  <c:v>Մեքսիկա</c:v>
                </c:pt>
              </c:strCache>
            </c:strRef>
          </c:cat>
          <c:val>
            <c:numRef>
              <c:f>Sheet1!$H$4:$H$11</c:f>
              <c:numCache>
                <c:formatCode>0.0%</c:formatCode>
                <c:ptCount val="8"/>
                <c:pt idx="0" formatCode="0.00%">
                  <c:v>2.5000000000000001E-3</c:v>
                </c:pt>
                <c:pt idx="1">
                  <c:v>5.0000000000000001E-3</c:v>
                </c:pt>
                <c:pt idx="2" formatCode="0%">
                  <c:v>0.02</c:v>
                </c:pt>
                <c:pt idx="3" formatCode="0%">
                  <c:v>0.02</c:v>
                </c:pt>
                <c:pt idx="4" formatCode="0%">
                  <c:v>0.02</c:v>
                </c:pt>
                <c:pt idx="5" formatCode="0%">
                  <c:v>0.04</c:v>
                </c:pt>
                <c:pt idx="6" formatCode="0%">
                  <c:v>0.05</c:v>
                </c:pt>
                <c:pt idx="7" formatCode="0%">
                  <c:v>7.0000000000000007E-2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3E-48B8-89D0-09CBBCF2F62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80"/>
        <c:overlap val="25"/>
        <c:axId val="395697368"/>
        <c:axId val="395694416"/>
      </c:barChart>
      <c:catAx>
        <c:axId val="395697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587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5694416"/>
        <c:crosses val="autoZero"/>
        <c:auto val="1"/>
        <c:lblAlgn val="ctr"/>
        <c:lblOffset val="100"/>
        <c:noMultiLvlLbl val="0"/>
      </c:catAx>
      <c:valAx>
        <c:axId val="395694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5697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5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587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 cap="none" spc="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 baseline="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1600" b="0" i="0" kern="1200" cap="none" spc="5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fFYoJFHPJx5fLYdX+Vu96mRuBg==">CgMxLjAaGgoBMBIVChMIB0IPCgVBcmlhbBIGVGFob21hGhoKATESFQoTCAdCDwoFQXJpYWwSBlRhaG9tYTIJaC4zMGowemxsMgloLjFmb2I5dGU4AHIhMWxIbHFKbXNRRUdxVVl3Zlc4SjRMYzNkWXg4YV8wYWF5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1411</Words>
  <Characters>8046</Characters>
  <Application>Microsoft Office Word</Application>
  <DocSecurity>0</DocSecurity>
  <Lines>67</Lines>
  <Paragraphs>18</Paragraphs>
  <ScaleCrop>false</ScaleCrop>
  <Company/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https://mul2.gov.am/tasks/1192727/oneclick?token=1611681d8975876b33b2e3b359291dea</cp:keywords>
  <cp:lastModifiedBy>Zaliko Barseghyan</cp:lastModifiedBy>
  <cp:revision>3</cp:revision>
  <dcterms:created xsi:type="dcterms:W3CDTF">2025-07-23T13:29:00Z</dcterms:created>
  <dcterms:modified xsi:type="dcterms:W3CDTF">2025-08-04T11:18:00Z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151b6bd4f6838697e3341609dedcc135cc786cb2343e4e963b135690f8ce974e</vt:lpwstr>
  </property>
</Properties>
</file>