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F1242" w:rsidRPr="00EF1242" w:rsidRDefault="00EF1242" w:rsidP="00EF1242">
      <w:pPr>
        <w:spacing w:line="240" w:lineRule="auto"/>
        <w:jc w:val="center"/>
        <w:rPr>
          <w:rFonts w:ascii="Times New Roman" w:eastAsia="Times New Roman" w:hAnsi="Times New Roman" w:cs="Times New Roman"/>
          <w:color w:val="000000"/>
          <w:sz w:val="24"/>
          <w:szCs w:val="24"/>
          <w:lang w:val="en"/>
        </w:rPr>
      </w:pPr>
      <w:r w:rsidRPr="00EF1242">
        <w:rPr>
          <w:rFonts w:ascii="GHEA Grapalat" w:eastAsia="GHEA Grapalat" w:hAnsi="GHEA Grapalat" w:cs="GHEA Grapalat"/>
          <w:b/>
          <w:color w:val="000000"/>
          <w:sz w:val="24"/>
          <w:szCs w:val="24"/>
          <w:lang w:val="en"/>
        </w:rPr>
        <w:t>ՏԵՂԵԿԱՆՔ</w:t>
      </w:r>
    </w:p>
    <w:p w:rsidR="00EF1242" w:rsidRPr="00EF1242" w:rsidRDefault="00EF1242" w:rsidP="00EF1242">
      <w:pPr>
        <w:spacing w:line="240" w:lineRule="auto"/>
        <w:jc w:val="center"/>
        <w:rPr>
          <w:rFonts w:ascii="GHEA Grapalat" w:eastAsia="GHEA Grapalat" w:hAnsi="GHEA Grapalat" w:cs="GHEA Grapalat"/>
          <w:b/>
          <w:color w:val="000000"/>
          <w:sz w:val="24"/>
          <w:szCs w:val="24"/>
          <w:lang w:val="en"/>
        </w:rPr>
      </w:pPr>
      <w:r w:rsidRPr="00EF1242">
        <w:rPr>
          <w:rFonts w:ascii="GHEA Grapalat" w:eastAsia="GHEA Grapalat" w:hAnsi="GHEA Grapalat" w:cs="GHEA Grapalat"/>
          <w:b/>
          <w:color w:val="000000"/>
          <w:sz w:val="24"/>
          <w:szCs w:val="24"/>
          <w:lang w:val="en"/>
        </w:rPr>
        <w:t>«ՀԱՅԱՍՏԱՆԻ ՀԱՆՐԱՊԵՏՈՒԹՅԱՆ ՀԱՐԿԱՅԻՆ ՕՐԵՆՍԳՐՔՈՒՄ ՓՈՓՈԽՈՒԹՅՈՒՆ ԿԱՏԱՐԵԼՈՒ ՄԱՍԻՆ » ՕՐԵՆՔԻ ՆԱԽԱԳԾԻ ՀԱՄԱՁԱՅՆ ՓՈՓՈԽՎՈՂ ՀՈԴՎԱԾՆԵՐԻ ՎԵՐԱԲԵՐՅԱԼ</w:t>
      </w:r>
    </w:p>
    <w:p w:rsidR="00EF1242" w:rsidRPr="00EF1242" w:rsidRDefault="00EF1242" w:rsidP="00EF1242">
      <w:pPr>
        <w:spacing w:line="240" w:lineRule="auto"/>
        <w:jc w:val="center"/>
        <w:rPr>
          <w:rFonts w:ascii="Times New Roman" w:eastAsia="Times New Roman" w:hAnsi="Times New Roman" w:cs="Times New Roman"/>
          <w:color w:val="000000"/>
          <w:sz w:val="24"/>
          <w:szCs w:val="24"/>
          <w:lang w:val="en"/>
        </w:rPr>
      </w:pPr>
    </w:p>
    <w:p w:rsidR="00EF1242" w:rsidRPr="00EF1242" w:rsidRDefault="00EF1242" w:rsidP="00EF1242">
      <w:pPr>
        <w:spacing w:after="240" w:line="240" w:lineRule="auto"/>
        <w:jc w:val="center"/>
        <w:rPr>
          <w:rFonts w:ascii="GHEA Grapalat" w:eastAsia="GHEA Grapalat" w:hAnsi="GHEA Grapalat" w:cs="GHEA Grapalat"/>
          <w:b/>
          <w:color w:val="000000"/>
          <w:sz w:val="24"/>
          <w:szCs w:val="24"/>
          <w:lang w:val="en"/>
        </w:rPr>
      </w:pPr>
      <w:r w:rsidRPr="00EF1242">
        <w:rPr>
          <w:rFonts w:ascii="GHEA Grapalat" w:eastAsia="GHEA Grapalat" w:hAnsi="GHEA Grapalat" w:cs="GHEA Grapalat"/>
          <w:b/>
          <w:color w:val="000000"/>
          <w:sz w:val="24"/>
          <w:szCs w:val="24"/>
          <w:lang w:val="en"/>
        </w:rPr>
        <w:t>ՀԱՅԱՍՏԱՆԻ ՀԱՆՐԱՊԵՏՈՒԹՅԱՆ</w:t>
      </w:r>
    </w:p>
    <w:p w:rsidR="00EF1242" w:rsidRPr="00EF1242" w:rsidRDefault="00EF1242" w:rsidP="00EF1242">
      <w:pPr>
        <w:spacing w:after="240" w:line="240" w:lineRule="auto"/>
        <w:jc w:val="center"/>
        <w:rPr>
          <w:rFonts w:ascii="Times New Roman" w:eastAsia="Times New Roman" w:hAnsi="Times New Roman" w:cs="Times New Roman"/>
          <w:sz w:val="24"/>
          <w:szCs w:val="24"/>
          <w:lang w:val="en"/>
        </w:rPr>
      </w:pPr>
      <w:r w:rsidRPr="00EF1242">
        <w:rPr>
          <w:rFonts w:ascii="GHEA Grapalat" w:eastAsia="GHEA Grapalat" w:hAnsi="GHEA Grapalat" w:cs="GHEA Grapalat"/>
          <w:b/>
          <w:color w:val="000000"/>
          <w:sz w:val="24"/>
          <w:szCs w:val="24"/>
          <w:lang w:val="en"/>
        </w:rPr>
        <w:t>ՀԱՐԿԱՅԻՆ ՕՐԵՆՍԳԻՐՔ</w:t>
      </w:r>
    </w:p>
    <w:p w:rsidR="00EF1242" w:rsidRPr="00EF1242" w:rsidRDefault="00EF1242" w:rsidP="00EF1242">
      <w:pPr>
        <w:spacing w:after="0" w:line="240" w:lineRule="auto"/>
        <w:rPr>
          <w:rFonts w:ascii="Times New Roman" w:eastAsia="Times New Roman" w:hAnsi="Times New Roman" w:cs="Times New Roman"/>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Հոդված 113.</w:t>
      </w:r>
      <w:r w:rsidRPr="00EF1242">
        <w:rPr>
          <w:rFonts w:ascii="GHEA Grapalat" w:eastAsia="GHEA Grapalat" w:hAnsi="GHEA Grapalat" w:cs="GHEA Grapalat"/>
          <w:color w:val="000000"/>
          <w:sz w:val="24"/>
          <w:szCs w:val="24"/>
          <w:lang w:val="en"/>
        </w:rPr>
        <w:tab/>
        <w:t>Հարկման բազայի որոշման նպատակով համախառն եկամտից կատարվող նվազեցումների սահմանափակումները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 </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բազան որոշելիս համախառն եկամտից չեն նվազեցվում`</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1) պետական կամ համայնքների բյուջեներ կամ կուտակային կենսաթոշակային համակարգին կատարվող վճարումների կամ հարկային մարմնի կողմից վերահսկվող այլ գումարների մասով Օրենսգրքով կամ այլ օրենքներով սահմանված կարգով հաշվարկվող և վճարվող տույժերը, տուգանքները և այլ գույքային պատժամիջոցները.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2) անհատույց տրամադրած ակտիվները, անհատույց կատարված աշխատանքները կամ անհատույց մատուցված ծառայությունները, ներած պարտավորությունները, բացառությամբ Օրենսգրքի 120-րդ հոդվածով և 123-րդ հոդվածի 1-ին մասի </w:t>
      </w:r>
      <w:r w:rsidRPr="00EF1242">
        <w:rPr>
          <w:rFonts w:ascii="GHEA Grapalat" w:eastAsia="GHEA Grapalat" w:hAnsi="GHEA Grapalat" w:cs="GHEA Grapalat"/>
          <w:strike/>
          <w:color w:val="000000"/>
          <w:sz w:val="24"/>
          <w:szCs w:val="24"/>
          <w:highlight w:val="yellow"/>
          <w:lang w:val="en"/>
        </w:rPr>
        <w:t>5-րդ կետով</w:t>
      </w:r>
      <w:r w:rsidRPr="00EF1242">
        <w:rPr>
          <w:rFonts w:ascii="GHEA Grapalat" w:eastAsia="GHEA Grapalat" w:hAnsi="GHEA Grapalat" w:cs="GHEA Grapalat"/>
          <w:strike/>
          <w:color w:val="000000"/>
          <w:sz w:val="24"/>
          <w:szCs w:val="24"/>
          <w:lang w:val="en"/>
        </w:rPr>
        <w:t xml:space="preserve"> </w:t>
      </w:r>
      <w:r w:rsidRPr="00EF1242">
        <w:rPr>
          <w:rFonts w:ascii="GHEA Grapalat" w:eastAsia="GHEA Grapalat" w:hAnsi="GHEA Grapalat" w:cs="GHEA Grapalat"/>
          <w:color w:val="000000"/>
          <w:sz w:val="24"/>
          <w:szCs w:val="24"/>
          <w:highlight w:val="yellow"/>
          <w:u w:val="single"/>
          <w:lang w:val="en"/>
        </w:rPr>
        <w:t>5-րդ և 5.1-ին կետերով</w:t>
      </w:r>
      <w:r w:rsidRPr="00EF1242">
        <w:rPr>
          <w:rFonts w:ascii="GHEA Grapalat" w:eastAsia="GHEA Grapalat" w:hAnsi="GHEA Grapalat" w:cs="GHEA Grapalat"/>
          <w:color w:val="000000"/>
          <w:sz w:val="24"/>
          <w:szCs w:val="24"/>
          <w:lang w:val="en"/>
        </w:rPr>
        <w:t xml:space="preserve"> սահմանված դեպքերի.</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3) սեփականության իրավունքով շահութահարկ վճարողին պատկանող, սակայն լիզինգով (տարատեսակներով) տրված (եթե լիզինգի (տարատեսակների) պայմանագրով նախատեսված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մասով Օրենսգրքի 121-րդ հոդվածի 1-ին մասով սահմանված կարգով հաշվարկվող ամորտիզացիոն մասհանումների գծով ծախսերը.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4) այն եկամուտների ստացման հետ կապված ծախսերը, որոնք շահութահարկով հարկման բազան որոշելիս նվազեցվում են համախառն եկամտից.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5) Օրենսգրքի 4-րդ, 5-րդ և 8-րդ բաժիններով սահմանված կարգով և չափով հաշվանցվող (պակասեցվող) ԱԱՀ-ի, ակցիզային հարկի և բնապահպանական հարկի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6)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և ակցիզային հարկով հարկման բազաների նկատմամբ Օրենսգրքի 4-րդ և 5-րդ բաժիններով սահմանված կարգով և չափով հաշվարկվող և վճարվող ԱԱՀ-ի և ակցիզային հարկի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7) Օրենսգրքի 114-120-րդ հոդվածներով սահմանված` շահութահարկով հարկման բազայի որոշման նպատակով նորմավորվող ծախսերի` նորմաները գերազանցող մասը: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8) Օրենսգրքով սահմանված կարգով միկրոձեռնարկատիրության սուբյեկտ համարվող հարկ վճարողներից ձեռք բերված ապրանքների, ստացված ծառայությունների, ընդունված աշխատանքների գծով կատարվող ծախսերը, ինչպես նաև Օրենսգրքով սահմանված կարգով միկրոձեռնարկատիրության սուբյեկտ համարվող հարկ վճարողներից անհատույց օգտագործման վերցված շենքերի, շինությունների (այդ թվում` անավարտ, կիսակառույց), բնակելի կամ այլ տարածքների, հողամասերի գծով սույն բաժնով սահմանված կարգով հաշվարկվող ծախսերը: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9) Օրենսգրքի 73-րդ հոդվածի 8.1-ին մասին համապատասխան` հաշվետու ժամանակաշրջանում հաշվանցման (պակասեցման) ենթակա ԱԱՀ-ի գումարներից նվազեցման ենթակա ԱԱՀ-ի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10) Կառավարության սահմանած` բարձր տեխնոլոգիաների ոլորտի գործունեության տեսակների ցանկում ներառված գործունեության տեսակների մասով շրջանառության հարկ վճարողներից ձեռք բերված ապրանքների, ստացված ծառայությունների և ընդունված աշխատանքների գծով կատարվող ծախսերը: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Հոդված 123.</w:t>
      </w:r>
      <w:r w:rsidRPr="00EF1242">
        <w:rPr>
          <w:rFonts w:ascii="GHEA Grapalat" w:eastAsia="GHEA Grapalat" w:hAnsi="GHEA Grapalat" w:cs="GHEA Grapalat"/>
          <w:color w:val="000000"/>
          <w:sz w:val="24"/>
          <w:szCs w:val="24"/>
          <w:lang w:val="en"/>
        </w:rPr>
        <w:tab/>
        <w:t>Այլ նվազեցումները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 </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lastRenderedPageBreak/>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1) անվավեր ճանաչված գործարքների մասով նախորդ հաշվետու ժամանակաշրջաններում հարկման բազայի որոշման նպատակով համախառն եկամտում ներառված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2) Կառավարության սահմանած կարգով շահութահարկ վճարողների (բացառությամբ սույն մասի 3-րդ կետով սահմանված դեպքերի) կողմից`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ա. անհուսալի դեբիտորական պարտքերի դուրսգրման համար պահուստին կատարվող մասհանումները,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բ. անհուսալի դեբիտորական պարտքերի դուրսգրման դեպքում` այդ նպատակով ստեղծված պահուստին կատարված մասհանումները գերազանցող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գ. նախկինում դուրս գրված անհուսալի կրեդիտորական պարտքերի մարման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Սույն կետի կիրառության իմաստով` 300 հազար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 կամ դատարանի կողմից արձակված վճարման կարգադրության` օրինական ուժի մեջ մտած վճռի ուժ ստանալու օրվանից կամ դեբիտորական պարտքի գումարի բռնագանձման պահանջով նոտարի կողմից արձակված կարգադրության` կողմերի համար պարտադիր դառնալու օրվանից կամ դեբիտորական պարտքի բռնագանձման պահանջը քննած արբիտրաժային տրիբունալի կողմից վճիռ (բացառությամբ դեբիտորական պարտքի գումարը ներելու կամ այն որևէ հիմքով չպահանջելու վերաբերյալ կայացված վճռի) կայացվելու օրվանից </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lastRenderedPageBreak/>
        <w:t>3)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ա. անհուսալի դեբիտորական պարտքերի դուրսգրման համար պահուստին կատարվող մասհանումները,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բ. անհուսալի դեբիտորական պարտքերի դուրսգրման դեպքում` այդ նպատակով ստեղծված պահուստին կատարված մասհանումները գերազանցող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գ. նախկինում դուրս գրված անհուսալի կրեդիտորական պարտքերի մարման գումարները.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4) հարկային տարվան նախորդող հարկային տարիների գործունեության արդյունքներով առաջացած հարկային վնասները` որպես Օրենսգրքի 104-րդ հոդվածի 1-ին մասի 1-ին կամ 3-րդ կետով սահմանված համախառն եկամտի և Օրենսգրքի 110-րդ հոդվածով սահմանված նվազեցումների բացասական տարբերություն: Սույն կետի կիրառության իմաստով` հարկային վնասները նվազեցվում են այդ վնասների առաջացման հարկային տարվան հաջորդող հինգ հարկային տարիների համախառն եկամտից` հաշվի առնելով սույն կետով սահմանված հետևյալ կանոններն ու սահմանափակումները.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ա. հարկային տարվան նախորդող հինգ հարկային տարիների (կամ դրանցից մի քանիսի) գործունեության արդյունքներով առաջացած հարկային վնասները համախառն եկամտից նվազեցնելու հաջորդականության առումով առաջնահերթորեն նվազեցված է համարվում ավելի վաղ առաջացած հարկային վնասը,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բ. հարկային տարվան նախորդող 5 հարկային տարիների (կամ դրանցից մի քանիսի) գործունեության արդյունքներով առաջացած հարկային վնասները, տվյալ հարկային տարվա ծախսերը և տվյալ հարկային տարվա կորուստները համախառն եկամտից նվազեցնելու հաջորդականության առումով առաջնահերթորեն նվազեցված են համարվում տվյալ հարկային տարվա ծախսերը և տվյալ հարկային տարվա կորուստները,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lastRenderedPageBreak/>
        <w:t>գ. Օրենսգրքի 13-րդ բաժնով սահմանված` հարկման հատուկ համակարգերի շրջանակներում իրականացվող գործունեության արդյունքներով առաջացած հարկային վնասները համախառն եկամտից նվազեցման ենթակա չեն,</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դ. մինչև Օրենսգրքի 13-րդ բաժնով սահմանված` հարկման հատուկ համակարգերի շրջանակներում գործունեություն սկսելը` հարկման ընդհանուր համակարգի շրջանակներում իրականացված գործունեության արդյունքներով առաջացած հարկային վնասները հետագայում կրկին հարկման հատուկ համակարգից հարկման ընդհանուր համակարգ անցնելու դեպքում համախառն եկամտից նվազեցնելու առումով այդ վնասների առաջացման հարկային տարվան հաջորդող հինգ հարկային տարիների հաշվարկում ներառվում են նաև հարկման հատուկ համակարգերի շրջանակներում գործունեության իրականացման տարիները,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ե. բաժանման ձևով կազմակերպության վերակազմակերպման դեպքում նախորդող հինգ հարկային տարիների գործունեության արդյունքներով առաջացած հարկային վնասը նոր ստեղծված կազմակերպություններին փոխանցվում է հավասարաչափ, եթե բաժանիչ հաշվեկշռով այլ չափ նախատեսված չէ,</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զ. առանձնացման ձևով կազմակերպության վերակազմակերպման դեպքում նախորդող 5 հարկային տարիների գործունեության արդյունքներով առաջացած հարկային վնասը նվազեցվում է միայն այն կազմակերպության համախառն եկամտից, որից առանձնացել են այլ կազմակերպություն կամ կազմակերպություններ (չի փոխանցվում առանձնացված կազմակերպությանը կամ կազմակերպություններին), եթե բաժանիչ հաշվեկշռով այլ բան նախատեսված չէ,</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է. սույն կետի «ե» և «զ» ենթակետերի համաձայն` հարկային վնասները նվազեցնելու իրավունք ունեցող կազմակերպությունների մոտ նախորդող հինգ հարկային տարիների հաշվարկը կատարելիս հաշվի են առնվում նաև վերակազմակերպվող կազմակերպության մոտ` մինչև բաժանումը կամ առանձնացումը, այդ հարկային վնասների առկայության հարկային տարիները, որոնց մասին, ըստ հարկային վնասների առաջացման հարկային տարիների, նշում է կատարվում բաժանիչ հաշվեկշռում,</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ը. միաձուլման ձևով կազմակերպությունների վերակազմակերպման դեպքում միաձուլված կազմակերպությունների նախորդող հինգ հարկային տարիների գործունեության արդյունքներով առաջացած հարկային վնասները չեն նվազեցվում նոր ստեղծված կազմակերպության համախառն եկամտից,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թ. միացման ձևով կազմակերպությունների վերակազմակերպման դեպքում միացող կազմակերպության կամ կազմակերպությունների նախորդող հինգ հարկային տարիների գործունեության արդյունքներով առաջացած հարկային վնասները չեն նվազեցվում այն կազմակերպության համախառն եկամտից, որին միացել են այլ կազմակերպություն կամ կազմակերպություններ,</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ժ. միացման ձևով կազմակերպությունների վերակազմակերպման դեպքում այն կազմակերպության նախորդող հինգ հարկային տարիների գործունեության արդյունքներով առաջացած հարկային վնասները, որին միացել են այլ կազմակերպություն կամ կազմակերպություններ, չեն նվազեցվում տվյալ կազմակերպության համախառն եկամտից.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5) գրադարաններին, թանգարաններին, հանրակրթական դպրոցներին, տուն-գիշերօթիկներին, ծերանոցներին, մանկատներին, բժշկական հաստատություններին, ինչպես նաև ոչ առևտրային կազմակերպություններին տրամադրված ակտիվների, դրանց համար կատարված աշխատանքների և (կամ) դրանց մատուցված ծառայությունների արժեքը, բայց ոչ ավելի, քան հարկային տարվա համախառն եկամտի 0.25 տոկոսը</w:t>
      </w:r>
      <w:r w:rsidRPr="00EF1242">
        <w:rPr>
          <w:rFonts w:ascii="GHEA Grapalat" w:eastAsia="GHEA Grapalat" w:hAnsi="GHEA Grapalat" w:cs="GHEA Grapalat"/>
          <w:color w:val="000000"/>
          <w:sz w:val="24"/>
          <w:szCs w:val="24"/>
          <w:highlight w:val="yellow"/>
          <w:u w:val="single"/>
          <w:lang w:val="en"/>
        </w:rPr>
        <w:t>, բացառությամբ սույն մասի 5.1-ին կետի</w:t>
      </w:r>
      <w:r w:rsidRPr="00EF1242">
        <w:rPr>
          <w:rFonts w:ascii="GHEA Grapalat" w:eastAsia="GHEA Grapalat" w:hAnsi="GHEA Grapalat" w:cs="GHEA Grapalat"/>
          <w:color w:val="000000"/>
          <w:sz w:val="24"/>
          <w:szCs w:val="24"/>
          <w:lang w:val="en"/>
        </w:rPr>
        <w:t>.</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u w:val="single"/>
          <w:lang w:val="en"/>
        </w:rPr>
      </w:pPr>
      <w:r w:rsidRPr="00EF1242">
        <w:rPr>
          <w:rFonts w:ascii="GHEA Grapalat" w:eastAsia="GHEA Grapalat" w:hAnsi="GHEA Grapalat" w:cs="GHEA Grapalat"/>
          <w:color w:val="000000"/>
          <w:sz w:val="24"/>
          <w:szCs w:val="24"/>
          <w:highlight w:val="yellow"/>
          <w:u w:val="single"/>
          <w:lang w:val="en"/>
        </w:rPr>
        <w:t>5.1) Հայաստանի Հանրապետությունում իրականացվող տարրական, հիմնական, միջնակարգ, նախնական մասնագիտական (արհեստագործական), միջին մասնագիտական կամ բարձրագույն մասնագիտական կրթական ծրագրերի իրականացման լիցենզիա ունեցող` պետական կամ համայնքային ոչ առևտրային կազմակերպություններին և պետության կամ համայնքի կողմից ստեղծված հիմնադրամներին կամ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հիմնադրամին տրամադրված ակտիվների, դրանց համար կատարված աշխատանքների և (կամ) դրանց մատուցված ծառայությունների արժեքը, բայց ոչ ավելի, քան հարկային տարվա համախառն եկամտի 2.5 տոկոսը.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6) շահութահարկ վճարողի մոտ վարձու աշխատող համարվող (այդ թվում` համատեղության կարգով), ինչպես նաև քաղաքացիաիրավական պայմանագրի հիման վրա աշխատանք կատարող կամ քաղաքացիաիրավական պայմանագրի հիման վրա շահութահարկ վճարողին ծառայություն մատուցող յուրաքանչյուր հաշմանդամություն ունեցող անձի համար հաշվարկված աշխատավարձի և դրան հավասարեցված այլ վճարումների, ինչպես նաև քաղաքացիաիրավական պայմանագրից ստացվող </w:t>
      </w:r>
      <w:r w:rsidRPr="00EF1242">
        <w:rPr>
          <w:rFonts w:ascii="GHEA Grapalat" w:eastAsia="GHEA Grapalat" w:hAnsi="GHEA Grapalat" w:cs="GHEA Grapalat"/>
          <w:color w:val="000000"/>
          <w:sz w:val="24"/>
          <w:szCs w:val="24"/>
          <w:lang w:val="en"/>
        </w:rPr>
        <w:lastRenderedPageBreak/>
        <w:t xml:space="preserve">եկամուտների հանրագումարի 150 տոկոսը` անկախ աշխատավարձը և դրան հավասարեցված այլ վճարումները շահութահարկով հարկման բազայի որոշման նպատակով համախառն եկամտից նվազեցնելու հանգամանքից. </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7)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կատարվող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2. Ռեզիդենտ շահութահարկ վճարողի հարկման բազայի որոշման նպատակով համախառն եկամտից նվազեցվում են նաև`</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1) ստացվող շահաբաժինները.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2) բացառապես Կառավարության սահմանած` բարձր տեխնոլոգիաների ոլորտի գործունեության տեսակների ցանկում ներառված գործունեության տեսակներով զբաղվող` անմիջականորեն ռեզիդենտ շահութահարկ վճարողի կողմից ներգրավված` Կառավարության սահմանած բարձր տեխնոլոգիաների ոլորտի մասնագիտական աշխատանքների ցանկում ներառված զբաղմունքներով զբաղվող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Սույն կետով սահմանված նվազեցումը կատարվում է` անկախ աշխատավարձը և դրան հավասարեցված այլ վճարումները շահութահարկով հարկման բազայի որոշման նպատակով համախառն եկամտից նվազեցնելու հանգամանքից: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 xml:space="preserve">Սույն կետի պահանջների պահպանմամբ սույն կետը կիրառվում է նաև այն ռեզիդենտ շահութահարկ վճարողների նկատմամբ, որոնք, հարկային տարվա ընթացքում բացառապես Կառավարության սահմանած` բարձր տեխնոլոգիաների ոլորտի գործունեության տեսակների ցանկում ներառված գործունեության տեսակներից </w:t>
      </w:r>
      <w:r w:rsidRPr="00EF1242">
        <w:rPr>
          <w:rFonts w:ascii="GHEA Grapalat" w:eastAsia="GHEA Grapalat" w:hAnsi="GHEA Grapalat" w:cs="GHEA Grapalat"/>
          <w:color w:val="000000"/>
          <w:sz w:val="24"/>
          <w:szCs w:val="24"/>
          <w:lang w:val="en"/>
        </w:rPr>
        <w:lastRenderedPageBreak/>
        <w:t>ստացվող եկամուտներից բացի, ստացել են նաև այլ եկամուտներ` պայմանով, որ այդ եկամուտների տեսակարար կշիռը հարկային տարվա համախառն եկամտի մեջ չի գերազանցում 10 տոկոսը.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3)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գիտական հետազոտություններում և փորձարարական մշակումների աշխատանքներում անմիջականորեն ռեզիդենտ շահութահարկ վճարողի կողմից ներգրավված` Կառավարության սահմանած բարձր տեխնոլոգիաների ոլորտի մասնագիտական աշխատանքների ցանկում ներառված զբաղմունքներով զբաղվող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Սույն կետով սահմանված նվազեցումը կատարվում է` անկախ աշխատավարձը և դրան հավասարեցված այլ վճարումները շահութահարկով հարկման բազայի որոշման նպատակով համախառն եկամտից նվազեցնելու հանգամանքից:</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Սույն մասի 2-րդ և (կամ) 3-րդ կետերով սահմանված նվազեցումները կամ դրանց հանրագումարը տվյալ հարկային տարվա համար չի կարող գերազանցել սույն բաժնով սահմանված կարգով (առանց սույն մասի 2-րդ և 3-րդ կետերով սահմանված նվազեցումների) հաշվարկված հարկման բազայի 50 տոկոսը, բացառությամբ սույն մասի երրորդ պարբերությամբ սահմանված դեպքի:</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t>Անկախ սույն մասի երկրորդ պարբերությամբ սահմանված դրույթներից` համախառն եկամտից նվազեցման ենթակա գումարի` հարկման բազայի 50 տոկոսը չգերազանցելու սահմանափակումը չի տարածվում սույն մասի պահանջների պահպանմամբ գիտական հետազոտություններ և փորձարարական մշակումների աշխատանքներ իրականացնող այն ռեզիդենտ շահութահարկ վճարողների վրա, որոնք եկամուտներն ստացել են բացառապես գիտական հետազոտություններից և փորձարարական մշակումների աշխատանքներից կամ միաժամանակ ստացել են այլ եկամուտներ` պայմանով, որ այդ եկամուտների տեսակարար կշիռը հարկային տարվա համախառն եկամտի մեջ չի գերազանցում 10 տոկոսը:</w:t>
      </w: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p>
    <w:p w:rsidR="00EF1242" w:rsidRPr="00EF1242" w:rsidRDefault="00EF1242" w:rsidP="00EF1242">
      <w:pPr>
        <w:spacing w:after="0" w:line="276" w:lineRule="auto"/>
        <w:ind w:firstLine="360"/>
        <w:jc w:val="both"/>
        <w:rPr>
          <w:rFonts w:ascii="GHEA Grapalat" w:eastAsia="GHEA Grapalat" w:hAnsi="GHEA Grapalat" w:cs="GHEA Grapalat"/>
          <w:color w:val="000000"/>
          <w:sz w:val="24"/>
          <w:szCs w:val="24"/>
          <w:lang w:val="en"/>
        </w:rPr>
      </w:pPr>
      <w:r w:rsidRPr="00EF1242">
        <w:rPr>
          <w:rFonts w:ascii="GHEA Grapalat" w:eastAsia="GHEA Grapalat" w:hAnsi="GHEA Grapalat" w:cs="GHEA Grapalat"/>
          <w:color w:val="000000"/>
          <w:sz w:val="24"/>
          <w:szCs w:val="24"/>
          <w:lang w:val="en"/>
        </w:rPr>
        <w:lastRenderedPageBreak/>
        <w:t>Օրենսգրքի 121-րդ հոդվածի 2-րդ մասի 4-րդ կետով սահմանված մասնագիտական հանձնաժողովի տրամադրած դրական եզրակացությունը չեղյալ ճանաչվելու դեպքում կատարվում է հարկային պարտավորությունների վերահաշվարկ` հիմք ընդունելով Օրենսգրքով սահմանված ընդհանուր կարգավորումները:</w:t>
      </w:r>
    </w:p>
    <w:p w:rsidR="00B21330" w:rsidRPr="00EF1242" w:rsidRDefault="00B21330">
      <w:pPr>
        <w:rPr>
          <w:lang w:val="en"/>
        </w:rPr>
      </w:pPr>
    </w:p>
    <w:sectPr w:rsidR="00B21330" w:rsidRPr="00EF1242">
      <w:headerReference w:type="default" r:id="rId6"/>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6C37" w:rsidRDefault="00706C37">
      <w:pPr>
        <w:spacing w:after="0" w:line="240" w:lineRule="auto"/>
      </w:pPr>
      <w:r>
        <w:separator/>
      </w:r>
    </w:p>
  </w:endnote>
  <w:endnote w:type="continuationSeparator" w:id="0">
    <w:p w:rsidR="00706C37" w:rsidRDefault="00706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6C37" w:rsidRDefault="00706C37">
      <w:pPr>
        <w:spacing w:after="0" w:line="240" w:lineRule="auto"/>
      </w:pPr>
      <w:r>
        <w:separator/>
      </w:r>
    </w:p>
  </w:footnote>
  <w:footnote w:type="continuationSeparator" w:id="0">
    <w:p w:rsidR="00706C37" w:rsidRDefault="00706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Default="00EF1242">
    <w:pPr>
      <w:pBdr>
        <w:top w:val="nil"/>
        <w:left w:val="nil"/>
        <w:bottom w:val="nil"/>
        <w:right w:val="nil"/>
        <w:between w:val="nil"/>
      </w:pBdr>
      <w:tabs>
        <w:tab w:val="center" w:pos="4844"/>
        <w:tab w:val="right" w:pos="9689"/>
      </w:tabs>
      <w:spacing w:after="0" w:line="240" w:lineRule="auto"/>
      <w:jc w:val="right"/>
      <w:rPr>
        <w:color w:val="000000"/>
      </w:rPr>
    </w:pPr>
    <w:r>
      <w:rPr>
        <w:color w:val="000000"/>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E55"/>
    <w:rsid w:val="00706C37"/>
    <w:rsid w:val="00771E55"/>
    <w:rsid w:val="00B21330"/>
    <w:rsid w:val="00D34CA4"/>
    <w:rsid w:val="00EF1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B69BCE-45CB-4210-993F-E0705DC7D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2174</Words>
  <Characters>12396</Characters>
  <Application>Microsoft Office Word</Application>
  <DocSecurity>0</DocSecurity>
  <Lines>103</Lines>
  <Paragraphs>29</Paragraphs>
  <ScaleCrop>false</ScaleCrop>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Parkuhy G. Ghazaryan</dc:creator>
  <cp:keywords/>
  <dc:description/>
  <cp:lastModifiedBy>Էկոնոմիկայի նախարարություն</cp:lastModifiedBy>
  <cp:revision>2</cp:revision>
  <dcterms:created xsi:type="dcterms:W3CDTF">2025-07-16T08:07:00Z</dcterms:created>
  <dcterms:modified xsi:type="dcterms:W3CDTF">2025-07-16T08:07:00Z</dcterms:modified>
</cp:coreProperties>
</file>