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57CC15" w14:textId="77777777" w:rsidR="002D3903" w:rsidRDefault="002D3903" w:rsidP="00CC5C0D">
      <w:pPr>
        <w:tabs>
          <w:tab w:val="left" w:pos="1134"/>
        </w:tabs>
        <w:spacing w:after="0" w:line="360" w:lineRule="auto"/>
        <w:ind w:firstLine="567"/>
        <w:jc w:val="center"/>
        <w:rPr>
          <w:rFonts w:ascii="GHEA Grapalat" w:eastAsia="GHEA Grapalat" w:hAnsi="GHEA Grapalat" w:cs="GHEA Grapalat"/>
          <w:b/>
          <w:sz w:val="24"/>
          <w:szCs w:val="24"/>
        </w:rPr>
      </w:pPr>
      <w:bookmarkStart w:id="0" w:name="_GoBack"/>
      <w:bookmarkEnd w:id="0"/>
      <w:r w:rsidRPr="00B06FCB">
        <w:rPr>
          <w:rFonts w:ascii="GHEA Grapalat" w:eastAsia="GHEA Grapalat" w:hAnsi="GHEA Grapalat" w:cs="GHEA Grapalat"/>
          <w:b/>
          <w:sz w:val="24"/>
          <w:szCs w:val="24"/>
        </w:rPr>
        <w:t>ՀԻՄՆԱՎՈՐՈՒՄ</w:t>
      </w:r>
    </w:p>
    <w:p w14:paraId="5E3D38FD" w14:textId="666A126D" w:rsidR="00092855" w:rsidRPr="00D4122C" w:rsidRDefault="00092855" w:rsidP="00CC5C0D">
      <w:pPr>
        <w:pStyle w:val="NormalWeb"/>
        <w:shd w:val="clear" w:color="auto" w:fill="FFFFFF"/>
        <w:spacing w:before="0" w:beforeAutospacing="0" w:after="0" w:afterAutospacing="0" w:line="360" w:lineRule="auto"/>
        <w:ind w:firstLine="567"/>
        <w:jc w:val="center"/>
        <w:rPr>
          <w:rFonts w:ascii="Calibri" w:hAnsi="Calibri" w:cs="Calibri"/>
          <w:b/>
          <w:bCs/>
          <w:color w:val="000000"/>
        </w:rPr>
      </w:pPr>
      <w:r>
        <w:rPr>
          <w:rFonts w:ascii="GHEA Grapalat" w:hAnsi="GHEA Grapalat"/>
          <w:b/>
          <w:lang w:val="hy-AM"/>
        </w:rPr>
        <w:t>«</w:t>
      </w:r>
      <w:r>
        <w:rPr>
          <w:rFonts w:ascii="GHEA Grapalat" w:hAnsi="GHEA Grapalat" w:cs="Sylfaen"/>
          <w:b/>
          <w:lang w:val="hy-AM"/>
        </w:rPr>
        <w:t>ՀԱՅԱՍՏԱՆԻ</w:t>
      </w:r>
      <w:r>
        <w:rPr>
          <w:rFonts w:ascii="GHEA Grapalat" w:hAnsi="GHEA Grapalat"/>
          <w:b/>
          <w:lang w:val="hy-AM"/>
        </w:rPr>
        <w:t xml:space="preserve"> </w:t>
      </w:r>
      <w:r>
        <w:rPr>
          <w:rFonts w:ascii="GHEA Grapalat" w:hAnsi="GHEA Grapalat" w:cs="Sylfaen"/>
          <w:b/>
          <w:lang w:val="hy-AM"/>
        </w:rPr>
        <w:t>ՀԱՆՐԱՊԵՏՈՒԹՅԱՆ</w:t>
      </w:r>
      <w:r>
        <w:rPr>
          <w:rFonts w:ascii="GHEA Grapalat" w:hAnsi="GHEA Grapalat"/>
          <w:b/>
          <w:lang w:val="hy-AM"/>
        </w:rPr>
        <w:t xml:space="preserve"> </w:t>
      </w:r>
      <w:r>
        <w:rPr>
          <w:rFonts w:ascii="GHEA Grapalat" w:hAnsi="GHEA Grapalat" w:cs="Sylfaen"/>
          <w:b/>
          <w:lang w:val="hy-AM"/>
        </w:rPr>
        <w:t>ԴԱՏԱԿԱՆ</w:t>
      </w:r>
      <w:r>
        <w:rPr>
          <w:rFonts w:ascii="GHEA Grapalat" w:hAnsi="GHEA Grapalat"/>
          <w:b/>
          <w:lang w:val="hy-AM"/>
        </w:rPr>
        <w:t xml:space="preserve"> </w:t>
      </w:r>
      <w:r>
        <w:rPr>
          <w:rFonts w:ascii="GHEA Grapalat" w:hAnsi="GHEA Grapalat" w:cs="Sylfaen"/>
          <w:b/>
          <w:lang w:val="hy-AM"/>
        </w:rPr>
        <w:t>ՕՐԵՆՍԳԻՐՔ</w:t>
      </w:r>
      <w:r>
        <w:rPr>
          <w:rFonts w:ascii="GHEA Grapalat" w:hAnsi="GHEA Grapalat"/>
          <w:b/>
          <w:lang w:val="hy-AM"/>
        </w:rPr>
        <w:t xml:space="preserve">» </w:t>
      </w:r>
      <w:r>
        <w:rPr>
          <w:rFonts w:ascii="GHEA Grapalat" w:hAnsi="GHEA Grapalat" w:cs="Sylfaen"/>
          <w:b/>
          <w:lang w:val="hy-AM"/>
        </w:rPr>
        <w:t>ՍԱՀՄԱՆԱԴՐԱԿԱՆ</w:t>
      </w:r>
      <w:r>
        <w:rPr>
          <w:rFonts w:ascii="GHEA Grapalat" w:hAnsi="GHEA Grapalat"/>
          <w:b/>
          <w:lang w:val="hy-AM"/>
        </w:rPr>
        <w:t xml:space="preserve"> </w:t>
      </w:r>
      <w:r>
        <w:rPr>
          <w:rFonts w:ascii="GHEA Grapalat" w:hAnsi="GHEA Grapalat" w:cs="Sylfaen"/>
          <w:b/>
          <w:lang w:val="hy-AM"/>
        </w:rPr>
        <w:t>ՕՐԵՆՔՈՒՄ</w:t>
      </w:r>
      <w:r>
        <w:rPr>
          <w:rFonts w:ascii="GHEA Grapalat" w:hAnsi="GHEA Grapalat"/>
          <w:b/>
          <w:lang w:val="hy-AM"/>
        </w:rPr>
        <w:t xml:space="preserve"> </w:t>
      </w:r>
      <w:r w:rsidR="008F29D0">
        <w:rPr>
          <w:rFonts w:ascii="GHEA Grapalat" w:hAnsi="GHEA Grapalat" w:cs="Sylfaen"/>
          <w:b/>
          <w:lang w:val="hy-AM"/>
        </w:rPr>
        <w:t>ՓՈՓՈԽՈՒԹՅՈՒՆ</w:t>
      </w:r>
      <w:r>
        <w:rPr>
          <w:rFonts w:ascii="GHEA Grapalat" w:hAnsi="GHEA Grapalat"/>
          <w:b/>
          <w:lang w:val="hy-AM"/>
        </w:rPr>
        <w:t xml:space="preserve"> </w:t>
      </w:r>
      <w:r>
        <w:rPr>
          <w:rFonts w:ascii="GHEA Grapalat" w:hAnsi="GHEA Grapalat" w:cs="Sylfaen"/>
          <w:b/>
          <w:lang w:val="hy-AM"/>
        </w:rPr>
        <w:t>ԿԱՏԱՐԵԼՈՒ</w:t>
      </w:r>
      <w:r>
        <w:rPr>
          <w:rFonts w:ascii="GHEA Grapalat" w:hAnsi="GHEA Grapalat"/>
          <w:b/>
          <w:lang w:val="hy-AM"/>
        </w:rPr>
        <w:t xml:space="preserve"> </w:t>
      </w:r>
      <w:r>
        <w:rPr>
          <w:rFonts w:ascii="GHEA Grapalat" w:hAnsi="GHEA Grapalat" w:cs="Sylfaen"/>
          <w:b/>
          <w:lang w:val="hy-AM"/>
        </w:rPr>
        <w:t>ՄԱՍԻՆ</w:t>
      </w:r>
      <w:r w:rsidR="006D342D">
        <w:rPr>
          <w:rFonts w:ascii="GHEA Grapalat" w:hAnsi="GHEA Grapalat" w:cs="Sylfaen"/>
          <w:b/>
          <w:lang w:val="hy-AM"/>
        </w:rPr>
        <w:t>» ՍԱՀՄԱՆԱԴՐԱԿԱՆ</w:t>
      </w:r>
      <w:r w:rsidR="006D342D">
        <w:rPr>
          <w:rFonts w:ascii="GHEA Grapalat" w:hAnsi="GHEA Grapalat"/>
          <w:b/>
          <w:lang w:val="hy-AM"/>
        </w:rPr>
        <w:t xml:space="preserve"> </w:t>
      </w:r>
      <w:r w:rsidR="006D342D">
        <w:rPr>
          <w:rFonts w:ascii="GHEA Grapalat" w:hAnsi="GHEA Grapalat" w:cs="Sylfaen"/>
          <w:b/>
          <w:lang w:val="hy-AM"/>
        </w:rPr>
        <w:t>ՕՐԵՆՔԻ</w:t>
      </w:r>
      <w:r w:rsidR="0074166E">
        <w:rPr>
          <w:rFonts w:ascii="GHEA Grapalat" w:hAnsi="GHEA Grapalat" w:cs="Sylfaen"/>
          <w:b/>
          <w:lang w:val="hy-AM"/>
        </w:rPr>
        <w:t xml:space="preserve"> </w:t>
      </w:r>
      <w:r>
        <w:rPr>
          <w:rFonts w:ascii="GHEA Grapalat" w:hAnsi="GHEA Grapalat" w:cs="Sylfaen"/>
          <w:b/>
        </w:rPr>
        <w:t>ՆԱԽԱԳԾԻ</w:t>
      </w:r>
      <w:r w:rsidR="0074166E">
        <w:rPr>
          <w:rFonts w:ascii="GHEA Grapalat" w:hAnsi="GHEA Grapalat" w:cs="Sylfaen"/>
          <w:b/>
          <w:lang w:val="hy-AM"/>
        </w:rPr>
        <w:t xml:space="preserve"> ԸՆԴՈՒՆՄԱՆ</w:t>
      </w:r>
    </w:p>
    <w:p w14:paraId="6DC034C6" w14:textId="77777777" w:rsidR="002D3903" w:rsidRPr="00C321E4" w:rsidRDefault="002D3903" w:rsidP="00CC5C0D">
      <w:pPr>
        <w:spacing w:after="0" w:line="360" w:lineRule="auto"/>
        <w:ind w:firstLine="567"/>
        <w:jc w:val="both"/>
        <w:rPr>
          <w:rFonts w:ascii="GHEA Grapalat" w:eastAsia="GHEA Grapalat" w:hAnsi="GHEA Grapalat" w:cs="GHEA Grapalat"/>
          <w:sz w:val="24"/>
          <w:szCs w:val="24"/>
        </w:rPr>
      </w:pPr>
    </w:p>
    <w:p w14:paraId="01B57B3B" w14:textId="7AFBE6F3" w:rsidR="001C3370" w:rsidRPr="001C3370" w:rsidRDefault="002D3903" w:rsidP="00CC5C0D">
      <w:pPr>
        <w:spacing w:after="0" w:line="360" w:lineRule="auto"/>
        <w:ind w:firstLine="567"/>
        <w:jc w:val="both"/>
        <w:rPr>
          <w:rFonts w:ascii="GHEA Grapalat" w:eastAsia="GHEA Grapalat" w:hAnsi="GHEA Grapalat" w:cs="GHEA Grapalat"/>
          <w:b/>
          <w:sz w:val="24"/>
          <w:szCs w:val="24"/>
        </w:rPr>
      </w:pPr>
      <w:r w:rsidRPr="00C321E4">
        <w:rPr>
          <w:rFonts w:ascii="GHEA Grapalat" w:eastAsia="GHEA Grapalat" w:hAnsi="GHEA Grapalat" w:cs="GHEA Grapalat"/>
          <w:b/>
          <w:sz w:val="24"/>
          <w:szCs w:val="24"/>
        </w:rPr>
        <w:t>1. Ընթացիկ իրավիճակը և իրավական ակտերի</w:t>
      </w:r>
      <w:r w:rsidR="00F05365">
        <w:rPr>
          <w:rFonts w:ascii="GHEA Grapalat" w:eastAsia="GHEA Grapalat" w:hAnsi="GHEA Grapalat" w:cs="GHEA Grapalat"/>
          <w:b/>
          <w:sz w:val="24"/>
          <w:szCs w:val="24"/>
          <w:lang w:val="hy-AM"/>
        </w:rPr>
        <w:t xml:space="preserve"> </w:t>
      </w:r>
      <w:r w:rsidRPr="00C321E4">
        <w:rPr>
          <w:rFonts w:ascii="GHEA Grapalat" w:eastAsia="GHEA Grapalat" w:hAnsi="GHEA Grapalat" w:cs="GHEA Grapalat"/>
          <w:b/>
          <w:sz w:val="24"/>
          <w:szCs w:val="24"/>
        </w:rPr>
        <w:t>ընդունման</w:t>
      </w:r>
      <w:r w:rsidR="00F05365">
        <w:rPr>
          <w:rFonts w:ascii="GHEA Grapalat" w:eastAsia="GHEA Grapalat" w:hAnsi="GHEA Grapalat" w:cs="GHEA Grapalat"/>
          <w:b/>
          <w:sz w:val="24"/>
          <w:szCs w:val="24"/>
        </w:rPr>
        <w:t xml:space="preserve"> </w:t>
      </w:r>
      <w:r w:rsidRPr="00C321E4">
        <w:rPr>
          <w:rFonts w:ascii="GHEA Grapalat" w:eastAsia="GHEA Grapalat" w:hAnsi="GHEA Grapalat" w:cs="GHEA Grapalat"/>
          <w:b/>
          <w:sz w:val="24"/>
          <w:szCs w:val="24"/>
        </w:rPr>
        <w:t>անհրաժեշտությունը.</w:t>
      </w:r>
    </w:p>
    <w:p w14:paraId="6D672447" w14:textId="3433FB39" w:rsidR="007A3EBE" w:rsidRDefault="002B35E6" w:rsidP="00CC5C0D">
      <w:pPr>
        <w:spacing w:after="0" w:line="360" w:lineRule="auto"/>
        <w:ind w:firstLine="567"/>
        <w:jc w:val="both"/>
        <w:rPr>
          <w:rFonts w:ascii="GHEA Grapalat" w:hAnsi="GHEA Grapalat"/>
          <w:bCs/>
          <w:sz w:val="24"/>
          <w:szCs w:val="24"/>
          <w:lang w:val="hy-AM"/>
        </w:rPr>
      </w:pPr>
      <w:r w:rsidRPr="002B35E6">
        <w:rPr>
          <w:rFonts w:ascii="GHEA Grapalat" w:hAnsi="GHEA Grapalat"/>
          <w:sz w:val="24"/>
          <w:szCs w:val="24"/>
          <w:lang w:val="hy-AM"/>
        </w:rPr>
        <w:t>«</w:t>
      </w:r>
      <w:r w:rsidRPr="002B35E6">
        <w:rPr>
          <w:rFonts w:ascii="GHEA Grapalat" w:hAnsi="GHEA Grapalat"/>
          <w:bCs/>
          <w:sz w:val="24"/>
          <w:szCs w:val="24"/>
        </w:rPr>
        <w:t>Հայաստանի Հանրապետության</w:t>
      </w:r>
      <w:r w:rsidR="007C0717">
        <w:rPr>
          <w:rFonts w:ascii="GHEA Grapalat" w:hAnsi="GHEA Grapalat"/>
          <w:bCs/>
          <w:sz w:val="24"/>
          <w:szCs w:val="24"/>
        </w:rPr>
        <w:t xml:space="preserve"> </w:t>
      </w:r>
      <w:r w:rsidRPr="002B35E6">
        <w:rPr>
          <w:rFonts w:ascii="GHEA Grapalat" w:hAnsi="GHEA Grapalat"/>
          <w:bCs/>
          <w:sz w:val="24"/>
          <w:szCs w:val="24"/>
        </w:rPr>
        <w:t>դատական օրենսգիրք</w:t>
      </w:r>
      <w:r>
        <w:rPr>
          <w:rFonts w:ascii="GHEA Grapalat" w:hAnsi="GHEA Grapalat"/>
          <w:bCs/>
          <w:sz w:val="24"/>
          <w:szCs w:val="24"/>
          <w:lang w:val="hy-AM"/>
        </w:rPr>
        <w:t>» սահմանադրական օրենքի</w:t>
      </w:r>
      <w:r w:rsidR="007C0717">
        <w:rPr>
          <w:rFonts w:ascii="GHEA Grapalat" w:hAnsi="GHEA Grapalat"/>
          <w:bCs/>
          <w:sz w:val="24"/>
          <w:szCs w:val="24"/>
          <w:lang w:val="hy-AM"/>
        </w:rPr>
        <w:t xml:space="preserve"> </w:t>
      </w:r>
      <w:r w:rsidR="007B29A1">
        <w:rPr>
          <w:rFonts w:ascii="GHEA Grapalat" w:hAnsi="GHEA Grapalat"/>
          <w:bCs/>
          <w:sz w:val="24"/>
          <w:szCs w:val="24"/>
          <w:lang w:val="hy-AM"/>
        </w:rPr>
        <w:t xml:space="preserve"> (այսուհետ՝ նաև Դատական օրենսգիրք) </w:t>
      </w:r>
      <w:r w:rsidR="00910307">
        <w:rPr>
          <w:rFonts w:ascii="GHEA Grapalat" w:hAnsi="GHEA Grapalat"/>
          <w:bCs/>
          <w:sz w:val="24"/>
          <w:szCs w:val="24"/>
          <w:lang w:val="hy-AM"/>
        </w:rPr>
        <w:t>94</w:t>
      </w:r>
      <w:r w:rsidR="007A3EBE">
        <w:rPr>
          <w:rFonts w:ascii="GHEA Grapalat" w:hAnsi="GHEA Grapalat"/>
          <w:bCs/>
          <w:sz w:val="24"/>
          <w:szCs w:val="24"/>
          <w:lang w:val="hy-AM"/>
        </w:rPr>
        <w:t xml:space="preserve">–րդ հոդվածի 6-րդ մասի համաձայն՝ « </w:t>
      </w:r>
      <w:r w:rsidR="007A3EBE" w:rsidRPr="007A3EBE">
        <w:rPr>
          <w:rFonts w:ascii="GHEA Grapalat" w:hAnsi="GHEA Grapalat"/>
          <w:b/>
          <w:bCs/>
          <w:sz w:val="24"/>
          <w:szCs w:val="24"/>
        </w:rPr>
        <w:t>Դատավորին և Բարձրագույն դատական խորհրդի անդամին կարգապահական պատասխանատվության ենթարկելու վերաբերյալ, ինչպես նաև դատավորի և Բարձրագույն դատական խորհրդի անդամի լիազորությունները դադարեցնելու, իր լիազորությունների իրականացման 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մասին Բարձրագույն դատական խորհրդի որոշումներն ընդունվում են խորհրդակցական սենյակում՝ բաց քվեարկությամբ՝ նիստին մասնակցող խորհրդի անդամների ձայների մեծամասնությամբ, եթե որոշմանը կողմ է քվեարկել խորհրդի անդամների ընդհանուր թվի առնվազն կեսը:</w:t>
      </w:r>
      <w:r w:rsidR="007A3EBE">
        <w:rPr>
          <w:rFonts w:ascii="GHEA Grapalat" w:hAnsi="GHEA Grapalat"/>
          <w:bCs/>
          <w:sz w:val="24"/>
          <w:szCs w:val="24"/>
          <w:lang w:val="hy-AM"/>
        </w:rPr>
        <w:t xml:space="preserve"> (...) »:</w:t>
      </w:r>
    </w:p>
    <w:p w14:paraId="22B0A757" w14:textId="533003AA" w:rsidR="00A57ACB" w:rsidRDefault="00A57ACB" w:rsidP="00CC5C0D">
      <w:pPr>
        <w:spacing w:after="0" w:line="360" w:lineRule="auto"/>
        <w:ind w:firstLine="567"/>
        <w:jc w:val="both"/>
        <w:rPr>
          <w:rFonts w:ascii="GHEA Grapalat" w:hAnsi="GHEA Grapalat"/>
          <w:i/>
          <w:sz w:val="24"/>
          <w:szCs w:val="24"/>
          <w:lang w:val="hy-AM"/>
        </w:rPr>
      </w:pPr>
      <w:r w:rsidRPr="00874BE2">
        <w:rPr>
          <w:rFonts w:ascii="GHEA Grapalat" w:hAnsi="GHEA Grapalat"/>
          <w:sz w:val="24"/>
          <w:szCs w:val="24"/>
          <w:lang w:val="hy-AM"/>
        </w:rPr>
        <w:t xml:space="preserve">Սահմանադրական դատարանը իր 2025 թվականի ապրիլի 22-ի թիվ ՍԴՈ-1780 </w:t>
      </w:r>
      <w:r>
        <w:rPr>
          <w:rFonts w:ascii="GHEA Grapalat" w:hAnsi="GHEA Grapalat"/>
          <w:sz w:val="24"/>
          <w:szCs w:val="24"/>
          <w:lang w:val="hy-AM"/>
        </w:rPr>
        <w:t xml:space="preserve"> որոշմամբ</w:t>
      </w:r>
      <w:r w:rsidRPr="00874BE2">
        <w:rPr>
          <w:rFonts w:ascii="GHEA Grapalat" w:hAnsi="GHEA Grapalat"/>
          <w:sz w:val="24"/>
          <w:szCs w:val="24"/>
          <w:lang w:val="hy-AM"/>
        </w:rPr>
        <w:t xml:space="preserve"> Դատական </w:t>
      </w:r>
      <w:r w:rsidR="00CE5ADD">
        <w:rPr>
          <w:rFonts w:ascii="GHEA Grapalat" w:hAnsi="GHEA Grapalat"/>
          <w:sz w:val="24"/>
          <w:szCs w:val="24"/>
          <w:lang w:val="hy-AM"/>
        </w:rPr>
        <w:t>օրենսգրքի</w:t>
      </w:r>
      <w:r w:rsidRPr="00874BE2">
        <w:rPr>
          <w:rFonts w:ascii="GHEA Grapalat" w:hAnsi="GHEA Grapalat"/>
          <w:sz w:val="24"/>
          <w:szCs w:val="24"/>
          <w:lang w:val="hy-AM"/>
        </w:rPr>
        <w:t xml:space="preserve"> 94-րդ հոդվածի 6-րդ մասի 1-ին նախադասությունը</w:t>
      </w:r>
      <w:r w:rsidRPr="00874BE2">
        <w:rPr>
          <w:rStyle w:val="FootnoteReference"/>
          <w:rFonts w:ascii="GHEA Grapalat" w:hAnsi="GHEA Grapalat"/>
          <w:sz w:val="24"/>
          <w:szCs w:val="24"/>
          <w:lang w:val="hy-AM"/>
        </w:rPr>
        <w:footnoteReference w:id="1"/>
      </w:r>
      <w:r>
        <w:rPr>
          <w:rFonts w:ascii="GHEA Grapalat" w:hAnsi="GHEA Grapalat"/>
          <w:sz w:val="24"/>
          <w:szCs w:val="24"/>
          <w:lang w:val="hy-AM"/>
        </w:rPr>
        <w:t xml:space="preserve"> </w:t>
      </w:r>
      <w:r>
        <w:rPr>
          <w:rFonts w:ascii="GHEA Grapalat" w:hAnsi="GHEA Grapalat"/>
          <w:sz w:val="24"/>
          <w:szCs w:val="24"/>
          <w:lang w:val="hy-AM"/>
        </w:rPr>
        <w:lastRenderedPageBreak/>
        <w:t xml:space="preserve">ճանաչել է </w:t>
      </w:r>
      <w:r w:rsidRPr="00874BE2">
        <w:rPr>
          <w:rFonts w:ascii="GHEA Grapalat" w:hAnsi="GHEA Grapalat"/>
          <w:sz w:val="24"/>
          <w:szCs w:val="24"/>
          <w:lang w:val="hy-AM"/>
        </w:rPr>
        <w:t xml:space="preserve"> Սահմանադրության 49</w:t>
      </w:r>
      <w:r>
        <w:rPr>
          <w:rStyle w:val="FootnoteReference"/>
          <w:rFonts w:ascii="GHEA Grapalat" w:hAnsi="GHEA Grapalat"/>
          <w:sz w:val="24"/>
          <w:szCs w:val="24"/>
          <w:lang w:val="hy-AM"/>
        </w:rPr>
        <w:footnoteReference w:id="2"/>
      </w:r>
      <w:r w:rsidRPr="00874BE2">
        <w:rPr>
          <w:rFonts w:ascii="GHEA Grapalat" w:hAnsi="GHEA Grapalat"/>
          <w:sz w:val="24"/>
          <w:szCs w:val="24"/>
          <w:lang w:val="hy-AM"/>
        </w:rPr>
        <w:t>-րդ հոդվածին՝ 75</w:t>
      </w:r>
      <w:r>
        <w:rPr>
          <w:rStyle w:val="FootnoteReference"/>
          <w:rFonts w:ascii="GHEA Grapalat" w:hAnsi="GHEA Grapalat"/>
          <w:sz w:val="24"/>
          <w:szCs w:val="24"/>
          <w:lang w:val="hy-AM"/>
        </w:rPr>
        <w:footnoteReference w:id="3"/>
      </w:r>
      <w:r w:rsidRPr="00874BE2">
        <w:rPr>
          <w:rFonts w:ascii="GHEA Grapalat" w:hAnsi="GHEA Grapalat"/>
          <w:sz w:val="24"/>
          <w:szCs w:val="24"/>
          <w:lang w:val="hy-AM"/>
        </w:rPr>
        <w:t>-րդ հոդվածի հետ համակցության մեջ, 164-րդ հոդվածի 1-ին մասին</w:t>
      </w:r>
      <w:r>
        <w:rPr>
          <w:rStyle w:val="FootnoteReference"/>
          <w:rFonts w:ascii="GHEA Grapalat" w:hAnsi="GHEA Grapalat"/>
          <w:sz w:val="24"/>
          <w:szCs w:val="24"/>
          <w:lang w:val="hy-AM"/>
        </w:rPr>
        <w:footnoteReference w:id="4"/>
      </w:r>
      <w:r w:rsidRPr="00874BE2">
        <w:rPr>
          <w:rFonts w:ascii="GHEA Grapalat" w:hAnsi="GHEA Grapalat"/>
          <w:sz w:val="24"/>
          <w:szCs w:val="24"/>
          <w:lang w:val="hy-AM"/>
        </w:rPr>
        <w:t>, 174-րդ հոդվածի 1-3-րդ</w:t>
      </w:r>
      <w:r>
        <w:rPr>
          <w:rStyle w:val="FootnoteReference"/>
          <w:rFonts w:ascii="GHEA Grapalat" w:hAnsi="GHEA Grapalat"/>
          <w:sz w:val="24"/>
          <w:szCs w:val="24"/>
          <w:lang w:val="hy-AM"/>
        </w:rPr>
        <w:footnoteReference w:id="5"/>
      </w:r>
      <w:r w:rsidRPr="00874BE2">
        <w:rPr>
          <w:rFonts w:ascii="GHEA Grapalat" w:hAnsi="GHEA Grapalat"/>
          <w:sz w:val="24"/>
          <w:szCs w:val="24"/>
          <w:lang w:val="hy-AM"/>
        </w:rPr>
        <w:t xml:space="preserve"> մասերին, 175-րդ հոդվածի 1-ին մասի 7-րդ կետին</w:t>
      </w:r>
      <w:r>
        <w:rPr>
          <w:rFonts w:ascii="GHEA Grapalat" w:hAnsi="GHEA Grapalat"/>
          <w:sz w:val="24"/>
          <w:szCs w:val="24"/>
          <w:lang w:val="hy-AM"/>
        </w:rPr>
        <w:t xml:space="preserve"> </w:t>
      </w:r>
      <w:r w:rsidRPr="00874BE2">
        <w:rPr>
          <w:rFonts w:ascii="GHEA Grapalat" w:hAnsi="GHEA Grapalat"/>
          <w:sz w:val="24"/>
          <w:szCs w:val="24"/>
          <w:lang w:val="hy-AM"/>
        </w:rPr>
        <w:t>և 2-րդ մասին</w:t>
      </w:r>
      <w:r>
        <w:rPr>
          <w:rStyle w:val="FootnoteReference"/>
          <w:rFonts w:ascii="GHEA Grapalat" w:hAnsi="GHEA Grapalat"/>
          <w:sz w:val="24"/>
          <w:szCs w:val="24"/>
          <w:lang w:val="hy-AM"/>
        </w:rPr>
        <w:footnoteReference w:id="6"/>
      </w:r>
      <w:r w:rsidRPr="00874BE2">
        <w:rPr>
          <w:rFonts w:ascii="GHEA Grapalat" w:hAnsi="GHEA Grapalat"/>
          <w:sz w:val="24"/>
          <w:szCs w:val="24"/>
          <w:lang w:val="hy-AM"/>
        </w:rPr>
        <w:t xml:space="preserve"> հակասող</w:t>
      </w:r>
      <w:r w:rsidRPr="00874BE2">
        <w:rPr>
          <w:rFonts w:ascii="GHEA Grapalat" w:hAnsi="GHEA Grapalat"/>
          <w:i/>
          <w:sz w:val="24"/>
          <w:szCs w:val="24"/>
          <w:lang w:val="hy-AM"/>
        </w:rPr>
        <w:t>:</w:t>
      </w:r>
    </w:p>
    <w:p w14:paraId="51BE7F47" w14:textId="5D54AE5A" w:rsidR="00C62DFA" w:rsidRPr="00C62DFA" w:rsidRDefault="00A57ACB" w:rsidP="00C62DFA">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Սահմանադրական դատարանը </w:t>
      </w:r>
      <w:r w:rsidR="007C5C1C">
        <w:rPr>
          <w:rFonts w:ascii="GHEA Grapalat" w:hAnsi="GHEA Grapalat"/>
          <w:sz w:val="24"/>
          <w:szCs w:val="24"/>
          <w:lang w:val="hy-AM"/>
        </w:rPr>
        <w:t>իր</w:t>
      </w:r>
      <w:r>
        <w:rPr>
          <w:rFonts w:ascii="GHEA Grapalat" w:hAnsi="GHEA Grapalat"/>
          <w:sz w:val="24"/>
          <w:szCs w:val="24"/>
          <w:lang w:val="hy-AM"/>
        </w:rPr>
        <w:t xml:space="preserve"> որոշմամբ </w:t>
      </w:r>
      <w:r w:rsidR="007C5C1C">
        <w:rPr>
          <w:rFonts w:ascii="GHEA Grapalat" w:hAnsi="GHEA Grapalat"/>
          <w:sz w:val="24"/>
          <w:szCs w:val="24"/>
          <w:lang w:val="hy-AM"/>
        </w:rPr>
        <w:t>արտահայտել է այն դիրքորոշումը, որ</w:t>
      </w:r>
      <w:r w:rsidR="00C62DFA">
        <w:rPr>
          <w:rFonts w:ascii="GHEA Grapalat" w:hAnsi="GHEA Grapalat"/>
          <w:sz w:val="24"/>
          <w:szCs w:val="24"/>
          <w:lang w:val="hy-AM"/>
        </w:rPr>
        <w:t xml:space="preserve"> </w:t>
      </w:r>
      <w:r w:rsidR="00C62DFA" w:rsidRPr="00C62DFA">
        <w:rPr>
          <w:rFonts w:ascii="GHEA Grapalat" w:hAnsi="GHEA Grapalat"/>
          <w:sz w:val="24"/>
          <w:szCs w:val="24"/>
          <w:lang w:val="hy-AM"/>
        </w:rPr>
        <w:t>Սահմանադրության 49-րդ հոդվածը (հիմնական իրավունքներից «Հանրային ծառայության անցնելու իրավունքը») երաշխավորում է յուրաքանչյուր քաղաքացու, այդ թվում՝ դատավորի, հանրային ծառայության անցնելու և պաշտոնավարելու իրավունքը ընդհանուր հիմունքներով:</w:t>
      </w:r>
    </w:p>
    <w:p w14:paraId="25C41B66" w14:textId="493A8810" w:rsidR="00A57ACB" w:rsidRPr="00A57ACB" w:rsidRDefault="00C62DFA" w:rsidP="00CC5C0D">
      <w:pPr>
        <w:spacing w:after="0" w:line="360" w:lineRule="auto"/>
        <w:ind w:firstLine="567"/>
        <w:jc w:val="both"/>
        <w:rPr>
          <w:rFonts w:ascii="GHEA Grapalat" w:hAnsi="GHEA Grapalat"/>
          <w:bCs/>
          <w:sz w:val="24"/>
          <w:szCs w:val="24"/>
          <w:lang w:val="hy-AM"/>
        </w:rPr>
      </w:pPr>
      <w:r w:rsidRPr="00D31EBB">
        <w:rPr>
          <w:rFonts w:ascii="GHEA Grapalat" w:hAnsi="GHEA Grapalat"/>
          <w:sz w:val="24"/>
          <w:szCs w:val="24"/>
          <w:lang w:val="hy-AM"/>
        </w:rPr>
        <w:t xml:space="preserve">Հղում կատարելով իր </w:t>
      </w:r>
      <w:r w:rsidR="00052DB0" w:rsidRPr="00052DB0">
        <w:rPr>
          <w:rFonts w:ascii="GHEA Grapalat" w:hAnsi="GHEA Grapalat"/>
          <w:sz w:val="24"/>
          <w:szCs w:val="24"/>
          <w:lang w:val="hy-AM"/>
        </w:rPr>
        <w:t xml:space="preserve">2019 թվականի նոյեմբերի 15-ի ՍԴՈ-1488 </w:t>
      </w:r>
      <w:r w:rsidR="00723D66">
        <w:rPr>
          <w:rFonts w:ascii="GHEA Grapalat" w:hAnsi="GHEA Grapalat"/>
          <w:sz w:val="24"/>
          <w:szCs w:val="24"/>
          <w:lang w:val="hy-AM"/>
        </w:rPr>
        <w:t xml:space="preserve">որոշմանը, </w:t>
      </w:r>
      <w:r w:rsidRPr="00D31EBB">
        <w:rPr>
          <w:rFonts w:ascii="GHEA Grapalat" w:hAnsi="GHEA Grapalat"/>
          <w:sz w:val="24"/>
          <w:szCs w:val="24"/>
          <w:lang w:val="hy-AM"/>
        </w:rPr>
        <w:t>նշել է, որ (...) ընդհանուր հիմունքներով հանրային ծառայության անցնելու հիմնական իրավունքի ծավալի մեջ ներառվում է նաև անձի կողմից ընդհանուր հիմունքներով զբաղեցված հանրային պաշտոնում պաշտոնավարելու իրավունքը, որը, իր հերթին, ենթադրում է օրենքով չնախատեսված, ինչպես նաև կամայական հիմքերով հանրային ծառայությունից ազատվելու արգելք</w:t>
      </w:r>
      <w:r>
        <w:rPr>
          <w:rFonts w:ascii="GHEA Grapalat" w:hAnsi="GHEA Grapalat"/>
          <w:sz w:val="24"/>
          <w:szCs w:val="24"/>
          <w:lang w:val="hy-AM"/>
        </w:rPr>
        <w:t xml:space="preserve">: </w:t>
      </w:r>
      <w:r w:rsidRPr="00710D40">
        <w:rPr>
          <w:rFonts w:ascii="GHEA Grapalat" w:hAnsi="GHEA Grapalat"/>
          <w:sz w:val="24"/>
          <w:szCs w:val="24"/>
          <w:lang w:val="hy-AM"/>
        </w:rPr>
        <w:t xml:space="preserve">Դատավորի պաշտոնն զբաղեցնող անձանց համար՝ այնքանով, որքանով որ դա վերաբերում է դատավորի՝ որպես հանրային ծառայության անցնելու </w:t>
      </w:r>
      <w:r w:rsidRPr="00710D40">
        <w:rPr>
          <w:rFonts w:ascii="GHEA Grapalat" w:hAnsi="GHEA Grapalat"/>
          <w:sz w:val="24"/>
          <w:szCs w:val="24"/>
          <w:lang w:val="hy-AM"/>
        </w:rPr>
        <w:lastRenderedPageBreak/>
        <w:t>հիմնական իրավունքի կրողին, առկա է լրացուցիչ՝ իրավական պետության հիմնարար սկզբունքից ածանցվող անփոփոխելիության սահմանադրական երաշխիք, որի ապահովման մանրամասները պետք է սահմանվեն բացառապես սահմանադրական օրենքով՝ Դատական օրենսգրքով (...)</w:t>
      </w:r>
      <w:r w:rsidR="00723D66">
        <w:rPr>
          <w:rFonts w:ascii="GHEA Grapalat" w:hAnsi="GHEA Grapalat"/>
          <w:sz w:val="24"/>
          <w:szCs w:val="24"/>
          <w:lang w:val="hy-AM"/>
        </w:rPr>
        <w:t>:</w:t>
      </w:r>
    </w:p>
    <w:p w14:paraId="77743061" w14:textId="52C0DDBE" w:rsidR="00467F43" w:rsidRPr="00467F43" w:rsidRDefault="00467F43" w:rsidP="00467F43">
      <w:pPr>
        <w:spacing w:after="0" w:line="360" w:lineRule="auto"/>
        <w:ind w:firstLine="567"/>
        <w:jc w:val="both"/>
        <w:rPr>
          <w:rFonts w:ascii="GHEA Grapalat" w:hAnsi="GHEA Grapalat"/>
          <w:bCs/>
          <w:sz w:val="24"/>
          <w:szCs w:val="24"/>
          <w:lang w:val="hy-AM"/>
        </w:rPr>
      </w:pPr>
      <w:r w:rsidRPr="00467F43">
        <w:rPr>
          <w:rFonts w:ascii="GHEA Grapalat" w:hAnsi="GHEA Grapalat"/>
          <w:bCs/>
          <w:sz w:val="24"/>
          <w:szCs w:val="24"/>
          <w:lang w:val="hy-AM"/>
        </w:rPr>
        <w:t>Սահմանադրական դատարանն</w:t>
      </w:r>
      <w:r w:rsidR="007B29A1">
        <w:rPr>
          <w:rFonts w:ascii="GHEA Grapalat" w:hAnsi="GHEA Grapalat"/>
          <w:bCs/>
          <w:sz w:val="24"/>
          <w:szCs w:val="24"/>
          <w:lang w:val="hy-AM"/>
        </w:rPr>
        <w:t xml:space="preserve"> իր որոշմամբ</w:t>
      </w:r>
      <w:r w:rsidRPr="00467F43">
        <w:rPr>
          <w:rFonts w:ascii="GHEA Grapalat" w:hAnsi="GHEA Grapalat"/>
          <w:bCs/>
          <w:sz w:val="24"/>
          <w:szCs w:val="24"/>
          <w:lang w:val="hy-AM"/>
        </w:rPr>
        <w:t xml:space="preserve"> </w:t>
      </w:r>
      <w:r w:rsidR="007B29A1">
        <w:rPr>
          <w:rFonts w:ascii="GHEA Grapalat" w:hAnsi="GHEA Grapalat"/>
          <w:bCs/>
          <w:sz w:val="24"/>
          <w:szCs w:val="24"/>
          <w:lang w:val="hy-AM"/>
        </w:rPr>
        <w:t>արձանագրել</w:t>
      </w:r>
      <w:r w:rsidRPr="00467F43">
        <w:rPr>
          <w:rFonts w:ascii="GHEA Grapalat" w:hAnsi="GHEA Grapalat"/>
          <w:bCs/>
          <w:sz w:val="24"/>
          <w:szCs w:val="24"/>
          <w:lang w:val="hy-AM"/>
        </w:rPr>
        <w:t xml:space="preserve"> է, որ այն դեպքում, երբ դատավորի նկատմամբ կիրառվում է «էական կարգապահական խախտման հիմքով լիազորությունների դադարեցում» կարգապահական տույժը՝ ի հաշիվ վերջինիս իրավասահմանափակիչ ներուժի խիստ ինտենսիվ բնույթի, սահմանափակ հանրային ծառայության անցնելու հիմնական իրավունքը: </w:t>
      </w:r>
    </w:p>
    <w:p w14:paraId="3F70FED6" w14:textId="77777777" w:rsidR="00467F43" w:rsidRPr="00467F43" w:rsidRDefault="00467F43" w:rsidP="00467F43">
      <w:pPr>
        <w:spacing w:after="0" w:line="360" w:lineRule="auto"/>
        <w:ind w:firstLine="567"/>
        <w:jc w:val="both"/>
        <w:rPr>
          <w:rFonts w:ascii="GHEA Grapalat" w:hAnsi="GHEA Grapalat"/>
          <w:bCs/>
          <w:sz w:val="24"/>
          <w:szCs w:val="24"/>
          <w:lang w:val="hy-AM"/>
        </w:rPr>
      </w:pPr>
      <w:r w:rsidRPr="00467F43">
        <w:rPr>
          <w:rFonts w:ascii="GHEA Grapalat" w:hAnsi="GHEA Grapalat"/>
          <w:bCs/>
          <w:sz w:val="24"/>
          <w:szCs w:val="24"/>
          <w:lang w:val="hy-AM"/>
        </w:rPr>
        <w:tab/>
        <w:t>Այլ կերպ՝ կարգապահական տույժերի տեսակներից «էական կարգապահական խախտման հիմքով լիազորությունների դադարեցում» տույժի կիրառման հետևանքային ազդեցության շրջանակի մեջ ներառվում է նաև հանրային ծառայության անցնելու իրավունքի սահմանափակումը. հետևաբար՝ անհրաժեշտ է, որ նշված    կարգապահական տույժի կիրառումը յուրաքանչյուր դեպքում ուղեկցվի ինչպես նյութաիրավական, այնպես էլ ընթացակարգային այնպիսի երաշխիքներով, որոնց առկայությունը կբացառի վերոնշյալ սահմանադրական իրավունքի անհամաչափ սահմանափակման հնարավորությունը:</w:t>
      </w:r>
    </w:p>
    <w:p w14:paraId="6CED2C7C" w14:textId="32EC256A" w:rsidR="00467F43" w:rsidRPr="00467F43" w:rsidRDefault="00467F43" w:rsidP="00467F43">
      <w:pPr>
        <w:spacing w:after="0" w:line="360" w:lineRule="auto"/>
        <w:ind w:firstLine="567"/>
        <w:jc w:val="both"/>
        <w:rPr>
          <w:rFonts w:ascii="GHEA Grapalat" w:hAnsi="GHEA Grapalat"/>
          <w:bCs/>
          <w:sz w:val="24"/>
          <w:szCs w:val="24"/>
          <w:lang w:val="hy-AM"/>
        </w:rPr>
      </w:pPr>
      <w:r w:rsidRPr="00467F43">
        <w:rPr>
          <w:rFonts w:ascii="GHEA Grapalat" w:hAnsi="GHEA Grapalat"/>
          <w:bCs/>
          <w:sz w:val="24"/>
          <w:szCs w:val="24"/>
          <w:lang w:val="hy-AM"/>
        </w:rPr>
        <w:tab/>
        <w:t>Սահմանադրական դատարանն արձանագրել է,</w:t>
      </w:r>
      <w:r w:rsidR="007B29A1">
        <w:rPr>
          <w:rFonts w:ascii="GHEA Grapalat" w:hAnsi="GHEA Grapalat"/>
          <w:bCs/>
          <w:sz w:val="24"/>
          <w:szCs w:val="24"/>
          <w:lang w:val="hy-AM"/>
        </w:rPr>
        <w:t xml:space="preserve"> նաև</w:t>
      </w:r>
      <w:r w:rsidRPr="00467F43">
        <w:rPr>
          <w:rFonts w:ascii="GHEA Grapalat" w:hAnsi="GHEA Grapalat"/>
          <w:bCs/>
          <w:sz w:val="24"/>
          <w:szCs w:val="24"/>
          <w:lang w:val="hy-AM"/>
        </w:rPr>
        <w:t xml:space="preserve"> որ Դատական օրենսգրքի 94-րդ հոդվածի 6-րդ մասով սահմանված ընթացակարգի ուժով դատավորին կարգապահական պատասխանատվության ենթարկելիս նրա լիազորություններն էական </w:t>
      </w:r>
      <w:r w:rsidR="000D1860">
        <w:rPr>
          <w:rFonts w:ascii="GHEA Grapalat" w:hAnsi="GHEA Grapalat"/>
          <w:bCs/>
          <w:sz w:val="24"/>
          <w:szCs w:val="24"/>
          <w:lang w:val="hy-AM"/>
        </w:rPr>
        <w:t>կարգապահական</w:t>
      </w:r>
      <w:r w:rsidRPr="00467F43">
        <w:rPr>
          <w:rFonts w:ascii="GHEA Grapalat" w:hAnsi="GHEA Grapalat"/>
          <w:bCs/>
          <w:sz w:val="24"/>
          <w:szCs w:val="24"/>
          <w:lang w:val="hy-AM"/>
        </w:rPr>
        <w:t xml:space="preserve"> խախտման հիմքով դադարեցնելու վերաբերյալ Խորհրդի որոշումը կարող է ընդունվել </w:t>
      </w:r>
      <w:r w:rsidR="00F54E36">
        <w:rPr>
          <w:rFonts w:ascii="GHEA Grapalat" w:hAnsi="GHEA Grapalat"/>
          <w:bCs/>
          <w:sz w:val="24"/>
          <w:szCs w:val="24"/>
          <w:lang w:val="hy-AM"/>
        </w:rPr>
        <w:t>Բարձրագույն դատական խորհրդի</w:t>
      </w:r>
      <w:r w:rsidRPr="00467F43">
        <w:rPr>
          <w:rFonts w:ascii="GHEA Grapalat" w:hAnsi="GHEA Grapalat"/>
          <w:bCs/>
          <w:sz w:val="24"/>
          <w:szCs w:val="24"/>
          <w:lang w:val="hy-AM"/>
        </w:rPr>
        <w:t xml:space="preserve"> անդամների ընդհանուր թվի կեսի, այսինքն՝ հինգ կողմ ձայներով:</w:t>
      </w:r>
    </w:p>
    <w:p w14:paraId="57A65336" w14:textId="33570B73" w:rsidR="007A3EBE" w:rsidRDefault="00467F43" w:rsidP="00467F43">
      <w:pPr>
        <w:spacing w:after="0" w:line="360" w:lineRule="auto"/>
        <w:ind w:firstLine="567"/>
        <w:jc w:val="both"/>
        <w:rPr>
          <w:rFonts w:ascii="GHEA Grapalat" w:hAnsi="GHEA Grapalat"/>
          <w:bCs/>
          <w:sz w:val="24"/>
          <w:szCs w:val="24"/>
          <w:lang w:val="hy-AM"/>
        </w:rPr>
      </w:pPr>
      <w:r w:rsidRPr="00467F43">
        <w:rPr>
          <w:rFonts w:ascii="GHEA Grapalat" w:hAnsi="GHEA Grapalat"/>
          <w:bCs/>
          <w:sz w:val="24"/>
          <w:szCs w:val="24"/>
          <w:lang w:val="hy-AM"/>
        </w:rPr>
        <w:tab/>
        <w:t xml:space="preserve">Հաշվի առնելով քննարկման առարկա իրավահարաբերությունների կարևորությունն ու խնդրո առարկա շահերի խոցելիությունը, ինչպես նաև դրանց նկատմամբ հանրային արձագանքի զգայունությունը՝ Սահմանադրական դատարանը գտել է, որ դատավորների նկատմամբ կարգապահական վարույթները պետք է իրականացվեն դատական վարույթներին առաջադրվող սահմանադրաիրավական և դատավարական սկզբունքների </w:t>
      </w:r>
      <w:r w:rsidRPr="00467F43">
        <w:rPr>
          <w:rFonts w:ascii="GHEA Grapalat" w:hAnsi="GHEA Grapalat"/>
          <w:bCs/>
          <w:sz w:val="24"/>
          <w:szCs w:val="24"/>
          <w:lang w:val="hy-AM"/>
        </w:rPr>
        <w:lastRenderedPageBreak/>
        <w:t>խստիվ պահպանմամբ, այդ թվում՝ համապատասխան որոշումների ընդունման ընթացակարգի առնչությամբ, իսկ այդ որոշումների ընդունման ընթացակարգերն ամրագրող իրավակարգավորումները չպետք է լինեն խնդրահարույց՝ անձի, առավել ևս՝ դատավորի կարգավիճակ ունեցող անձի, անհատական իրավունք(ներ)ին միջամտության առումով:</w:t>
      </w:r>
    </w:p>
    <w:p w14:paraId="5CE09B9C" w14:textId="45121EEA" w:rsidR="00C104E9" w:rsidRPr="00710D40" w:rsidRDefault="00BB4CE7" w:rsidP="00BB4CE7">
      <w:pPr>
        <w:spacing w:after="0" w:line="360" w:lineRule="auto"/>
        <w:jc w:val="both"/>
        <w:rPr>
          <w:rFonts w:ascii="GHEA Grapalat" w:hAnsi="GHEA Grapalat"/>
          <w:sz w:val="24"/>
          <w:szCs w:val="24"/>
          <w:lang w:val="hy-AM"/>
        </w:rPr>
      </w:pPr>
      <w:r>
        <w:rPr>
          <w:rFonts w:ascii="GHEA Grapalat" w:hAnsi="GHEA Grapalat"/>
          <w:sz w:val="24"/>
          <w:szCs w:val="24"/>
          <w:lang w:val="hy-AM"/>
        </w:rPr>
        <w:tab/>
      </w:r>
      <w:r w:rsidR="00C104E9" w:rsidRPr="008726D0">
        <w:rPr>
          <w:rFonts w:ascii="GHEA Grapalat" w:hAnsi="GHEA Grapalat"/>
          <w:sz w:val="24"/>
          <w:szCs w:val="24"/>
          <w:lang w:val="hy-AM"/>
        </w:rPr>
        <w:t>Նշվածն առանձնակի կարևորություն է ձեռք բերում կարգապահական վարույթի արդյունքներով «էական կարգապահական խախտման հիմքով լիազորությունների դադարեցում» կարգապահական տույժի կիրառմամբ, ինչը ենթադրում է ամենաինտենսիվ միջամտություն անձի անհատական իրավունք(ներ)ին, դատավորին կարգապահական պատասխանատվության ենթարկելու վերաբերյալ որոշման ընդունման պայմաններում</w:t>
      </w:r>
      <w:r w:rsidR="00C104E9">
        <w:rPr>
          <w:rFonts w:ascii="GHEA Grapalat" w:hAnsi="GHEA Grapalat"/>
          <w:sz w:val="24"/>
          <w:szCs w:val="24"/>
          <w:lang w:val="hy-AM"/>
        </w:rPr>
        <w:t>:</w:t>
      </w:r>
    </w:p>
    <w:p w14:paraId="2FBEA037" w14:textId="4085B20B" w:rsidR="00C104E9" w:rsidRDefault="00C104E9" w:rsidP="0047173D">
      <w:pPr>
        <w:spacing w:after="0" w:line="360" w:lineRule="auto"/>
        <w:jc w:val="both"/>
        <w:rPr>
          <w:rFonts w:ascii="GHEA Grapalat" w:hAnsi="GHEA Grapalat"/>
          <w:sz w:val="24"/>
          <w:szCs w:val="24"/>
          <w:lang w:val="hy-AM"/>
        </w:rPr>
      </w:pPr>
      <w:r>
        <w:rPr>
          <w:rFonts w:ascii="GHEA Grapalat" w:hAnsi="GHEA Grapalat"/>
          <w:sz w:val="24"/>
          <w:szCs w:val="24"/>
          <w:lang w:val="hy-AM"/>
        </w:rPr>
        <w:tab/>
      </w:r>
      <w:r w:rsidRPr="00CC06DC">
        <w:rPr>
          <w:rFonts w:ascii="GHEA Grapalat" w:hAnsi="GHEA Grapalat"/>
          <w:sz w:val="24"/>
          <w:szCs w:val="24"/>
          <w:lang w:val="hy-AM"/>
        </w:rPr>
        <w:t xml:space="preserve">Հաշվի առնելով Խորհրդի կողմից դատավորին կարգապահական պատասխանատվության ենթարկելու հարցը լուծելու իր սահմանադրական բացառիկ լիազորության իրականացման շրջանակում «էական կարգապահական խախտման հիմքով լիազորությունների դադարեցում» կարգապահական տույժի (վերջինիս ընտրությունն ու կիրառումը Խորհրդի, ըստ էության, օրենսդրական մենաշնորհն է) կիրառմամբ դատավորի լիազորությունները դադարեցնելու հետևանքային ազդեցությունը՝ Սահմանադրական դատարանը </w:t>
      </w:r>
      <w:r>
        <w:rPr>
          <w:rFonts w:ascii="GHEA Grapalat" w:hAnsi="GHEA Grapalat"/>
          <w:sz w:val="24"/>
          <w:szCs w:val="24"/>
          <w:lang w:val="hy-AM"/>
        </w:rPr>
        <w:t xml:space="preserve">գտել </w:t>
      </w:r>
      <w:r w:rsidRPr="00CC06DC">
        <w:rPr>
          <w:rFonts w:ascii="GHEA Grapalat" w:hAnsi="GHEA Grapalat"/>
          <w:sz w:val="24"/>
          <w:szCs w:val="24"/>
          <w:lang w:val="hy-AM"/>
        </w:rPr>
        <w:t xml:space="preserve">է, որ </w:t>
      </w:r>
      <w:r w:rsidRPr="004D7AAA">
        <w:rPr>
          <w:rFonts w:ascii="GHEA Grapalat" w:hAnsi="GHEA Grapalat"/>
          <w:b/>
          <w:i/>
          <w:sz w:val="24"/>
          <w:szCs w:val="24"/>
          <w:lang w:val="hy-AM"/>
        </w:rPr>
        <w:t>օրենսդիրը պետք է նախատեսի այնպիսի կարգավորում, որը, մի կողմից` կբացառի Խորհրդի նշված լիազորության իրականացման շրջանակում Օրենսգրքի 149-րդ հոդվածի 1-ին մասում թվարկված կարգապահական տույժերի տեսակ</w:t>
      </w:r>
      <w:r w:rsidR="00F54E36">
        <w:rPr>
          <w:rFonts w:ascii="GHEA Grapalat" w:hAnsi="GHEA Grapalat"/>
          <w:b/>
          <w:i/>
          <w:sz w:val="24"/>
          <w:szCs w:val="24"/>
          <w:lang w:val="hy-AM"/>
        </w:rPr>
        <w:t>ն</w:t>
      </w:r>
      <w:r w:rsidRPr="004D7AAA">
        <w:rPr>
          <w:rFonts w:ascii="GHEA Grapalat" w:hAnsi="GHEA Grapalat"/>
          <w:b/>
          <w:i/>
          <w:sz w:val="24"/>
          <w:szCs w:val="24"/>
          <w:lang w:val="hy-AM"/>
        </w:rPr>
        <w:t xml:space="preserve">երից մեկի, առավել ևս՝ «էական կարգապահական խախտման հիմքով լիազորությունների դադարեցում» կարգապահական տույժի կիրառմամբ դատավորին կարգապահական պատասխանատվության ենթարկելու վերաբերյալ որոշման ընդունման հնարավորությունը՝ բացառապես հինգ դատավորի կամ բացառապես հինգ իրավաբան գիտնականների և այլ հեղինակավոր իրավաբանների կողմ ձայներով, մյուս կողմից՝ կերաշխավորի վերոնշյալ որոշման ընդունումը Խորհրդի անդամների ընդհանուր թվի պարզ մեծամասնությամբ, այսինքն՝ առնվազն վեց կողմ ձայներով, քանզի </w:t>
      </w:r>
      <w:r>
        <w:rPr>
          <w:rFonts w:ascii="GHEA Grapalat" w:hAnsi="GHEA Grapalat"/>
          <w:b/>
          <w:i/>
          <w:sz w:val="24"/>
          <w:szCs w:val="24"/>
          <w:lang w:val="hy-AM"/>
        </w:rPr>
        <w:t>ԲԴԽ-ն</w:t>
      </w:r>
      <w:r w:rsidRPr="004D7AAA">
        <w:rPr>
          <w:rFonts w:ascii="GHEA Grapalat" w:hAnsi="GHEA Grapalat"/>
          <w:b/>
          <w:i/>
          <w:sz w:val="24"/>
          <w:szCs w:val="24"/>
          <w:lang w:val="hy-AM"/>
        </w:rPr>
        <w:t xml:space="preserve">, Սահմանադրության 174-րդ հոդվածի 1-ին մասին համապատասխան՝ </w:t>
      </w:r>
      <w:r w:rsidRPr="004D7AAA">
        <w:rPr>
          <w:rFonts w:ascii="GHEA Grapalat" w:hAnsi="GHEA Grapalat"/>
          <w:b/>
          <w:i/>
          <w:sz w:val="24"/>
          <w:szCs w:val="24"/>
          <w:lang w:val="hy-AM"/>
        </w:rPr>
        <w:lastRenderedPageBreak/>
        <w:t>կազմված է տասն անդամից</w:t>
      </w:r>
      <w:r w:rsidRPr="00CC06DC">
        <w:rPr>
          <w:rFonts w:ascii="GHEA Grapalat" w:hAnsi="GHEA Grapalat"/>
          <w:sz w:val="24"/>
          <w:szCs w:val="24"/>
          <w:lang w:val="hy-AM"/>
        </w:rPr>
        <w:t>:</w:t>
      </w:r>
      <w:r w:rsidR="00854A3F" w:rsidRPr="00854A3F">
        <w:rPr>
          <w:rFonts w:ascii="GHEA Grapalat" w:hAnsi="GHEA Grapalat"/>
          <w:sz w:val="24"/>
          <w:szCs w:val="24"/>
          <w:lang w:val="hy-AM"/>
        </w:rPr>
        <w:t xml:space="preserve"> </w:t>
      </w:r>
      <w:r w:rsidRPr="00CC06DC">
        <w:rPr>
          <w:rFonts w:ascii="GHEA Grapalat" w:hAnsi="GHEA Grapalat"/>
          <w:sz w:val="24"/>
          <w:szCs w:val="24"/>
          <w:lang w:val="hy-AM"/>
        </w:rPr>
        <w:t>Մինչդեռ</w:t>
      </w:r>
      <w:r w:rsidR="00854A3F">
        <w:rPr>
          <w:rFonts w:ascii="GHEA Grapalat" w:hAnsi="GHEA Grapalat"/>
          <w:sz w:val="24"/>
          <w:szCs w:val="24"/>
          <w:lang w:val="hy-AM"/>
        </w:rPr>
        <w:t xml:space="preserve"> Դատական օ</w:t>
      </w:r>
      <w:r w:rsidRPr="00CC06DC">
        <w:rPr>
          <w:rFonts w:ascii="GHEA Grapalat" w:hAnsi="GHEA Grapalat"/>
          <w:sz w:val="24"/>
          <w:szCs w:val="24"/>
          <w:lang w:val="hy-AM"/>
        </w:rPr>
        <w:t xml:space="preserve">րենսգրքի 94-րդ հոդվածի 6-րդ մասի առաջին նախադասությամբ ամրագրված կարգավորման գործողության ուժով դատավորը կարող է կարգապահական պատասխանատվության ենթարկվել, արդյունքում՝ նրա լիազորություններն էական կարգապահական խախտման հիմքով կարող են դադարեցվել Խորհրդի համապատասխան որոշմանը Խորհրդի հինգ անդամի կողմ քվեարկելու դեպքում: </w:t>
      </w:r>
      <w:r>
        <w:rPr>
          <w:rFonts w:ascii="GHEA Grapalat" w:hAnsi="GHEA Grapalat"/>
          <w:sz w:val="24"/>
          <w:szCs w:val="24"/>
          <w:lang w:val="hy-AM"/>
        </w:rPr>
        <w:tab/>
      </w:r>
      <w:r w:rsidRPr="00CC06DC">
        <w:rPr>
          <w:rFonts w:ascii="GHEA Grapalat" w:hAnsi="GHEA Grapalat"/>
          <w:sz w:val="24"/>
          <w:szCs w:val="24"/>
          <w:lang w:val="hy-AM"/>
        </w:rPr>
        <w:t xml:space="preserve">Այդ առնչությամբ Սահմանադրական դատարանը </w:t>
      </w:r>
      <w:r>
        <w:rPr>
          <w:rFonts w:ascii="GHEA Grapalat" w:hAnsi="GHEA Grapalat"/>
          <w:sz w:val="24"/>
          <w:szCs w:val="24"/>
          <w:lang w:val="hy-AM"/>
        </w:rPr>
        <w:t xml:space="preserve">փաստել </w:t>
      </w:r>
      <w:r w:rsidRPr="00CC06DC">
        <w:rPr>
          <w:rFonts w:ascii="GHEA Grapalat" w:hAnsi="GHEA Grapalat"/>
          <w:sz w:val="24"/>
          <w:szCs w:val="24"/>
          <w:lang w:val="hy-AM"/>
        </w:rPr>
        <w:t xml:space="preserve"> է, որ </w:t>
      </w:r>
      <w:r w:rsidR="00031852" w:rsidRPr="00031852">
        <w:rPr>
          <w:rFonts w:ascii="GHEA Grapalat" w:hAnsi="GHEA Grapalat"/>
          <w:b/>
          <w:i/>
          <w:sz w:val="24"/>
          <w:szCs w:val="24"/>
          <w:lang w:val="hy-AM"/>
        </w:rPr>
        <w:t xml:space="preserve">Բարձրագույն դատական խորհրդի </w:t>
      </w:r>
      <w:r w:rsidRPr="0039446B">
        <w:rPr>
          <w:rFonts w:ascii="GHEA Grapalat" w:hAnsi="GHEA Grapalat"/>
          <w:b/>
          <w:i/>
          <w:sz w:val="24"/>
          <w:szCs w:val="24"/>
          <w:lang w:val="hy-AM"/>
        </w:rPr>
        <w:t>՝ տասն անդամից կազմված լինելու վերաբերյալ սահմանադրական դրույթի գործողության պայմաններում Օրենսգրքի 94-րդ հոդվածի 6-րդ մասի առաջին նախադասությունում գործածված «խորհրդի անդամների ընդհանուր թվի առնվազն կեսը» ձևակերպումը չի տեղավորվում «մեծամասնություն» եզրույթի ներքո</w:t>
      </w:r>
      <w:r w:rsidRPr="009A3CEA">
        <w:rPr>
          <w:rFonts w:ascii="GHEA Grapalat" w:hAnsi="GHEA Grapalat"/>
          <w:sz w:val="24"/>
          <w:szCs w:val="24"/>
          <w:lang w:val="hy-AM"/>
        </w:rPr>
        <w:t xml:space="preserve">: </w:t>
      </w:r>
    </w:p>
    <w:p w14:paraId="3F153114" w14:textId="092F297C" w:rsidR="00C104E9" w:rsidRDefault="00C104E9" w:rsidP="0047173D">
      <w:pPr>
        <w:spacing w:after="0" w:line="360" w:lineRule="auto"/>
        <w:jc w:val="both"/>
        <w:rPr>
          <w:rFonts w:ascii="GHEA Grapalat" w:hAnsi="GHEA Grapalat"/>
          <w:sz w:val="24"/>
          <w:szCs w:val="24"/>
          <w:lang w:val="hy-AM"/>
        </w:rPr>
      </w:pPr>
      <w:r>
        <w:rPr>
          <w:rFonts w:ascii="GHEA Grapalat" w:hAnsi="GHEA Grapalat"/>
          <w:sz w:val="24"/>
          <w:szCs w:val="24"/>
          <w:lang w:val="hy-AM"/>
        </w:rPr>
        <w:tab/>
      </w:r>
      <w:r w:rsidRPr="009A3CEA">
        <w:rPr>
          <w:rFonts w:ascii="GHEA Grapalat" w:hAnsi="GHEA Grapalat"/>
          <w:sz w:val="24"/>
          <w:szCs w:val="24"/>
          <w:lang w:val="hy-AM"/>
        </w:rPr>
        <w:t xml:space="preserve">Տվյալ դեպքում անհրաժեշտ է հաշվի առնել այն հանգամանքը, որ Օրենսգրքի 94-րդ հոդվածի 6-րդ մասի առաջին նախադասությունը վերաբերում է Խորհրդի՝ որպես դատարան հանդես </w:t>
      </w:r>
      <w:r w:rsidR="00D023F1">
        <w:rPr>
          <w:rFonts w:ascii="GHEA Grapalat" w:hAnsi="GHEA Grapalat"/>
          <w:sz w:val="24"/>
          <w:szCs w:val="24"/>
          <w:lang w:val="hy-AM"/>
        </w:rPr>
        <w:t xml:space="preserve">գալու </w:t>
      </w:r>
      <w:r w:rsidRPr="009A3CEA">
        <w:rPr>
          <w:rFonts w:ascii="GHEA Grapalat" w:hAnsi="GHEA Grapalat"/>
          <w:sz w:val="24"/>
          <w:szCs w:val="24"/>
          <w:lang w:val="hy-AM"/>
        </w:rPr>
        <w:t xml:space="preserve">լիազորությունների իրականացմամբ որոշումների ընդունմանը, ինչն ավելի է ընդգծում վերոնշյալ օրենսդրական կարգավորման՝ սահմանադրականության առումով խնդրահարույց լինելը՝ առավել ևս այն պայմաններում, երբ </w:t>
      </w:r>
      <w:r w:rsidR="00031852" w:rsidRPr="00031852">
        <w:rPr>
          <w:rFonts w:ascii="GHEA Grapalat" w:hAnsi="GHEA Grapalat"/>
          <w:sz w:val="24"/>
          <w:szCs w:val="24"/>
          <w:lang w:val="hy-AM"/>
        </w:rPr>
        <w:t xml:space="preserve">Բարձրագույն դատական խորհրդի </w:t>
      </w:r>
      <w:r w:rsidRPr="009A3CEA">
        <w:rPr>
          <w:rFonts w:ascii="GHEA Grapalat" w:hAnsi="GHEA Grapalat"/>
          <w:sz w:val="24"/>
          <w:szCs w:val="24"/>
          <w:lang w:val="hy-AM"/>
        </w:rPr>
        <w:t>՝ Օրենսգրքի 94-րդ հոդվածի 5-րդ մասին համապատասխան՝ դատարանակազմական լիազորություններ իրականացնելիս որոշումների ընդունման համար պահանջվում է Խորհրդի անդամների ընդհանուր թվի ձայների մեծամասնությունը</w:t>
      </w:r>
      <w:r>
        <w:rPr>
          <w:rFonts w:ascii="GHEA Grapalat" w:hAnsi="GHEA Grapalat"/>
          <w:sz w:val="24"/>
          <w:szCs w:val="24"/>
          <w:lang w:val="hy-AM"/>
        </w:rPr>
        <w:t>:</w:t>
      </w:r>
    </w:p>
    <w:p w14:paraId="2B08909A" w14:textId="3C359207" w:rsidR="00C104E9" w:rsidRDefault="00C104E9" w:rsidP="0047173D">
      <w:pPr>
        <w:spacing w:after="0" w:line="360" w:lineRule="auto"/>
        <w:jc w:val="both"/>
        <w:rPr>
          <w:rFonts w:ascii="GHEA Grapalat" w:hAnsi="GHEA Grapalat"/>
          <w:sz w:val="24"/>
          <w:szCs w:val="24"/>
          <w:lang w:val="hy-AM"/>
        </w:rPr>
      </w:pPr>
      <w:r>
        <w:rPr>
          <w:rFonts w:ascii="GHEA Grapalat" w:hAnsi="GHEA Grapalat"/>
          <w:sz w:val="24"/>
          <w:szCs w:val="24"/>
          <w:lang w:val="hy-AM"/>
        </w:rPr>
        <w:tab/>
      </w:r>
      <w:r w:rsidRPr="000B32CC">
        <w:rPr>
          <w:rFonts w:ascii="GHEA Grapalat" w:hAnsi="GHEA Grapalat"/>
          <w:sz w:val="24"/>
          <w:szCs w:val="24"/>
          <w:lang w:val="hy-AM"/>
        </w:rPr>
        <w:t xml:space="preserve">Սահմանադրական դատարանը </w:t>
      </w:r>
      <w:r w:rsidR="00031852">
        <w:rPr>
          <w:rFonts w:ascii="GHEA Grapalat" w:hAnsi="GHEA Grapalat"/>
          <w:sz w:val="24"/>
          <w:szCs w:val="24"/>
          <w:lang w:val="hy-AM"/>
        </w:rPr>
        <w:t>նկատել</w:t>
      </w:r>
      <w:r w:rsidRPr="000B32CC">
        <w:rPr>
          <w:rFonts w:ascii="GHEA Grapalat" w:hAnsi="GHEA Grapalat"/>
          <w:sz w:val="24"/>
          <w:szCs w:val="24"/>
          <w:lang w:val="hy-AM"/>
        </w:rPr>
        <w:t xml:space="preserve"> է, որ Բարձրագույն դատական խորհրդի կողմից դատավորի թեկնածուի հավակնորդին համապատասխան ցուցակ ներառելու մասին կայացվող որոշումներն այս ատյանի ձևավորման վերը նշված նպատակին համահունչ կայացնելու համար օրենսդրի կողմից իրավացիորեն ընտրվել է որոշումների կայացման ձայների այնպիսի քանակ, որն ապահովի պետական իշխանության երկու ճյուղերից ընտրված </w:t>
      </w:r>
      <w:r w:rsidRPr="00B75B10">
        <w:rPr>
          <w:rFonts w:ascii="GHEA Grapalat" w:hAnsi="GHEA Grapalat"/>
          <w:b/>
          <w:i/>
          <w:sz w:val="24"/>
          <w:szCs w:val="24"/>
          <w:lang w:val="hy-AM"/>
        </w:rPr>
        <w:t>Բարձրագույն դատական խորհրդի անդամների համաձայնությունը, ինչը, տվյալ դեպքում Բարձրագույն դատական խորհրդի անդամների ընդհանուր թվի ձայների մեծամասնությունն է՝ առնվազն 6 ձայն։</w:t>
      </w:r>
      <w:r w:rsidRPr="000B32CC">
        <w:rPr>
          <w:rFonts w:ascii="GHEA Grapalat" w:hAnsi="GHEA Grapalat"/>
          <w:sz w:val="24"/>
          <w:szCs w:val="24"/>
          <w:lang w:val="hy-AM"/>
        </w:rPr>
        <w:t xml:space="preserve"> Սա բխում </w:t>
      </w:r>
      <w:r w:rsidRPr="000B32CC">
        <w:rPr>
          <w:rFonts w:ascii="GHEA Grapalat" w:hAnsi="GHEA Grapalat"/>
          <w:sz w:val="24"/>
          <w:szCs w:val="24"/>
          <w:lang w:val="hy-AM"/>
        </w:rPr>
        <w:lastRenderedPageBreak/>
        <w:t>է դատական իշխանության ձևավորման՝ ներառյալ դատավորներ նշանակելու ընթացակարգի բաղադրիչ համարվող մասերին վերաբերող որոշումներին առաջադրվող ժողովրդավարական լեգիտիմության պահանջից։</w:t>
      </w:r>
      <w:r>
        <w:rPr>
          <w:rStyle w:val="FootnoteReference"/>
          <w:rFonts w:ascii="GHEA Grapalat" w:hAnsi="GHEA Grapalat"/>
          <w:sz w:val="24"/>
          <w:szCs w:val="24"/>
          <w:lang w:val="hy-AM"/>
        </w:rPr>
        <w:footnoteReference w:id="7"/>
      </w:r>
    </w:p>
    <w:p w14:paraId="02A0309A" w14:textId="42E994D2" w:rsidR="00C104E9" w:rsidRDefault="00C104E9" w:rsidP="0047173D">
      <w:pPr>
        <w:spacing w:after="0" w:line="360" w:lineRule="auto"/>
        <w:jc w:val="both"/>
        <w:rPr>
          <w:rFonts w:ascii="GHEA Grapalat" w:hAnsi="GHEA Grapalat"/>
          <w:sz w:val="24"/>
          <w:szCs w:val="24"/>
          <w:lang w:val="hy-AM"/>
        </w:rPr>
      </w:pPr>
      <w:r>
        <w:rPr>
          <w:rFonts w:ascii="GHEA Grapalat" w:hAnsi="GHEA Grapalat"/>
          <w:sz w:val="24"/>
          <w:szCs w:val="24"/>
          <w:lang w:val="hy-AM"/>
        </w:rPr>
        <w:tab/>
      </w:r>
      <w:r w:rsidRPr="00B75B10">
        <w:rPr>
          <w:rFonts w:ascii="GHEA Grapalat" w:hAnsi="GHEA Grapalat"/>
          <w:sz w:val="24"/>
          <w:szCs w:val="24"/>
          <w:lang w:val="hy-AM"/>
        </w:rPr>
        <w:t xml:space="preserve">Հաշվի առնելով ողջ վերոգրյալը՝ Սահմանադրական դատարանը </w:t>
      </w:r>
      <w:r>
        <w:rPr>
          <w:rFonts w:ascii="GHEA Grapalat" w:hAnsi="GHEA Grapalat"/>
          <w:sz w:val="24"/>
          <w:szCs w:val="24"/>
          <w:lang w:val="hy-AM"/>
        </w:rPr>
        <w:t>գտնել</w:t>
      </w:r>
      <w:r w:rsidRPr="00B75B10">
        <w:rPr>
          <w:rFonts w:ascii="GHEA Grapalat" w:hAnsi="GHEA Grapalat"/>
          <w:sz w:val="24"/>
          <w:szCs w:val="24"/>
          <w:lang w:val="hy-AM"/>
        </w:rPr>
        <w:t xml:space="preserve"> է, որ Օրենսգրքի 94-րդ հոդվածի 6-րդ մասի առաջին նախադասությամբ ամրագրված այն կարգավորումը, որին համապատասխան՝ դատավորին կարգապահական պատասխանատվության ենթարկելու մասին Խորհրդի որոշման ընդունման համար սահմանված է ձայների այնպիսի շեմ, ինչպիսին է </w:t>
      </w:r>
      <w:r w:rsidR="00031852">
        <w:rPr>
          <w:rFonts w:ascii="GHEA Grapalat" w:hAnsi="GHEA Grapalat"/>
          <w:sz w:val="24"/>
          <w:szCs w:val="24"/>
          <w:lang w:val="hy-AM"/>
        </w:rPr>
        <w:t>Բարձրագույն դատական խորհրդի</w:t>
      </w:r>
      <w:r>
        <w:rPr>
          <w:rFonts w:ascii="GHEA Grapalat" w:hAnsi="GHEA Grapalat"/>
          <w:sz w:val="24"/>
          <w:szCs w:val="24"/>
          <w:lang w:val="hy-AM"/>
        </w:rPr>
        <w:t xml:space="preserve"> </w:t>
      </w:r>
      <w:r w:rsidRPr="00B75B10">
        <w:rPr>
          <w:rFonts w:ascii="GHEA Grapalat" w:hAnsi="GHEA Grapalat"/>
          <w:sz w:val="24"/>
          <w:szCs w:val="24"/>
          <w:lang w:val="hy-AM"/>
        </w:rPr>
        <w:t xml:space="preserve">անդամների ընդհանուր թվի առնվազն կեսը, </w:t>
      </w:r>
      <w:r w:rsidR="00031852">
        <w:rPr>
          <w:rFonts w:ascii="GHEA Grapalat" w:hAnsi="GHEA Grapalat"/>
          <w:sz w:val="24"/>
          <w:szCs w:val="24"/>
          <w:lang w:val="hy-AM"/>
        </w:rPr>
        <w:t xml:space="preserve">Բարձրագույն դատական խորհրդի </w:t>
      </w:r>
      <w:r w:rsidRPr="00B75B10">
        <w:rPr>
          <w:rFonts w:ascii="GHEA Grapalat" w:hAnsi="GHEA Grapalat"/>
          <w:sz w:val="24"/>
          <w:szCs w:val="24"/>
          <w:lang w:val="hy-AM"/>
        </w:rPr>
        <w:t>կողմից դատավորի նկատմամբ «էական կարգապահական խախտման հիմքով լիազորությունների դադարեցում» կարգապահական տույժի կիրառմամբ համապատասխան որոշման՝</w:t>
      </w:r>
      <w:r w:rsidRPr="00B75B10">
        <w:rPr>
          <w:lang w:val="hy-AM"/>
        </w:rPr>
        <w:t xml:space="preserve"> </w:t>
      </w:r>
      <w:r w:rsidR="00031852">
        <w:rPr>
          <w:rFonts w:ascii="GHEA Grapalat" w:hAnsi="GHEA Grapalat"/>
          <w:sz w:val="24"/>
          <w:szCs w:val="24"/>
          <w:lang w:val="hy-AM"/>
        </w:rPr>
        <w:t xml:space="preserve">Բարձրագույն դատական խորհրդի </w:t>
      </w:r>
      <w:r w:rsidRPr="00B75B10">
        <w:rPr>
          <w:rFonts w:ascii="GHEA Grapalat" w:hAnsi="GHEA Grapalat"/>
          <w:sz w:val="24"/>
          <w:szCs w:val="24"/>
          <w:lang w:val="hy-AM"/>
        </w:rPr>
        <w:t xml:space="preserve">անդամների հինգ կողմ ձայներով ընդունման պայմաններում, հանգեցնում է </w:t>
      </w:r>
      <w:r w:rsidR="00031852">
        <w:rPr>
          <w:rFonts w:ascii="GHEA Grapalat" w:hAnsi="GHEA Grapalat"/>
          <w:sz w:val="24"/>
          <w:szCs w:val="24"/>
          <w:lang w:val="hy-AM"/>
        </w:rPr>
        <w:t xml:space="preserve">Բարձրագույն դատական խորհրդի </w:t>
      </w:r>
      <w:r w:rsidRPr="00B75B10">
        <w:rPr>
          <w:rFonts w:ascii="GHEA Grapalat" w:hAnsi="GHEA Grapalat"/>
          <w:sz w:val="24"/>
          <w:szCs w:val="24"/>
          <w:lang w:val="hy-AM"/>
        </w:rPr>
        <w:t>որոշման ժողովրդավարական լեգիտիմության բարձր գործակից չապահովելու առումով անձի՝ հանրային ծառայության անցնելու հիմնական իրավունքի ոչ իրավաչափ սահմանափակման, հետևաբար՝ համահունչ չէ Սահմանադրության 49-րդ հոդվածին՝ 75-րդ հոդվածի հետ համակցության մեջ, ինչպես նաև 164-րդ հոդվածի 1-ին մասին, 174-րդ հոդվածի 1-3-րդ մասերին, 175-րդ հոդվածի 1-ին մասի 7-րդ կետին և 2-րդ մասին:</w:t>
      </w:r>
    </w:p>
    <w:p w14:paraId="15FF1C20" w14:textId="6A3D2B11" w:rsidR="0047173D" w:rsidRPr="0047173D" w:rsidRDefault="0047173D" w:rsidP="0047173D">
      <w:pPr>
        <w:spacing w:after="0" w:line="360" w:lineRule="auto"/>
        <w:jc w:val="both"/>
        <w:rPr>
          <w:rFonts w:ascii="GHEA Grapalat" w:hAnsi="GHEA Grapalat"/>
          <w:sz w:val="24"/>
          <w:szCs w:val="24"/>
          <w:lang w:val="hy-AM"/>
        </w:rPr>
      </w:pPr>
      <w:r>
        <w:rPr>
          <w:rFonts w:ascii="GHEA Grapalat" w:hAnsi="GHEA Grapalat"/>
          <w:sz w:val="24"/>
          <w:szCs w:val="24"/>
          <w:lang w:val="hy-AM"/>
        </w:rPr>
        <w:tab/>
        <w:t xml:space="preserve">Նույն </w:t>
      </w:r>
      <w:r w:rsidR="00F54E36">
        <w:rPr>
          <w:rFonts w:ascii="GHEA Grapalat" w:hAnsi="GHEA Grapalat"/>
          <w:sz w:val="24"/>
          <w:szCs w:val="24"/>
          <w:lang w:val="hy-AM"/>
        </w:rPr>
        <w:t>որոշմամբ</w:t>
      </w:r>
      <w:r>
        <w:rPr>
          <w:rFonts w:ascii="GHEA Grapalat" w:hAnsi="GHEA Grapalat"/>
          <w:sz w:val="24"/>
          <w:szCs w:val="24"/>
          <w:lang w:val="hy-AM"/>
        </w:rPr>
        <w:t>, Սահմանադրական դատարանը հ</w:t>
      </w:r>
      <w:r w:rsidRPr="0047173D">
        <w:rPr>
          <w:rFonts w:ascii="GHEA Grapalat" w:hAnsi="GHEA Grapalat"/>
          <w:sz w:val="24"/>
          <w:szCs w:val="24"/>
          <w:lang w:val="hy-AM"/>
        </w:rPr>
        <w:t xml:space="preserve">աշվի առնելով իրավական անվտանգությունը չխաթարելու անհրաժեշտությունը՝ Սահմանադրության 170-րդ հոդվածի 3-րդ մասին, «Սահմանադրական դատարանի մասին» սահմանադրական օրենքի 68-րդ հոդվածի 9-րդ մասի 4-րդ կետին, 19-րդ մասին և 69-րդ հոդվածի 13-րդ մասին համապատասխան` «Հայաստանի Հանրապետության դատական օրենսգիրք» սահմանադրական օրենքի՝ Սահմանադրական դատարանի սույն որոշման եզրափակիչ մասի 1-ին կետով՝ </w:t>
      </w:r>
      <w:r w:rsidRPr="0047173D">
        <w:rPr>
          <w:rFonts w:ascii="GHEA Grapalat" w:hAnsi="GHEA Grapalat"/>
          <w:b/>
          <w:sz w:val="24"/>
          <w:szCs w:val="24"/>
          <w:lang w:val="hy-AM"/>
        </w:rPr>
        <w:t xml:space="preserve">դրանում նշված օրենսդրական կարգավորման մասով, Սահմանադրությանը հակասող ճանաչված դրույթի իրավական ուժը կորցնելու </w:t>
      </w:r>
      <w:r w:rsidRPr="0047173D">
        <w:rPr>
          <w:rFonts w:ascii="GHEA Grapalat" w:hAnsi="GHEA Grapalat"/>
          <w:b/>
          <w:sz w:val="24"/>
          <w:szCs w:val="24"/>
          <w:lang w:val="hy-AM"/>
        </w:rPr>
        <w:lastRenderedPageBreak/>
        <w:t>վերջնաժամկետ սահմանել</w:t>
      </w:r>
      <w:r w:rsidRPr="0047173D">
        <w:rPr>
          <w:rFonts w:ascii="GHEA Grapalat" w:hAnsi="GHEA Grapalat"/>
          <w:sz w:val="24"/>
          <w:szCs w:val="24"/>
          <w:lang w:val="hy-AM"/>
        </w:rPr>
        <w:t xml:space="preserve"> </w:t>
      </w:r>
      <w:r w:rsidRPr="0047173D">
        <w:rPr>
          <w:rFonts w:ascii="GHEA Grapalat" w:hAnsi="GHEA Grapalat"/>
          <w:b/>
          <w:sz w:val="24"/>
          <w:szCs w:val="24"/>
          <w:lang w:val="hy-AM"/>
        </w:rPr>
        <w:t>2025 թվականի հուլիսի 1-ը՝ հնարավորություն ընձեռելով Ազգային ժողովին այն համապատասխանեցնելու սույն որոշմանը</w:t>
      </w:r>
      <w:r w:rsidRPr="0047173D">
        <w:rPr>
          <w:rFonts w:ascii="GHEA Grapalat" w:hAnsi="GHEA Grapalat"/>
          <w:sz w:val="24"/>
          <w:szCs w:val="24"/>
          <w:lang w:val="hy-AM"/>
        </w:rPr>
        <w:t>:</w:t>
      </w:r>
    </w:p>
    <w:p w14:paraId="2D5F0089" w14:textId="77777777" w:rsidR="00C104E9" w:rsidRPr="00467F43" w:rsidRDefault="00C104E9" w:rsidP="00467F43">
      <w:pPr>
        <w:spacing w:after="0" w:line="360" w:lineRule="auto"/>
        <w:ind w:firstLine="567"/>
        <w:jc w:val="both"/>
        <w:rPr>
          <w:rFonts w:ascii="GHEA Grapalat" w:hAnsi="GHEA Grapalat"/>
          <w:bCs/>
          <w:sz w:val="24"/>
          <w:szCs w:val="24"/>
          <w:lang w:val="hy-AM"/>
        </w:rPr>
      </w:pPr>
    </w:p>
    <w:p w14:paraId="34105407" w14:textId="77777777" w:rsidR="002D3903" w:rsidRPr="00C02C97" w:rsidRDefault="002D3903" w:rsidP="00CC5C0D">
      <w:pPr>
        <w:spacing w:after="0" w:line="360" w:lineRule="auto"/>
        <w:ind w:firstLine="567"/>
        <w:jc w:val="both"/>
        <w:rPr>
          <w:rFonts w:ascii="GHEA Grapalat" w:eastAsia="GHEA Grapalat" w:hAnsi="GHEA Grapalat" w:cs="GHEA Grapalat"/>
          <w:b/>
          <w:sz w:val="24"/>
          <w:szCs w:val="24"/>
          <w:lang w:val="hy-AM"/>
        </w:rPr>
      </w:pPr>
      <w:r w:rsidRPr="00C02C97">
        <w:rPr>
          <w:rFonts w:ascii="GHEA Grapalat" w:eastAsia="GHEA Grapalat" w:hAnsi="GHEA Grapalat" w:cs="GHEA Grapalat"/>
          <w:b/>
          <w:sz w:val="24"/>
          <w:szCs w:val="24"/>
          <w:lang w:val="hy-AM"/>
        </w:rPr>
        <w:t>2. Առաջարկվող կարգավորման բնույթը.</w:t>
      </w:r>
    </w:p>
    <w:p w14:paraId="7B7D8AB8" w14:textId="0E09651D" w:rsidR="005B12F3" w:rsidRPr="00AE04DE" w:rsidRDefault="00EF04DF" w:rsidP="00CC5C0D">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Առաջարկվող կարգավորմամբ նախատեսվում է </w:t>
      </w:r>
      <w:r w:rsidR="0047173D">
        <w:rPr>
          <w:rFonts w:ascii="GHEA Grapalat" w:eastAsia="GHEA Grapalat" w:hAnsi="GHEA Grapalat" w:cs="GHEA Grapalat"/>
          <w:sz w:val="24"/>
          <w:szCs w:val="24"/>
          <w:lang w:val="hy-AM"/>
        </w:rPr>
        <w:t xml:space="preserve">Դատական օրենսգրքի </w:t>
      </w:r>
      <w:r>
        <w:rPr>
          <w:rFonts w:ascii="GHEA Grapalat" w:eastAsia="GHEA Grapalat" w:hAnsi="GHEA Grapalat" w:cs="GHEA Grapalat"/>
          <w:sz w:val="24"/>
          <w:szCs w:val="24"/>
          <w:lang w:val="hy-AM"/>
        </w:rPr>
        <w:t>94-րդ հոդվածի 6-րդ մասի 1-ին նախադաս</w:t>
      </w:r>
      <w:r w:rsidR="00AE04DE">
        <w:rPr>
          <w:rFonts w:ascii="GHEA Grapalat" w:eastAsia="GHEA Grapalat" w:hAnsi="GHEA Grapalat" w:cs="GHEA Grapalat"/>
          <w:sz w:val="24"/>
          <w:szCs w:val="24"/>
          <w:lang w:val="hy-AM"/>
        </w:rPr>
        <w:t xml:space="preserve">ությունը համապատասխանեցնել </w:t>
      </w:r>
      <w:r>
        <w:rPr>
          <w:rFonts w:ascii="GHEA Grapalat" w:eastAsia="GHEA Grapalat" w:hAnsi="GHEA Grapalat" w:cs="GHEA Grapalat"/>
          <w:sz w:val="24"/>
          <w:szCs w:val="24"/>
          <w:lang w:val="hy-AM"/>
        </w:rPr>
        <w:t xml:space="preserve">Սահմանադրական </w:t>
      </w:r>
      <w:r w:rsidR="00AE04DE">
        <w:rPr>
          <w:rFonts w:ascii="GHEA Grapalat" w:eastAsia="GHEA Grapalat" w:hAnsi="GHEA Grapalat" w:cs="GHEA Grapalat"/>
          <w:sz w:val="24"/>
          <w:szCs w:val="24"/>
          <w:lang w:val="hy-AM"/>
        </w:rPr>
        <w:t>դատարանի</w:t>
      </w:r>
      <w:r>
        <w:rPr>
          <w:rFonts w:ascii="GHEA Grapalat" w:eastAsia="GHEA Grapalat" w:hAnsi="GHEA Grapalat" w:cs="GHEA Grapalat"/>
          <w:sz w:val="24"/>
          <w:szCs w:val="24"/>
          <w:lang w:val="hy-AM"/>
        </w:rPr>
        <w:t xml:space="preserve"> 2025 թվականի ապրիլի 22-ի ՍԴՈ-1780 </w:t>
      </w:r>
      <w:r w:rsidR="00AE04DE">
        <w:rPr>
          <w:rFonts w:ascii="GHEA Grapalat" w:eastAsia="GHEA Grapalat" w:hAnsi="GHEA Grapalat" w:cs="GHEA Grapalat"/>
          <w:sz w:val="24"/>
          <w:szCs w:val="24"/>
          <w:lang w:val="hy-AM"/>
        </w:rPr>
        <w:t>որոշմանը</w:t>
      </w:r>
      <w:r w:rsidR="00BD5802">
        <w:rPr>
          <w:rFonts w:ascii="GHEA Grapalat" w:eastAsia="GHEA Grapalat" w:hAnsi="GHEA Grapalat" w:cs="GHEA Grapalat"/>
          <w:sz w:val="24"/>
          <w:szCs w:val="24"/>
          <w:lang w:val="hy-AM"/>
        </w:rPr>
        <w:t>:</w:t>
      </w:r>
    </w:p>
    <w:p w14:paraId="7DAC02A1" w14:textId="4D70EC52" w:rsidR="00EF04DF" w:rsidRDefault="00EF04DF" w:rsidP="00CC5C0D">
      <w:pPr>
        <w:spacing w:after="0" w:line="360" w:lineRule="auto"/>
        <w:ind w:firstLine="567"/>
        <w:jc w:val="both"/>
        <w:rPr>
          <w:rFonts w:ascii="GHEA Grapalat" w:eastAsia="GHEA Grapalat" w:hAnsi="GHEA Grapalat" w:cs="GHEA Grapalat"/>
          <w:b/>
          <w:sz w:val="24"/>
          <w:szCs w:val="24"/>
          <w:lang w:val="hy-AM"/>
        </w:rPr>
      </w:pPr>
    </w:p>
    <w:p w14:paraId="1A3FA71D" w14:textId="3F9CCE88" w:rsidR="002D3903" w:rsidRPr="009C01E1" w:rsidRDefault="002D3903" w:rsidP="00CC5C0D">
      <w:pPr>
        <w:spacing w:after="0" w:line="360" w:lineRule="auto"/>
        <w:ind w:firstLine="567"/>
        <w:jc w:val="both"/>
        <w:rPr>
          <w:rFonts w:ascii="GHEA Grapalat" w:eastAsia="GHEA Grapalat" w:hAnsi="GHEA Grapalat" w:cs="GHEA Grapalat"/>
          <w:b/>
          <w:sz w:val="24"/>
          <w:szCs w:val="24"/>
          <w:lang w:val="hy-AM"/>
        </w:rPr>
      </w:pPr>
      <w:r w:rsidRPr="009C01E1">
        <w:rPr>
          <w:rFonts w:ascii="GHEA Grapalat" w:eastAsia="GHEA Grapalat" w:hAnsi="GHEA Grapalat" w:cs="GHEA Grapalat"/>
          <w:b/>
          <w:sz w:val="24"/>
          <w:szCs w:val="24"/>
          <w:lang w:val="hy-AM"/>
        </w:rPr>
        <w:t>3. Նախագծ</w:t>
      </w:r>
      <w:r w:rsidR="00241132">
        <w:rPr>
          <w:rFonts w:ascii="GHEA Grapalat" w:eastAsia="GHEA Grapalat" w:hAnsi="GHEA Grapalat" w:cs="GHEA Grapalat"/>
          <w:b/>
          <w:sz w:val="24"/>
          <w:szCs w:val="24"/>
          <w:lang w:val="hy-AM"/>
        </w:rPr>
        <w:t>եր</w:t>
      </w:r>
      <w:r w:rsidRPr="009C01E1">
        <w:rPr>
          <w:rFonts w:ascii="GHEA Grapalat" w:eastAsia="GHEA Grapalat" w:hAnsi="GHEA Grapalat" w:cs="GHEA Grapalat"/>
          <w:b/>
          <w:sz w:val="24"/>
          <w:szCs w:val="24"/>
          <w:lang w:val="hy-AM"/>
        </w:rPr>
        <w:t>ի մշակման գործընթացում ներգրավված ինստիտուտները, անձինք և նրանց դիրքորոշումը.</w:t>
      </w:r>
    </w:p>
    <w:p w14:paraId="16FAB72A" w14:textId="4DDED579" w:rsidR="002D3903" w:rsidRPr="00E8545B" w:rsidRDefault="001B4E62" w:rsidP="00CC5C0D">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Նախագիծը</w:t>
      </w:r>
      <w:r w:rsidR="002D3903" w:rsidRPr="00E8545B">
        <w:rPr>
          <w:rFonts w:ascii="GHEA Grapalat" w:eastAsia="GHEA Grapalat" w:hAnsi="GHEA Grapalat" w:cs="GHEA Grapalat"/>
          <w:sz w:val="24"/>
          <w:szCs w:val="24"/>
          <w:lang w:val="hy-AM"/>
        </w:rPr>
        <w:t xml:space="preserve"> մշակվել </w:t>
      </w:r>
      <w:r>
        <w:rPr>
          <w:rFonts w:ascii="GHEA Grapalat" w:eastAsia="GHEA Grapalat" w:hAnsi="GHEA Grapalat" w:cs="GHEA Grapalat"/>
          <w:sz w:val="24"/>
          <w:szCs w:val="24"/>
          <w:lang w:val="hy-AM"/>
        </w:rPr>
        <w:t>է</w:t>
      </w:r>
      <w:r w:rsidR="002D3903" w:rsidRPr="00E8545B">
        <w:rPr>
          <w:rFonts w:ascii="GHEA Grapalat" w:eastAsia="GHEA Grapalat" w:hAnsi="GHEA Grapalat" w:cs="GHEA Grapalat"/>
          <w:sz w:val="24"/>
          <w:szCs w:val="24"/>
          <w:lang w:val="hy-AM"/>
        </w:rPr>
        <w:t xml:space="preserve"> Արդարադատության նախարարության «Օրենսդրության զարգացման կենտրոն» հիմնադրամի կողմից:</w:t>
      </w:r>
    </w:p>
    <w:p w14:paraId="2B517F81" w14:textId="77777777" w:rsidR="002D3903" w:rsidRPr="00E8545B" w:rsidRDefault="002D3903" w:rsidP="00CC5C0D">
      <w:pPr>
        <w:spacing w:after="0" w:line="360" w:lineRule="auto"/>
        <w:ind w:firstLine="567"/>
        <w:jc w:val="both"/>
        <w:rPr>
          <w:rFonts w:ascii="GHEA Grapalat" w:eastAsia="GHEA Grapalat" w:hAnsi="GHEA Grapalat" w:cs="GHEA Grapalat"/>
          <w:sz w:val="24"/>
          <w:szCs w:val="24"/>
          <w:highlight w:val="yellow"/>
          <w:lang w:val="hy-AM"/>
        </w:rPr>
      </w:pPr>
    </w:p>
    <w:p w14:paraId="05DDF393" w14:textId="77777777" w:rsidR="00BD5802" w:rsidRDefault="002D3903" w:rsidP="00BD5802">
      <w:pPr>
        <w:spacing w:after="0" w:line="360" w:lineRule="auto"/>
        <w:ind w:firstLine="567"/>
        <w:jc w:val="both"/>
        <w:rPr>
          <w:rFonts w:ascii="GHEA Grapalat" w:eastAsia="GHEA Grapalat" w:hAnsi="GHEA Grapalat" w:cs="GHEA Grapalat"/>
          <w:b/>
          <w:sz w:val="24"/>
          <w:szCs w:val="24"/>
          <w:lang w:val="hy-AM"/>
        </w:rPr>
      </w:pPr>
      <w:r w:rsidRPr="00E8545B">
        <w:rPr>
          <w:rFonts w:ascii="GHEA Grapalat" w:eastAsia="GHEA Grapalat" w:hAnsi="GHEA Grapalat" w:cs="GHEA Grapalat"/>
          <w:b/>
          <w:sz w:val="24"/>
          <w:szCs w:val="24"/>
          <w:lang w:val="hy-AM"/>
        </w:rPr>
        <w:t>4. Ակնկալվող արդյունքը.</w:t>
      </w:r>
    </w:p>
    <w:p w14:paraId="3C0278B7" w14:textId="0D5FEBF2" w:rsidR="00BD5802" w:rsidRPr="00BD5802" w:rsidRDefault="00BD5802" w:rsidP="00BD5802">
      <w:pPr>
        <w:spacing w:after="0" w:line="360" w:lineRule="auto"/>
        <w:ind w:firstLine="567"/>
        <w:jc w:val="both"/>
        <w:rPr>
          <w:rFonts w:ascii="GHEA Grapalat" w:eastAsia="GHEA Grapalat" w:hAnsi="GHEA Grapalat" w:cs="GHEA Grapalat"/>
          <w:b/>
          <w:sz w:val="24"/>
          <w:szCs w:val="24"/>
          <w:lang w:val="hy-AM"/>
        </w:rPr>
      </w:pPr>
      <w:r w:rsidRPr="00BD5802">
        <w:rPr>
          <w:rFonts w:ascii="GHEA Grapalat" w:eastAsia="GHEA Grapalat" w:hAnsi="GHEA Grapalat" w:cs="GHEA Grapalat"/>
          <w:sz w:val="24"/>
          <w:szCs w:val="24"/>
          <w:lang w:val="hy-AM"/>
        </w:rPr>
        <w:t>Նախագծի ընդունման արդյունքում</w:t>
      </w:r>
      <w:r>
        <w:rPr>
          <w:rFonts w:ascii="GHEA Grapalat" w:eastAsia="GHEA Grapalat" w:hAnsi="GHEA Grapalat" w:cs="GHEA Grapalat"/>
          <w:b/>
          <w:sz w:val="24"/>
          <w:szCs w:val="24"/>
          <w:lang w:val="hy-AM"/>
        </w:rPr>
        <w:t xml:space="preserve"> </w:t>
      </w:r>
      <w:r>
        <w:rPr>
          <w:rFonts w:ascii="GHEA Grapalat" w:eastAsia="GHEA Grapalat" w:hAnsi="GHEA Grapalat" w:cs="GHEA Grapalat"/>
          <w:sz w:val="24"/>
          <w:szCs w:val="24"/>
          <w:lang w:val="hy-AM"/>
        </w:rPr>
        <w:t>Դատական օրենսգրքի 94-րդ հոդվածի 6-րդ մասի 1-ին նախադասությունը կհամապատասխանեցվի  Սահմանադրական դատարանի 2025 թվականի ապրիլի 22-ի ՍԴՈ-1780 որոշմանը:</w:t>
      </w:r>
    </w:p>
    <w:p w14:paraId="79C79C08" w14:textId="77777777" w:rsidR="005B12F3" w:rsidRPr="009C01E1" w:rsidRDefault="005B12F3" w:rsidP="00CC5C0D">
      <w:pPr>
        <w:spacing w:after="0" w:line="360" w:lineRule="auto"/>
        <w:ind w:firstLine="567"/>
        <w:jc w:val="both"/>
        <w:rPr>
          <w:rFonts w:ascii="GHEA Grapalat" w:eastAsia="GHEA Grapalat" w:hAnsi="GHEA Grapalat" w:cs="GHEA Grapalat"/>
          <w:b/>
          <w:sz w:val="24"/>
          <w:szCs w:val="24"/>
          <w:highlight w:val="yellow"/>
          <w:lang w:val="hy-AM"/>
        </w:rPr>
      </w:pPr>
    </w:p>
    <w:p w14:paraId="79B9DC55" w14:textId="790D809D" w:rsidR="002D3903" w:rsidRPr="00E8545B" w:rsidRDefault="002D3903" w:rsidP="00CC5C0D">
      <w:pPr>
        <w:spacing w:after="0" w:line="360" w:lineRule="auto"/>
        <w:ind w:firstLine="567"/>
        <w:jc w:val="both"/>
        <w:rPr>
          <w:rFonts w:ascii="GHEA Grapalat" w:eastAsia="GHEA Grapalat" w:hAnsi="GHEA Grapalat" w:cs="GHEA Grapalat"/>
          <w:b/>
          <w:sz w:val="24"/>
          <w:szCs w:val="24"/>
          <w:lang w:val="hy-AM"/>
        </w:rPr>
      </w:pPr>
      <w:r w:rsidRPr="00E8545B">
        <w:rPr>
          <w:rFonts w:ascii="GHEA Grapalat" w:eastAsia="GHEA Grapalat" w:hAnsi="GHEA Grapalat" w:cs="GHEA Grapalat"/>
          <w:b/>
          <w:sz w:val="24"/>
          <w:szCs w:val="24"/>
          <w:lang w:val="hy-AM"/>
        </w:rPr>
        <w:t>5. Նախագծ</w:t>
      </w:r>
      <w:r w:rsidR="00241132">
        <w:rPr>
          <w:rFonts w:ascii="GHEA Grapalat" w:eastAsia="GHEA Grapalat" w:hAnsi="GHEA Grapalat" w:cs="GHEA Grapalat"/>
          <w:b/>
          <w:sz w:val="24"/>
          <w:szCs w:val="24"/>
          <w:lang w:val="hy-AM"/>
        </w:rPr>
        <w:t>եր</w:t>
      </w:r>
      <w:r w:rsidRPr="00E8545B">
        <w:rPr>
          <w:rFonts w:ascii="GHEA Grapalat" w:eastAsia="GHEA Grapalat" w:hAnsi="GHEA Grapalat" w:cs="GHEA Grapalat"/>
          <w:b/>
          <w:sz w:val="24"/>
          <w:szCs w:val="24"/>
          <w:lang w:val="hy-AM"/>
        </w:rPr>
        <w:t>ի ընդունման կապակցությամբ լրացուցիչ ֆինանսական միջոցների անհրաժեշտության և ծախսերում սպասվելիք փոփոխությունների մասին.</w:t>
      </w:r>
    </w:p>
    <w:p w14:paraId="3438D7B9" w14:textId="11227F39" w:rsidR="002D3903" w:rsidRDefault="004D4A2F" w:rsidP="00CC5C0D">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Նախագծի ընդունման կապակցությամբ լրացուցիչ ֆինանսական միջոցների անհրաժեշտությունը  բացակայում է և պետական բյուջեի եկամուտներում և ծախսերում չեն սպասվում փոփոխություններ:</w:t>
      </w:r>
    </w:p>
    <w:p w14:paraId="4F0070A0" w14:textId="77777777" w:rsidR="004D4A2F" w:rsidRPr="00E8545B" w:rsidRDefault="004D4A2F" w:rsidP="00CC5C0D">
      <w:pPr>
        <w:spacing w:after="0" w:line="360" w:lineRule="auto"/>
        <w:ind w:firstLine="567"/>
        <w:jc w:val="both"/>
        <w:rPr>
          <w:rFonts w:ascii="GHEA Grapalat" w:eastAsia="GHEA Grapalat" w:hAnsi="GHEA Grapalat" w:cs="GHEA Grapalat"/>
          <w:sz w:val="24"/>
          <w:szCs w:val="24"/>
          <w:highlight w:val="yellow"/>
          <w:lang w:val="hy-AM"/>
        </w:rPr>
      </w:pPr>
    </w:p>
    <w:p w14:paraId="03B8934D" w14:textId="77777777" w:rsidR="002D3903" w:rsidRPr="00E8545B" w:rsidRDefault="002D3903" w:rsidP="00CC5C0D">
      <w:pPr>
        <w:spacing w:after="0" w:line="360" w:lineRule="auto"/>
        <w:ind w:firstLine="567"/>
        <w:jc w:val="both"/>
        <w:rPr>
          <w:rFonts w:ascii="GHEA Grapalat" w:eastAsia="GHEA Grapalat" w:hAnsi="GHEA Grapalat" w:cs="GHEA Grapalat"/>
          <w:b/>
          <w:sz w:val="24"/>
          <w:szCs w:val="24"/>
          <w:lang w:val="hy-AM"/>
        </w:rPr>
      </w:pPr>
      <w:r w:rsidRPr="00E8545B">
        <w:rPr>
          <w:rFonts w:ascii="GHEA Grapalat" w:eastAsia="GHEA Grapalat" w:hAnsi="GHEA Grapalat" w:cs="GHEA Grapalat"/>
          <w:b/>
          <w:sz w:val="24"/>
          <w:szCs w:val="24"/>
          <w:lang w:val="hy-AM"/>
        </w:rPr>
        <w:t>6. Կապը ռազմավարական փաստաթղթերի հետ.</w:t>
      </w:r>
    </w:p>
    <w:p w14:paraId="095DC26B" w14:textId="7754A5C2" w:rsidR="001E565E" w:rsidRPr="00CE3D6A" w:rsidRDefault="001E565E" w:rsidP="001E565E">
      <w:pPr>
        <w:widowControl w:val="0"/>
        <w:tabs>
          <w:tab w:val="left" w:pos="2967"/>
        </w:tabs>
        <w:spacing w:line="360" w:lineRule="auto"/>
        <w:ind w:right="-19" w:firstLine="567"/>
        <w:jc w:val="both"/>
        <w:rPr>
          <w:rFonts w:ascii="GHEA Grapalat" w:hAnsi="GHEA Grapalat"/>
          <w:sz w:val="24"/>
          <w:szCs w:val="24"/>
          <w:lang w:val="hy-AM"/>
        </w:rPr>
      </w:pPr>
      <w:r w:rsidRPr="009A5DDD">
        <w:rPr>
          <w:rFonts w:ascii="GHEA Grapalat" w:hAnsi="GHEA Grapalat"/>
          <w:sz w:val="24"/>
          <w:szCs w:val="24"/>
          <w:lang w:val="hy-AM"/>
        </w:rPr>
        <w:t xml:space="preserve">Նախագծի մշակումը բխում է </w:t>
      </w:r>
      <w:r w:rsidR="00B82FC9" w:rsidRPr="00805844">
        <w:rPr>
          <w:rFonts w:ascii="GHEA Grapalat" w:hAnsi="GHEA Grapalat"/>
          <w:sz w:val="24"/>
          <w:szCs w:val="24"/>
          <w:lang w:val="hy-AM"/>
        </w:rPr>
        <w:t xml:space="preserve">Հայաստանի Հանրապետության </w:t>
      </w:r>
      <w:r w:rsidR="00B82FC9">
        <w:rPr>
          <w:rFonts w:ascii="GHEA Grapalat" w:hAnsi="GHEA Grapalat"/>
          <w:sz w:val="24"/>
          <w:szCs w:val="24"/>
          <w:lang w:val="hy-AM"/>
        </w:rPr>
        <w:t>կ</w:t>
      </w:r>
      <w:r w:rsidR="00AB7403">
        <w:rPr>
          <w:rFonts w:ascii="GHEA Grapalat" w:hAnsi="GHEA Grapalat"/>
          <w:sz w:val="24"/>
          <w:szCs w:val="24"/>
          <w:lang w:val="hy-AM"/>
        </w:rPr>
        <w:t xml:space="preserve">առավարության 18.08.2021թ.-ի թիվ 1363-Ա որոշմամբ հաստատած </w:t>
      </w:r>
      <w:r w:rsidR="00805844" w:rsidRPr="00805844">
        <w:rPr>
          <w:rFonts w:ascii="GHEA Grapalat" w:hAnsi="GHEA Grapalat"/>
          <w:sz w:val="24"/>
          <w:szCs w:val="24"/>
          <w:lang w:val="hy-AM"/>
        </w:rPr>
        <w:t xml:space="preserve">Հայաստանի Հանրապետության </w:t>
      </w:r>
      <w:r w:rsidR="00805844" w:rsidRPr="00805844">
        <w:rPr>
          <w:rFonts w:ascii="GHEA Grapalat" w:hAnsi="GHEA Grapalat"/>
          <w:sz w:val="24"/>
          <w:szCs w:val="24"/>
          <w:lang w:val="hy-AM"/>
        </w:rPr>
        <w:lastRenderedPageBreak/>
        <w:t xml:space="preserve">կառավարության հնգամյա ծրագրի </w:t>
      </w:r>
      <w:r w:rsidR="00805844">
        <w:rPr>
          <w:rFonts w:ascii="GHEA Grapalat" w:hAnsi="GHEA Grapalat"/>
          <w:sz w:val="24"/>
          <w:szCs w:val="24"/>
          <w:lang w:val="hy-AM"/>
        </w:rPr>
        <w:t>«Իրավունք և արդարադատություն» բաժնի</w:t>
      </w:r>
      <w:r w:rsidR="00A34E65">
        <w:rPr>
          <w:rFonts w:ascii="GHEA Grapalat" w:hAnsi="GHEA Grapalat"/>
          <w:sz w:val="24"/>
          <w:szCs w:val="24"/>
          <w:lang w:val="hy-AM"/>
        </w:rPr>
        <w:t xml:space="preserve"> «Դատաիրավական բարեփոխումներ»</w:t>
      </w:r>
      <w:r w:rsidR="00805844">
        <w:rPr>
          <w:rFonts w:ascii="GHEA Grapalat" w:hAnsi="GHEA Grapalat"/>
          <w:sz w:val="24"/>
          <w:szCs w:val="24"/>
          <w:lang w:val="hy-AM"/>
        </w:rPr>
        <w:t xml:space="preserve"> </w:t>
      </w:r>
      <w:r w:rsidR="00B82FC9">
        <w:rPr>
          <w:rFonts w:ascii="GHEA Grapalat" w:hAnsi="GHEA Grapalat"/>
          <w:sz w:val="24"/>
          <w:szCs w:val="24"/>
          <w:lang w:val="hy-AM"/>
        </w:rPr>
        <w:t>գլխի</w:t>
      </w:r>
      <w:r w:rsidR="00AB7403">
        <w:rPr>
          <w:rFonts w:ascii="GHEA Grapalat" w:hAnsi="GHEA Grapalat"/>
          <w:sz w:val="24"/>
          <w:szCs w:val="24"/>
          <w:lang w:val="hy-AM"/>
        </w:rPr>
        <w:t xml:space="preserve"> և </w:t>
      </w:r>
      <w:r w:rsidR="00B82FC9" w:rsidRPr="00805844">
        <w:rPr>
          <w:rFonts w:ascii="GHEA Grapalat" w:hAnsi="GHEA Grapalat"/>
          <w:sz w:val="24"/>
          <w:szCs w:val="24"/>
          <w:lang w:val="hy-AM"/>
        </w:rPr>
        <w:t xml:space="preserve">Հայաստանի Հանրապետության </w:t>
      </w:r>
      <w:r w:rsidR="00B82FC9">
        <w:rPr>
          <w:rFonts w:ascii="GHEA Grapalat" w:hAnsi="GHEA Grapalat"/>
          <w:sz w:val="24"/>
          <w:szCs w:val="24"/>
          <w:lang w:val="hy-AM"/>
        </w:rPr>
        <w:t>կ</w:t>
      </w:r>
      <w:r w:rsidR="00723285">
        <w:rPr>
          <w:rFonts w:ascii="GHEA Grapalat" w:hAnsi="GHEA Grapalat"/>
          <w:sz w:val="24"/>
          <w:szCs w:val="24"/>
          <w:lang w:val="hy-AM"/>
        </w:rPr>
        <w:t xml:space="preserve">առավարության 21.07.2022թ.-ի թիվ 1133-Լ որոշմամբ հաստատված </w:t>
      </w:r>
      <w:r w:rsidRPr="00E8545B">
        <w:rPr>
          <w:rFonts w:ascii="GHEA Grapalat" w:hAnsi="GHEA Grapalat" w:cs="Sylfaen"/>
          <w:sz w:val="24"/>
          <w:szCs w:val="24"/>
          <w:lang w:val="hy-AM"/>
        </w:rPr>
        <w:t xml:space="preserve">Հայաստանի Հանրապետության </w:t>
      </w:r>
      <w:r>
        <w:rPr>
          <w:rFonts w:ascii="GHEA Grapalat" w:hAnsi="GHEA Grapalat" w:cs="Sylfaen"/>
          <w:sz w:val="24"/>
          <w:szCs w:val="24"/>
          <w:lang w:val="hy-AM"/>
        </w:rPr>
        <w:t>դ</w:t>
      </w:r>
      <w:r w:rsidRPr="009A5DDD">
        <w:rPr>
          <w:rFonts w:ascii="GHEA Grapalat" w:hAnsi="GHEA Grapalat"/>
          <w:sz w:val="24"/>
          <w:szCs w:val="24"/>
          <w:lang w:val="hy-AM"/>
        </w:rPr>
        <w:t xml:space="preserve">ատական և իրավական բարեփոխումների 2022-2026 թվականների </w:t>
      </w:r>
      <w:r>
        <w:rPr>
          <w:rFonts w:ascii="GHEA Grapalat" w:hAnsi="GHEA Grapalat"/>
          <w:sz w:val="24"/>
          <w:szCs w:val="24"/>
          <w:lang w:val="hy-AM"/>
        </w:rPr>
        <w:t>ռազմավարության</w:t>
      </w:r>
      <w:r w:rsidR="007830C4">
        <w:rPr>
          <w:rFonts w:ascii="GHEA Grapalat" w:hAnsi="GHEA Grapalat"/>
          <w:sz w:val="24"/>
          <w:szCs w:val="24"/>
          <w:lang w:val="hy-AM"/>
        </w:rPr>
        <w:t xml:space="preserve"> «Դ</w:t>
      </w:r>
      <w:r w:rsidR="007830C4" w:rsidRPr="007830C4">
        <w:rPr>
          <w:rFonts w:ascii="GHEA Grapalat" w:hAnsi="GHEA Grapalat"/>
          <w:sz w:val="24"/>
          <w:szCs w:val="24"/>
          <w:lang w:val="hy-AM"/>
        </w:rPr>
        <w:t>ատական համակարգի բարեփոխումների շարունակականության ապահովում</w:t>
      </w:r>
      <w:r w:rsidR="003C57F9">
        <w:rPr>
          <w:rFonts w:ascii="GHEA Grapalat" w:hAnsi="GHEA Grapalat"/>
          <w:sz w:val="24"/>
          <w:szCs w:val="24"/>
          <w:lang w:val="hy-AM"/>
        </w:rPr>
        <w:t>»</w:t>
      </w:r>
      <w:r w:rsidR="007830C4">
        <w:rPr>
          <w:rFonts w:ascii="GHEA Grapalat" w:hAnsi="GHEA Grapalat"/>
          <w:sz w:val="24"/>
          <w:szCs w:val="24"/>
          <w:lang w:val="hy-AM"/>
        </w:rPr>
        <w:t xml:space="preserve"> </w:t>
      </w:r>
      <w:r w:rsidR="00B82FC9">
        <w:rPr>
          <w:rFonts w:ascii="GHEA Grapalat" w:hAnsi="GHEA Grapalat"/>
          <w:sz w:val="24"/>
          <w:szCs w:val="24"/>
          <w:lang w:val="hy-AM"/>
        </w:rPr>
        <w:t>նպատակի կատարման ապահովման անհրաժեշտությունից</w:t>
      </w:r>
      <w:r w:rsidRPr="009A5DDD">
        <w:rPr>
          <w:rFonts w:ascii="GHEA Grapalat" w:hAnsi="GHEA Grapalat"/>
          <w:sz w:val="24"/>
          <w:szCs w:val="24"/>
          <w:lang w:val="hy-AM"/>
        </w:rPr>
        <w:t>:</w:t>
      </w:r>
    </w:p>
    <w:p w14:paraId="06901A31" w14:textId="5518397B" w:rsidR="009C01E1" w:rsidRPr="00CE3D6A" w:rsidRDefault="009C01E1" w:rsidP="00CC5C0D">
      <w:pPr>
        <w:widowControl w:val="0"/>
        <w:tabs>
          <w:tab w:val="left" w:pos="2967"/>
        </w:tabs>
        <w:spacing w:line="360" w:lineRule="auto"/>
        <w:ind w:right="-19" w:firstLine="567"/>
        <w:jc w:val="both"/>
        <w:rPr>
          <w:rFonts w:ascii="GHEA Grapalat" w:hAnsi="GHEA Grapalat"/>
          <w:sz w:val="24"/>
          <w:szCs w:val="24"/>
          <w:lang w:val="hy-AM"/>
        </w:rPr>
      </w:pPr>
    </w:p>
    <w:sectPr w:rsidR="009C01E1" w:rsidRPr="00CE3D6A" w:rsidSect="005D21E1">
      <w:footerReference w:type="default" r:id="rId8"/>
      <w:pgSz w:w="12240" w:h="15840"/>
      <w:pgMar w:top="1134" w:right="850" w:bottom="1134"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BB84E" w14:textId="77777777" w:rsidR="00F32B64" w:rsidRDefault="00F32B64" w:rsidP="00993F9C">
      <w:pPr>
        <w:spacing w:after="0" w:line="240" w:lineRule="auto"/>
      </w:pPr>
      <w:r>
        <w:separator/>
      </w:r>
    </w:p>
  </w:endnote>
  <w:endnote w:type="continuationSeparator" w:id="0">
    <w:p w14:paraId="5BB0019D" w14:textId="77777777" w:rsidR="00F32B64" w:rsidRDefault="00F32B64" w:rsidP="00993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29474"/>
      <w:docPartObj>
        <w:docPartGallery w:val="Page Numbers (Bottom of Page)"/>
        <w:docPartUnique/>
      </w:docPartObj>
    </w:sdtPr>
    <w:sdtEndPr/>
    <w:sdtContent>
      <w:p w14:paraId="60D5408D" w14:textId="3894E65A" w:rsidR="001067B7" w:rsidRDefault="0080353A">
        <w:pPr>
          <w:pStyle w:val="Footer"/>
          <w:jc w:val="right"/>
        </w:pPr>
        <w:r>
          <w:fldChar w:fldCharType="begin"/>
        </w:r>
        <w:r>
          <w:instrText xml:space="preserve"> PAGE   \* MERGEFORMAT </w:instrText>
        </w:r>
        <w:r>
          <w:fldChar w:fldCharType="separate"/>
        </w:r>
        <w:r w:rsidR="00BE6825">
          <w:rPr>
            <w:noProof/>
          </w:rPr>
          <w:t>2</w:t>
        </w:r>
        <w:r>
          <w:rPr>
            <w:noProof/>
          </w:rPr>
          <w:fldChar w:fldCharType="end"/>
        </w:r>
      </w:p>
    </w:sdtContent>
  </w:sdt>
  <w:p w14:paraId="701A4660" w14:textId="77777777" w:rsidR="001067B7" w:rsidRDefault="001067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331F7" w14:textId="77777777" w:rsidR="00F32B64" w:rsidRDefault="00F32B64" w:rsidP="00993F9C">
      <w:pPr>
        <w:spacing w:after="0" w:line="240" w:lineRule="auto"/>
      </w:pPr>
      <w:r>
        <w:separator/>
      </w:r>
    </w:p>
  </w:footnote>
  <w:footnote w:type="continuationSeparator" w:id="0">
    <w:p w14:paraId="6E1C8FAA" w14:textId="77777777" w:rsidR="00F32B64" w:rsidRDefault="00F32B64" w:rsidP="00993F9C">
      <w:pPr>
        <w:spacing w:after="0" w:line="240" w:lineRule="auto"/>
      </w:pPr>
      <w:r>
        <w:continuationSeparator/>
      </w:r>
    </w:p>
  </w:footnote>
  <w:footnote w:id="1">
    <w:p w14:paraId="0B9954E1" w14:textId="77777777" w:rsidR="00A57ACB" w:rsidRPr="00D34C44" w:rsidRDefault="00A57ACB" w:rsidP="00A57ACB">
      <w:pPr>
        <w:pStyle w:val="FootnoteText"/>
        <w:ind w:firstLine="567"/>
        <w:jc w:val="both"/>
        <w:rPr>
          <w:rFonts w:ascii="GHEA Grapalat" w:hAnsi="GHEA Grapalat" w:cs="Arial"/>
          <w:sz w:val="18"/>
          <w:szCs w:val="18"/>
          <w:lang w:val="hy-AM"/>
        </w:rPr>
      </w:pPr>
      <w:r w:rsidRPr="00D34C44">
        <w:rPr>
          <w:rStyle w:val="FootnoteReference"/>
          <w:rFonts w:ascii="GHEA Grapalat" w:hAnsi="GHEA Grapalat"/>
          <w:sz w:val="18"/>
          <w:szCs w:val="18"/>
        </w:rPr>
        <w:footnoteRef/>
      </w:r>
      <w:r w:rsidRPr="00D34C44">
        <w:rPr>
          <w:rFonts w:ascii="GHEA Grapalat" w:hAnsi="GHEA Grapalat"/>
          <w:sz w:val="18"/>
          <w:szCs w:val="18"/>
        </w:rPr>
        <w:t xml:space="preserve"> </w:t>
      </w:r>
      <w:r w:rsidRPr="00D34C44">
        <w:rPr>
          <w:rFonts w:ascii="GHEA Grapalat" w:hAnsi="GHEA Grapalat" w:cs="Arial"/>
          <w:sz w:val="18"/>
          <w:szCs w:val="18"/>
          <w:lang w:val="hy-AM"/>
        </w:rPr>
        <w:t>«Դատական օրենսգիրք» սահմանադրական օրենքի 94-րդ հոդվածի 6-րդ մասի 1-ին նախադասությամբ սահմանվում է.</w:t>
      </w:r>
      <w:r w:rsidRPr="00D34C44">
        <w:rPr>
          <w:rFonts w:ascii="GHEA Grapalat" w:hAnsi="GHEA Grapalat" w:cs="Arial"/>
          <w:b/>
          <w:sz w:val="18"/>
          <w:szCs w:val="18"/>
          <w:lang w:val="hy-AM"/>
        </w:rPr>
        <w:t xml:space="preserve"> </w:t>
      </w:r>
      <w:r w:rsidRPr="00D34C44">
        <w:rPr>
          <w:rFonts w:ascii="GHEA Grapalat" w:hAnsi="GHEA Grapalat" w:cs="Arial"/>
          <w:i/>
          <w:sz w:val="18"/>
          <w:szCs w:val="18"/>
          <w:lang w:val="hy-AM"/>
        </w:rPr>
        <w:t>«</w:t>
      </w:r>
      <w:r w:rsidRPr="00D34C44">
        <w:rPr>
          <w:rFonts w:ascii="GHEA Grapalat" w:hAnsi="GHEA Grapalat" w:cs="Arial"/>
          <w:sz w:val="18"/>
          <w:szCs w:val="18"/>
          <w:lang w:val="hy-AM"/>
        </w:rPr>
        <w:t>Դատավորին և Բարձրագույն դատական խորհրդի անդամին կարգապահական պատասխանատվության ենթարկելու վերաբերյալ, ինչպես նաև դատավորի և Բարձրագույն դատական խորհրդի անդամի լիազորությունները դադարեցնելու, իր լիազորությունների իրականացման 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մասին Բարձրագույն դատական խորհրդի որոշումներն ընդունվում են խորհրդակցական սենյակում՝ բաց քվեարկությամբ՝ նիստին մասնակցող խորհրդի անդամների ձայների մեծամասնությամբ, եթե որոշմանը կողմ է քվեարկել խորհրդի անդամների ընդհանուր թվի առնվազն կեսը:</w:t>
      </w:r>
    </w:p>
  </w:footnote>
  <w:footnote w:id="2">
    <w:p w14:paraId="1459E5ED" w14:textId="77777777" w:rsidR="00A57ACB" w:rsidRPr="00D34C44" w:rsidRDefault="00A57ACB" w:rsidP="00A57ACB">
      <w:pPr>
        <w:pStyle w:val="FootnoteText"/>
        <w:ind w:firstLine="567"/>
        <w:jc w:val="both"/>
        <w:rPr>
          <w:rFonts w:ascii="GHEA Grapalat" w:hAnsi="GHEA Grapalat" w:cs="Arial"/>
          <w:sz w:val="18"/>
          <w:szCs w:val="18"/>
          <w:lang w:val="hy-AM"/>
        </w:rPr>
      </w:pPr>
      <w:r w:rsidRPr="00D34C44">
        <w:rPr>
          <w:rStyle w:val="FootnoteReference"/>
          <w:rFonts w:ascii="GHEA Grapalat" w:hAnsi="GHEA Grapalat" w:cs="Arial"/>
          <w:sz w:val="18"/>
          <w:szCs w:val="18"/>
        </w:rPr>
        <w:footnoteRef/>
      </w:r>
      <w:r w:rsidRPr="00D34C44">
        <w:rPr>
          <w:rFonts w:ascii="GHEA Grapalat" w:hAnsi="GHEA Grapalat" w:cs="Arial"/>
          <w:sz w:val="18"/>
          <w:szCs w:val="18"/>
          <w:lang w:val="hy-AM"/>
        </w:rPr>
        <w:t xml:space="preserve"> Սահմանադրության 49-րդ հոդվածի համաձայն՝ «Յուրաքանչյուր քաղաքացի ունի ընդհանուր հիմունքներով հանրային ծառայության անցնելու իրավունք: Մանրամասները սահմանվում են օրենքով:»</w:t>
      </w:r>
    </w:p>
  </w:footnote>
  <w:footnote w:id="3">
    <w:p w14:paraId="57D672B0" w14:textId="77777777" w:rsidR="00A57ACB" w:rsidRPr="00D34C44" w:rsidRDefault="00A57ACB" w:rsidP="00A57ACB">
      <w:pPr>
        <w:pStyle w:val="FootnoteText"/>
        <w:ind w:firstLine="567"/>
        <w:jc w:val="both"/>
        <w:rPr>
          <w:rFonts w:ascii="GHEA Grapalat" w:hAnsi="GHEA Grapalat" w:cs="Arial"/>
          <w:sz w:val="18"/>
          <w:szCs w:val="18"/>
          <w:lang w:val="hy-AM"/>
        </w:rPr>
      </w:pPr>
      <w:r w:rsidRPr="00D34C44">
        <w:rPr>
          <w:rStyle w:val="FootnoteReference"/>
          <w:rFonts w:ascii="GHEA Grapalat" w:hAnsi="GHEA Grapalat" w:cs="Arial"/>
          <w:sz w:val="18"/>
          <w:szCs w:val="18"/>
        </w:rPr>
        <w:footnoteRef/>
      </w:r>
      <w:r w:rsidRPr="00D34C44">
        <w:rPr>
          <w:rFonts w:ascii="GHEA Grapalat" w:hAnsi="GHEA Grapalat" w:cs="Arial"/>
          <w:sz w:val="18"/>
          <w:szCs w:val="18"/>
          <w:lang w:val="hy-AM"/>
        </w:rPr>
        <w:t xml:space="preserve"> Սահմանադրության 75-րդ հոդվածի համաձայն՝ «Հիմնական իրավունքները և ազատությունները կարգավորելիս օրենքները սահմանում են այդ իրավունքների և ազատությունների արդյունավետ իրականացման համար անհրաժեշտ կազմակերպական կառուցակարգեր և ընթացակարգեր:»:</w:t>
      </w:r>
    </w:p>
  </w:footnote>
  <w:footnote w:id="4">
    <w:p w14:paraId="58FAAF9D" w14:textId="77777777" w:rsidR="00A57ACB" w:rsidRPr="00D34C44" w:rsidRDefault="00A57ACB" w:rsidP="00A57ACB">
      <w:pPr>
        <w:pStyle w:val="FootnoteText"/>
        <w:ind w:firstLine="567"/>
        <w:jc w:val="both"/>
        <w:rPr>
          <w:rFonts w:ascii="GHEA Grapalat" w:hAnsi="GHEA Grapalat" w:cs="Arial"/>
          <w:sz w:val="18"/>
          <w:szCs w:val="18"/>
          <w:lang w:val="hy-AM"/>
        </w:rPr>
      </w:pPr>
      <w:r w:rsidRPr="00D34C44">
        <w:rPr>
          <w:rStyle w:val="FootnoteReference"/>
          <w:rFonts w:ascii="GHEA Grapalat" w:hAnsi="GHEA Grapalat" w:cs="Arial"/>
          <w:sz w:val="18"/>
          <w:szCs w:val="18"/>
        </w:rPr>
        <w:footnoteRef/>
      </w:r>
      <w:r w:rsidRPr="00D34C44">
        <w:rPr>
          <w:rFonts w:ascii="GHEA Grapalat" w:hAnsi="GHEA Grapalat" w:cs="Arial"/>
          <w:sz w:val="18"/>
          <w:szCs w:val="18"/>
          <w:lang w:val="hy-AM"/>
        </w:rPr>
        <w:t xml:space="preserve"> Սահմանադրության 164-րդ հոդվածի 1-ին մասի համաձայն՝ «1. Արդարադատություն իրականացնելիս դատավորն անկախ է, անաչառ և գործում է միայն Սահմանադրությանը և օրենքներին համապատասխան:»:</w:t>
      </w:r>
    </w:p>
  </w:footnote>
  <w:footnote w:id="5">
    <w:p w14:paraId="24300689" w14:textId="77777777" w:rsidR="00A57ACB" w:rsidRPr="00D34C44" w:rsidRDefault="00A57ACB" w:rsidP="00A57ACB">
      <w:pPr>
        <w:pStyle w:val="FootnoteText"/>
        <w:ind w:firstLine="567"/>
        <w:jc w:val="both"/>
        <w:rPr>
          <w:rFonts w:ascii="GHEA Grapalat" w:hAnsi="GHEA Grapalat" w:cs="Arial"/>
          <w:sz w:val="18"/>
          <w:szCs w:val="18"/>
          <w:lang w:val="hy-AM"/>
        </w:rPr>
      </w:pPr>
      <w:r w:rsidRPr="00D34C44">
        <w:rPr>
          <w:rStyle w:val="FootnoteReference"/>
          <w:rFonts w:ascii="GHEA Grapalat" w:hAnsi="GHEA Grapalat" w:cs="Arial"/>
          <w:sz w:val="18"/>
          <w:szCs w:val="18"/>
        </w:rPr>
        <w:footnoteRef/>
      </w:r>
      <w:r w:rsidRPr="00D34C44">
        <w:rPr>
          <w:rFonts w:ascii="GHEA Grapalat" w:hAnsi="GHEA Grapalat" w:cs="Arial"/>
          <w:sz w:val="18"/>
          <w:szCs w:val="18"/>
          <w:lang w:val="hy-AM"/>
        </w:rPr>
        <w:t xml:space="preserve"> Սահմանադրության 174-րդ հոդվածի 1-3-րդ մասերի համաձայն՝ «1. Բարձրագույն դատական խորհուրդը կազմված է տասն անդամից:</w:t>
      </w:r>
    </w:p>
    <w:p w14:paraId="617769D8" w14:textId="77777777" w:rsidR="00A57ACB" w:rsidRPr="00D34C44" w:rsidRDefault="00A57ACB" w:rsidP="00A57ACB">
      <w:pPr>
        <w:pStyle w:val="FootnoteText"/>
        <w:ind w:firstLine="567"/>
        <w:jc w:val="both"/>
        <w:rPr>
          <w:rFonts w:ascii="GHEA Grapalat" w:hAnsi="GHEA Grapalat" w:cs="Arial"/>
          <w:sz w:val="18"/>
          <w:szCs w:val="18"/>
          <w:lang w:val="hy-AM"/>
        </w:rPr>
      </w:pPr>
      <w:r w:rsidRPr="00D34C44">
        <w:rPr>
          <w:rFonts w:ascii="GHEA Grapalat" w:hAnsi="GHEA Grapalat" w:cs="Arial"/>
          <w:sz w:val="18"/>
          <w:szCs w:val="18"/>
          <w:lang w:val="hy-AM"/>
        </w:rPr>
        <w:t>2. Բարձրագույն դատական խորհրդի հինգ անդամներին ընտրում է դատավորների ընդհանուր ժողովը՝ դատավորի առնվազն տասը տարվա փորձառություն ունեցող դատավորների կազմից: Բարձրագույն դատական խորհրդում պետք է ընդգրկվեն դատավորներ բոլոր ատյանների դատարաններից: Դատավորների ընդհանուր ժողովի կողմից ընտրված անդամը չի կարող լինել դատարանի նախագահ կամ Վճռաբեկ դատարանի պալատի նախագահ:</w:t>
      </w:r>
    </w:p>
    <w:p w14:paraId="3D246686" w14:textId="77777777" w:rsidR="00A57ACB" w:rsidRPr="00D34C44" w:rsidRDefault="00A57ACB" w:rsidP="00A57ACB">
      <w:pPr>
        <w:pStyle w:val="FootnoteText"/>
        <w:ind w:firstLine="567"/>
        <w:jc w:val="both"/>
        <w:rPr>
          <w:rFonts w:ascii="GHEA Grapalat" w:hAnsi="GHEA Grapalat" w:cs="Arial"/>
          <w:sz w:val="18"/>
          <w:szCs w:val="18"/>
          <w:lang w:val="hy-AM"/>
        </w:rPr>
      </w:pPr>
      <w:r w:rsidRPr="00D34C44">
        <w:rPr>
          <w:rFonts w:ascii="GHEA Grapalat" w:hAnsi="GHEA Grapalat" w:cs="Arial"/>
          <w:sz w:val="18"/>
          <w:szCs w:val="18"/>
          <w:lang w:val="hy-AM"/>
        </w:rPr>
        <w:t>3. Բարձրագույն դատական խորհրդի հինգ անդամներին ընտրում է Ազգային ժողովը՝ պատգամավորների ընդհանուր թվի ձայների առնվազն երեք հինգերորդով, միայն Հայաստանի Հանրապետության քաղաքացի հանդիսացող, ընտրական իրավունք ունեցող, բարձր մասնագիտական որակներով և մասնագիտական աշխատանքի առնվազն տասնհինգ տարվա փորձառությամբ իրավաբան գիտնականների և այլ հեղինակավոր իրավաբանների թվից: Ազգային ժողովի կողմից ընտրված անդամը չի կարող լինել դատավոր:</w:t>
      </w:r>
    </w:p>
  </w:footnote>
  <w:footnote w:id="6">
    <w:p w14:paraId="387E0177" w14:textId="77777777" w:rsidR="00A57ACB" w:rsidRPr="00036EB2" w:rsidRDefault="00A57ACB" w:rsidP="00A57ACB">
      <w:pPr>
        <w:pStyle w:val="FootnoteText"/>
        <w:ind w:firstLine="567"/>
        <w:jc w:val="both"/>
        <w:rPr>
          <w:sz w:val="18"/>
          <w:szCs w:val="18"/>
          <w:lang w:val="hy-AM"/>
        </w:rPr>
      </w:pPr>
      <w:r w:rsidRPr="00D34C44">
        <w:rPr>
          <w:rStyle w:val="FootnoteReference"/>
          <w:rFonts w:ascii="GHEA Grapalat" w:hAnsi="GHEA Grapalat" w:cs="Arial"/>
          <w:sz w:val="18"/>
          <w:szCs w:val="18"/>
        </w:rPr>
        <w:footnoteRef/>
      </w:r>
      <w:r w:rsidRPr="00D34C44">
        <w:rPr>
          <w:rFonts w:ascii="GHEA Grapalat" w:hAnsi="GHEA Grapalat" w:cs="Arial"/>
          <w:sz w:val="18"/>
          <w:szCs w:val="18"/>
          <w:lang w:val="hy-AM"/>
        </w:rPr>
        <w:t xml:space="preserve"> Սահմանադրության 175-րդ հոդվածի 1-ին մասի 7-րդ կետի համաձայն՝ « </w:t>
      </w:r>
      <w:r w:rsidRPr="00D34C44">
        <w:rPr>
          <w:rFonts w:ascii="GHEA Grapalat" w:hAnsi="GHEA Grapalat" w:cs="Arial"/>
          <w:color w:val="000000"/>
          <w:sz w:val="18"/>
          <w:szCs w:val="18"/>
          <w:shd w:val="clear" w:color="auto" w:fill="FFFFFF"/>
          <w:lang w:val="hy-AM"/>
        </w:rPr>
        <w:t>Բարձրագույն դատական խորհուրդը`լուծում է դատավորին կարգապահական պատասխանատվության ենթարկելու հարցը»,  իսկ 2-րդ մասի համաձայն՝ «ատավորին կարգապահական պատասխանատվության ենթարկելու վերաբերյալ հարց քննարկելու, ինչպես նաև Դատական օրենսգրքով սահմանված այլ դեպքերում Բարձրագույն դատական խորհուրդը հանդես է գալիս որպես դատարան:»:</w:t>
      </w:r>
    </w:p>
  </w:footnote>
  <w:footnote w:id="7">
    <w:p w14:paraId="56753074" w14:textId="77777777" w:rsidR="00C104E9" w:rsidRPr="00036EB2" w:rsidRDefault="00C104E9" w:rsidP="00C104E9">
      <w:pPr>
        <w:pStyle w:val="FootnoteText"/>
        <w:ind w:firstLine="567"/>
        <w:jc w:val="both"/>
        <w:rPr>
          <w:rFonts w:ascii="GHEA Grapalat" w:hAnsi="GHEA Grapalat" w:cs="Arial"/>
          <w:sz w:val="18"/>
          <w:szCs w:val="18"/>
          <w:lang w:val="hy-AM"/>
        </w:rPr>
      </w:pPr>
      <w:r w:rsidRPr="00036EB2">
        <w:rPr>
          <w:rStyle w:val="FootnoteReference"/>
          <w:rFonts w:ascii="GHEA Grapalat" w:hAnsi="GHEA Grapalat" w:cs="Arial"/>
          <w:sz w:val="18"/>
          <w:szCs w:val="18"/>
        </w:rPr>
        <w:footnoteRef/>
      </w:r>
      <w:r w:rsidRPr="00036EB2">
        <w:rPr>
          <w:rFonts w:ascii="GHEA Grapalat" w:hAnsi="GHEA Grapalat" w:cs="Arial"/>
          <w:sz w:val="18"/>
          <w:szCs w:val="18"/>
          <w:lang w:val="hy-AM"/>
        </w:rPr>
        <w:t xml:space="preserve"> Սահմանադրական դատարանի 2021 թվականի հունիսի 10-ի ՍԴՈ-1598 որոշում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900EB1"/>
    <w:multiLevelType w:val="hybridMultilevel"/>
    <w:tmpl w:val="C97645AC"/>
    <w:lvl w:ilvl="0" w:tplc="4CC48E04">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903"/>
    <w:rsid w:val="000000C3"/>
    <w:rsid w:val="00007F47"/>
    <w:rsid w:val="000233FA"/>
    <w:rsid w:val="0002668C"/>
    <w:rsid w:val="00026865"/>
    <w:rsid w:val="00027809"/>
    <w:rsid w:val="00031852"/>
    <w:rsid w:val="000368D7"/>
    <w:rsid w:val="0004309A"/>
    <w:rsid w:val="00046B3F"/>
    <w:rsid w:val="000520B9"/>
    <w:rsid w:val="00052DB0"/>
    <w:rsid w:val="00053260"/>
    <w:rsid w:val="00067E1F"/>
    <w:rsid w:val="000735A5"/>
    <w:rsid w:val="00085702"/>
    <w:rsid w:val="0009243F"/>
    <w:rsid w:val="00092855"/>
    <w:rsid w:val="00096569"/>
    <w:rsid w:val="000A0B76"/>
    <w:rsid w:val="000A6B6D"/>
    <w:rsid w:val="000C0B58"/>
    <w:rsid w:val="000C2236"/>
    <w:rsid w:val="000C3873"/>
    <w:rsid w:val="000C5B92"/>
    <w:rsid w:val="000C5E36"/>
    <w:rsid w:val="000D1860"/>
    <w:rsid w:val="000D55CE"/>
    <w:rsid w:val="000F2A52"/>
    <w:rsid w:val="000F4586"/>
    <w:rsid w:val="001065D2"/>
    <w:rsid w:val="001067B7"/>
    <w:rsid w:val="00106D92"/>
    <w:rsid w:val="00110293"/>
    <w:rsid w:val="00112606"/>
    <w:rsid w:val="00112648"/>
    <w:rsid w:val="00124B1D"/>
    <w:rsid w:val="00134AAA"/>
    <w:rsid w:val="001437B0"/>
    <w:rsid w:val="00145DEA"/>
    <w:rsid w:val="001561BC"/>
    <w:rsid w:val="001717F2"/>
    <w:rsid w:val="0017215C"/>
    <w:rsid w:val="00186F60"/>
    <w:rsid w:val="00190273"/>
    <w:rsid w:val="00191392"/>
    <w:rsid w:val="001921CF"/>
    <w:rsid w:val="001A787D"/>
    <w:rsid w:val="001B4E62"/>
    <w:rsid w:val="001B5C3C"/>
    <w:rsid w:val="001C2082"/>
    <w:rsid w:val="001C2B8D"/>
    <w:rsid w:val="001C336B"/>
    <w:rsid w:val="001C3370"/>
    <w:rsid w:val="001C5336"/>
    <w:rsid w:val="001D073E"/>
    <w:rsid w:val="001D3DBE"/>
    <w:rsid w:val="001D741A"/>
    <w:rsid w:val="001E29A0"/>
    <w:rsid w:val="001E37E2"/>
    <w:rsid w:val="001E565E"/>
    <w:rsid w:val="001F1AD9"/>
    <w:rsid w:val="001F42FA"/>
    <w:rsid w:val="001F5696"/>
    <w:rsid w:val="00200B2E"/>
    <w:rsid w:val="002030AF"/>
    <w:rsid w:val="00211D7C"/>
    <w:rsid w:val="00214E9F"/>
    <w:rsid w:val="002235B3"/>
    <w:rsid w:val="00223816"/>
    <w:rsid w:val="00223C68"/>
    <w:rsid w:val="00234341"/>
    <w:rsid w:val="00235BA4"/>
    <w:rsid w:val="00236015"/>
    <w:rsid w:val="00241132"/>
    <w:rsid w:val="00242F7B"/>
    <w:rsid w:val="00250627"/>
    <w:rsid w:val="00250AAD"/>
    <w:rsid w:val="00253598"/>
    <w:rsid w:val="0025421E"/>
    <w:rsid w:val="002543BA"/>
    <w:rsid w:val="00255634"/>
    <w:rsid w:val="00257945"/>
    <w:rsid w:val="00261EA3"/>
    <w:rsid w:val="00262BB8"/>
    <w:rsid w:val="00270208"/>
    <w:rsid w:val="0027743C"/>
    <w:rsid w:val="00293769"/>
    <w:rsid w:val="0029417E"/>
    <w:rsid w:val="00296E59"/>
    <w:rsid w:val="002A197A"/>
    <w:rsid w:val="002A3A1C"/>
    <w:rsid w:val="002B2F0B"/>
    <w:rsid w:val="002B35E6"/>
    <w:rsid w:val="002B7B55"/>
    <w:rsid w:val="002C148C"/>
    <w:rsid w:val="002D20AC"/>
    <w:rsid w:val="002D3903"/>
    <w:rsid w:val="002D4A94"/>
    <w:rsid w:val="002E732E"/>
    <w:rsid w:val="002E7A3F"/>
    <w:rsid w:val="002F1BC8"/>
    <w:rsid w:val="002F67DF"/>
    <w:rsid w:val="003020B7"/>
    <w:rsid w:val="00303CB4"/>
    <w:rsid w:val="00305366"/>
    <w:rsid w:val="00311D14"/>
    <w:rsid w:val="003156E8"/>
    <w:rsid w:val="0032073A"/>
    <w:rsid w:val="00323D45"/>
    <w:rsid w:val="003253C6"/>
    <w:rsid w:val="00332F37"/>
    <w:rsid w:val="00333C16"/>
    <w:rsid w:val="003360C4"/>
    <w:rsid w:val="003400A6"/>
    <w:rsid w:val="003457E7"/>
    <w:rsid w:val="0035460A"/>
    <w:rsid w:val="00357602"/>
    <w:rsid w:val="00361C0E"/>
    <w:rsid w:val="00375A8F"/>
    <w:rsid w:val="00375F46"/>
    <w:rsid w:val="003836F3"/>
    <w:rsid w:val="00383E03"/>
    <w:rsid w:val="003901DC"/>
    <w:rsid w:val="003A0786"/>
    <w:rsid w:val="003A1844"/>
    <w:rsid w:val="003A2B38"/>
    <w:rsid w:val="003A396A"/>
    <w:rsid w:val="003A5088"/>
    <w:rsid w:val="003A58F2"/>
    <w:rsid w:val="003B0C3D"/>
    <w:rsid w:val="003B1563"/>
    <w:rsid w:val="003B75D1"/>
    <w:rsid w:val="003C30D7"/>
    <w:rsid w:val="003C57F9"/>
    <w:rsid w:val="003D081F"/>
    <w:rsid w:val="003D362D"/>
    <w:rsid w:val="003D3BFD"/>
    <w:rsid w:val="00405771"/>
    <w:rsid w:val="00406E4E"/>
    <w:rsid w:val="00411918"/>
    <w:rsid w:val="00411B1A"/>
    <w:rsid w:val="00412F6D"/>
    <w:rsid w:val="00415340"/>
    <w:rsid w:val="0041779E"/>
    <w:rsid w:val="004178C4"/>
    <w:rsid w:val="0042142A"/>
    <w:rsid w:val="0042476B"/>
    <w:rsid w:val="00424CA5"/>
    <w:rsid w:val="004275B4"/>
    <w:rsid w:val="004316E6"/>
    <w:rsid w:val="00432B78"/>
    <w:rsid w:val="0043364A"/>
    <w:rsid w:val="00433A09"/>
    <w:rsid w:val="004366F9"/>
    <w:rsid w:val="00450377"/>
    <w:rsid w:val="00451E73"/>
    <w:rsid w:val="004555CD"/>
    <w:rsid w:val="00455DF4"/>
    <w:rsid w:val="00461D2B"/>
    <w:rsid w:val="00463A7B"/>
    <w:rsid w:val="0046470F"/>
    <w:rsid w:val="00467F43"/>
    <w:rsid w:val="0047173D"/>
    <w:rsid w:val="00474260"/>
    <w:rsid w:val="00476C33"/>
    <w:rsid w:val="004779F9"/>
    <w:rsid w:val="00480E56"/>
    <w:rsid w:val="00483DF6"/>
    <w:rsid w:val="00486C1C"/>
    <w:rsid w:val="00497784"/>
    <w:rsid w:val="004A6153"/>
    <w:rsid w:val="004C1A74"/>
    <w:rsid w:val="004C2CDA"/>
    <w:rsid w:val="004C4350"/>
    <w:rsid w:val="004C5738"/>
    <w:rsid w:val="004D4A2F"/>
    <w:rsid w:val="004D69FC"/>
    <w:rsid w:val="0050113A"/>
    <w:rsid w:val="00507DB0"/>
    <w:rsid w:val="00510562"/>
    <w:rsid w:val="00513B1C"/>
    <w:rsid w:val="005160AF"/>
    <w:rsid w:val="00522FF0"/>
    <w:rsid w:val="00534E2B"/>
    <w:rsid w:val="00543887"/>
    <w:rsid w:val="00546D24"/>
    <w:rsid w:val="005519F4"/>
    <w:rsid w:val="005551F0"/>
    <w:rsid w:val="0055581C"/>
    <w:rsid w:val="00561B30"/>
    <w:rsid w:val="00562856"/>
    <w:rsid w:val="00566D63"/>
    <w:rsid w:val="005671A3"/>
    <w:rsid w:val="0057496A"/>
    <w:rsid w:val="00577CA4"/>
    <w:rsid w:val="005824A1"/>
    <w:rsid w:val="00584D8F"/>
    <w:rsid w:val="0059284A"/>
    <w:rsid w:val="00593758"/>
    <w:rsid w:val="005A0837"/>
    <w:rsid w:val="005A2BC9"/>
    <w:rsid w:val="005A3FFB"/>
    <w:rsid w:val="005A6C5D"/>
    <w:rsid w:val="005B12F3"/>
    <w:rsid w:val="005B14EF"/>
    <w:rsid w:val="005B1BE3"/>
    <w:rsid w:val="005B6516"/>
    <w:rsid w:val="005C3E49"/>
    <w:rsid w:val="005D0B7F"/>
    <w:rsid w:val="005D21E1"/>
    <w:rsid w:val="005E3807"/>
    <w:rsid w:val="005E5537"/>
    <w:rsid w:val="005F49A1"/>
    <w:rsid w:val="00601CE7"/>
    <w:rsid w:val="006047CF"/>
    <w:rsid w:val="006103EC"/>
    <w:rsid w:val="006140F2"/>
    <w:rsid w:val="00614571"/>
    <w:rsid w:val="00614D2C"/>
    <w:rsid w:val="006162A6"/>
    <w:rsid w:val="00626E53"/>
    <w:rsid w:val="00632AD6"/>
    <w:rsid w:val="00635269"/>
    <w:rsid w:val="00654C26"/>
    <w:rsid w:val="00654FF2"/>
    <w:rsid w:val="00662826"/>
    <w:rsid w:val="0067171C"/>
    <w:rsid w:val="00671E55"/>
    <w:rsid w:val="006846BD"/>
    <w:rsid w:val="00692117"/>
    <w:rsid w:val="006A523D"/>
    <w:rsid w:val="006B3052"/>
    <w:rsid w:val="006B74F1"/>
    <w:rsid w:val="006B78A3"/>
    <w:rsid w:val="006C2867"/>
    <w:rsid w:val="006C4805"/>
    <w:rsid w:val="006D342D"/>
    <w:rsid w:val="006D6EEB"/>
    <w:rsid w:val="006E6DF6"/>
    <w:rsid w:val="006F0EC2"/>
    <w:rsid w:val="006F592D"/>
    <w:rsid w:val="006F7B62"/>
    <w:rsid w:val="0070399B"/>
    <w:rsid w:val="00712A8F"/>
    <w:rsid w:val="007149DA"/>
    <w:rsid w:val="00714F42"/>
    <w:rsid w:val="0071607C"/>
    <w:rsid w:val="00721AD3"/>
    <w:rsid w:val="00723285"/>
    <w:rsid w:val="00723D66"/>
    <w:rsid w:val="00723EAA"/>
    <w:rsid w:val="007407C5"/>
    <w:rsid w:val="00740879"/>
    <w:rsid w:val="0074166E"/>
    <w:rsid w:val="007459CD"/>
    <w:rsid w:val="00750123"/>
    <w:rsid w:val="00757287"/>
    <w:rsid w:val="007678B7"/>
    <w:rsid w:val="0077460B"/>
    <w:rsid w:val="007746C8"/>
    <w:rsid w:val="00780723"/>
    <w:rsid w:val="0078127D"/>
    <w:rsid w:val="00781D04"/>
    <w:rsid w:val="007830C4"/>
    <w:rsid w:val="00783658"/>
    <w:rsid w:val="00792748"/>
    <w:rsid w:val="007A108B"/>
    <w:rsid w:val="007A2344"/>
    <w:rsid w:val="007A2CA4"/>
    <w:rsid w:val="007A37CE"/>
    <w:rsid w:val="007A3EBE"/>
    <w:rsid w:val="007A53B8"/>
    <w:rsid w:val="007A544A"/>
    <w:rsid w:val="007A5E1D"/>
    <w:rsid w:val="007A5F8D"/>
    <w:rsid w:val="007A6351"/>
    <w:rsid w:val="007B29A1"/>
    <w:rsid w:val="007C0717"/>
    <w:rsid w:val="007C387E"/>
    <w:rsid w:val="007C5C1C"/>
    <w:rsid w:val="007D48FB"/>
    <w:rsid w:val="007E0128"/>
    <w:rsid w:val="007E55F8"/>
    <w:rsid w:val="007F6FE4"/>
    <w:rsid w:val="008000A2"/>
    <w:rsid w:val="0080035C"/>
    <w:rsid w:val="00801868"/>
    <w:rsid w:val="00802E80"/>
    <w:rsid w:val="0080353A"/>
    <w:rsid w:val="00805844"/>
    <w:rsid w:val="0081226D"/>
    <w:rsid w:val="00812F60"/>
    <w:rsid w:val="00827C64"/>
    <w:rsid w:val="00833874"/>
    <w:rsid w:val="00835CCC"/>
    <w:rsid w:val="00843374"/>
    <w:rsid w:val="00845807"/>
    <w:rsid w:val="008504D8"/>
    <w:rsid w:val="0085215F"/>
    <w:rsid w:val="00853C81"/>
    <w:rsid w:val="00854A3F"/>
    <w:rsid w:val="00857537"/>
    <w:rsid w:val="008602E0"/>
    <w:rsid w:val="00873A22"/>
    <w:rsid w:val="00876D52"/>
    <w:rsid w:val="008809F3"/>
    <w:rsid w:val="00887214"/>
    <w:rsid w:val="008A08F6"/>
    <w:rsid w:val="008A2EDE"/>
    <w:rsid w:val="008A4A42"/>
    <w:rsid w:val="008A68A8"/>
    <w:rsid w:val="008B0149"/>
    <w:rsid w:val="008D2FCF"/>
    <w:rsid w:val="008D47A8"/>
    <w:rsid w:val="008D5947"/>
    <w:rsid w:val="008D5C77"/>
    <w:rsid w:val="008E6A28"/>
    <w:rsid w:val="008F29D0"/>
    <w:rsid w:val="008F3CC3"/>
    <w:rsid w:val="008F4C84"/>
    <w:rsid w:val="008F52D6"/>
    <w:rsid w:val="009034A7"/>
    <w:rsid w:val="00905037"/>
    <w:rsid w:val="00905F50"/>
    <w:rsid w:val="00910307"/>
    <w:rsid w:val="00917D15"/>
    <w:rsid w:val="009232A5"/>
    <w:rsid w:val="00927B04"/>
    <w:rsid w:val="00934DE8"/>
    <w:rsid w:val="00935D73"/>
    <w:rsid w:val="00945218"/>
    <w:rsid w:val="009647A2"/>
    <w:rsid w:val="00970376"/>
    <w:rsid w:val="00975BD7"/>
    <w:rsid w:val="00976552"/>
    <w:rsid w:val="00983BA0"/>
    <w:rsid w:val="009841B1"/>
    <w:rsid w:val="00991FA0"/>
    <w:rsid w:val="00993F9C"/>
    <w:rsid w:val="009A3A2E"/>
    <w:rsid w:val="009B2DEB"/>
    <w:rsid w:val="009B6F63"/>
    <w:rsid w:val="009C01E1"/>
    <w:rsid w:val="009C31C7"/>
    <w:rsid w:val="009C3539"/>
    <w:rsid w:val="009C73E9"/>
    <w:rsid w:val="009D0DFE"/>
    <w:rsid w:val="009E1489"/>
    <w:rsid w:val="009E34B1"/>
    <w:rsid w:val="009F1E40"/>
    <w:rsid w:val="009F273A"/>
    <w:rsid w:val="009F4BD9"/>
    <w:rsid w:val="009F585B"/>
    <w:rsid w:val="00A03DA3"/>
    <w:rsid w:val="00A0593F"/>
    <w:rsid w:val="00A05E4C"/>
    <w:rsid w:val="00A34E65"/>
    <w:rsid w:val="00A37426"/>
    <w:rsid w:val="00A452CD"/>
    <w:rsid w:val="00A55634"/>
    <w:rsid w:val="00A56F42"/>
    <w:rsid w:val="00A57ACB"/>
    <w:rsid w:val="00A602B8"/>
    <w:rsid w:val="00A654B7"/>
    <w:rsid w:val="00A71FA9"/>
    <w:rsid w:val="00A726DA"/>
    <w:rsid w:val="00A83808"/>
    <w:rsid w:val="00A862C1"/>
    <w:rsid w:val="00A869F7"/>
    <w:rsid w:val="00A8729F"/>
    <w:rsid w:val="00A902C1"/>
    <w:rsid w:val="00A90D56"/>
    <w:rsid w:val="00A944C6"/>
    <w:rsid w:val="00AA3911"/>
    <w:rsid w:val="00AA5241"/>
    <w:rsid w:val="00AB4997"/>
    <w:rsid w:val="00AB7403"/>
    <w:rsid w:val="00AC03FC"/>
    <w:rsid w:val="00AC2C96"/>
    <w:rsid w:val="00AC353A"/>
    <w:rsid w:val="00AC4EC2"/>
    <w:rsid w:val="00AD20A0"/>
    <w:rsid w:val="00AD419B"/>
    <w:rsid w:val="00AE04DE"/>
    <w:rsid w:val="00AE08E3"/>
    <w:rsid w:val="00AE57D0"/>
    <w:rsid w:val="00AE6822"/>
    <w:rsid w:val="00AE7F1B"/>
    <w:rsid w:val="00AE7F83"/>
    <w:rsid w:val="00AF6B6D"/>
    <w:rsid w:val="00B02E92"/>
    <w:rsid w:val="00B02F1C"/>
    <w:rsid w:val="00B04C05"/>
    <w:rsid w:val="00B06FCB"/>
    <w:rsid w:val="00B11F8C"/>
    <w:rsid w:val="00B20DD0"/>
    <w:rsid w:val="00B213AA"/>
    <w:rsid w:val="00B32B8D"/>
    <w:rsid w:val="00B33618"/>
    <w:rsid w:val="00B37745"/>
    <w:rsid w:val="00B41075"/>
    <w:rsid w:val="00B446B7"/>
    <w:rsid w:val="00B4642C"/>
    <w:rsid w:val="00B565A8"/>
    <w:rsid w:val="00B63E34"/>
    <w:rsid w:val="00B6711A"/>
    <w:rsid w:val="00B6761A"/>
    <w:rsid w:val="00B72B64"/>
    <w:rsid w:val="00B80E54"/>
    <w:rsid w:val="00B82FC9"/>
    <w:rsid w:val="00B8618E"/>
    <w:rsid w:val="00B9275A"/>
    <w:rsid w:val="00B95BE7"/>
    <w:rsid w:val="00B96606"/>
    <w:rsid w:val="00BB1868"/>
    <w:rsid w:val="00BB4CE7"/>
    <w:rsid w:val="00BB4D46"/>
    <w:rsid w:val="00BB70C2"/>
    <w:rsid w:val="00BC122C"/>
    <w:rsid w:val="00BC2CED"/>
    <w:rsid w:val="00BD347A"/>
    <w:rsid w:val="00BD3A5D"/>
    <w:rsid w:val="00BD497A"/>
    <w:rsid w:val="00BD5802"/>
    <w:rsid w:val="00BE29B5"/>
    <w:rsid w:val="00BE6825"/>
    <w:rsid w:val="00BF2930"/>
    <w:rsid w:val="00C02C97"/>
    <w:rsid w:val="00C104E9"/>
    <w:rsid w:val="00C352BD"/>
    <w:rsid w:val="00C36D45"/>
    <w:rsid w:val="00C477A1"/>
    <w:rsid w:val="00C503A5"/>
    <w:rsid w:val="00C50589"/>
    <w:rsid w:val="00C53CD1"/>
    <w:rsid w:val="00C549BB"/>
    <w:rsid w:val="00C55F5F"/>
    <w:rsid w:val="00C61E19"/>
    <w:rsid w:val="00C62DFA"/>
    <w:rsid w:val="00C6768E"/>
    <w:rsid w:val="00C820B2"/>
    <w:rsid w:val="00C90F72"/>
    <w:rsid w:val="00C91E7C"/>
    <w:rsid w:val="00C923EA"/>
    <w:rsid w:val="00C928DB"/>
    <w:rsid w:val="00C94FD9"/>
    <w:rsid w:val="00C9546D"/>
    <w:rsid w:val="00CA0369"/>
    <w:rsid w:val="00CA1009"/>
    <w:rsid w:val="00CA47FB"/>
    <w:rsid w:val="00CA64EC"/>
    <w:rsid w:val="00CB0433"/>
    <w:rsid w:val="00CB11AD"/>
    <w:rsid w:val="00CC14B9"/>
    <w:rsid w:val="00CC2370"/>
    <w:rsid w:val="00CC4DD9"/>
    <w:rsid w:val="00CC5C0D"/>
    <w:rsid w:val="00CD76FB"/>
    <w:rsid w:val="00CE3D6A"/>
    <w:rsid w:val="00CE47F8"/>
    <w:rsid w:val="00CE507C"/>
    <w:rsid w:val="00CE5ADD"/>
    <w:rsid w:val="00CF3178"/>
    <w:rsid w:val="00CF6747"/>
    <w:rsid w:val="00D023F1"/>
    <w:rsid w:val="00D024E1"/>
    <w:rsid w:val="00D214CF"/>
    <w:rsid w:val="00D24E0C"/>
    <w:rsid w:val="00D26B2D"/>
    <w:rsid w:val="00D34C44"/>
    <w:rsid w:val="00D351ED"/>
    <w:rsid w:val="00D4122C"/>
    <w:rsid w:val="00D45045"/>
    <w:rsid w:val="00D46B7E"/>
    <w:rsid w:val="00D523A8"/>
    <w:rsid w:val="00D634A1"/>
    <w:rsid w:val="00D63DE5"/>
    <w:rsid w:val="00D64EB6"/>
    <w:rsid w:val="00D7002D"/>
    <w:rsid w:val="00D70B43"/>
    <w:rsid w:val="00D72CE6"/>
    <w:rsid w:val="00D7429A"/>
    <w:rsid w:val="00D81E94"/>
    <w:rsid w:val="00D854A3"/>
    <w:rsid w:val="00D878BB"/>
    <w:rsid w:val="00D902ED"/>
    <w:rsid w:val="00D90514"/>
    <w:rsid w:val="00D9173D"/>
    <w:rsid w:val="00DB0DB4"/>
    <w:rsid w:val="00DB1106"/>
    <w:rsid w:val="00DB3336"/>
    <w:rsid w:val="00DC015B"/>
    <w:rsid w:val="00DD451A"/>
    <w:rsid w:val="00DD6184"/>
    <w:rsid w:val="00DD7101"/>
    <w:rsid w:val="00DE7038"/>
    <w:rsid w:val="00DE79B6"/>
    <w:rsid w:val="00DF77C8"/>
    <w:rsid w:val="00E0682B"/>
    <w:rsid w:val="00E10B7E"/>
    <w:rsid w:val="00E12408"/>
    <w:rsid w:val="00E14C9A"/>
    <w:rsid w:val="00E20DCF"/>
    <w:rsid w:val="00E25BC3"/>
    <w:rsid w:val="00E30CD7"/>
    <w:rsid w:val="00E37664"/>
    <w:rsid w:val="00E40947"/>
    <w:rsid w:val="00E4191B"/>
    <w:rsid w:val="00E41F2F"/>
    <w:rsid w:val="00E445CE"/>
    <w:rsid w:val="00E61065"/>
    <w:rsid w:val="00E616A3"/>
    <w:rsid w:val="00E6331F"/>
    <w:rsid w:val="00E65A0F"/>
    <w:rsid w:val="00E67135"/>
    <w:rsid w:val="00E70FC5"/>
    <w:rsid w:val="00E71551"/>
    <w:rsid w:val="00E7765F"/>
    <w:rsid w:val="00E84F7C"/>
    <w:rsid w:val="00E8545B"/>
    <w:rsid w:val="00E86604"/>
    <w:rsid w:val="00EA2576"/>
    <w:rsid w:val="00EB2017"/>
    <w:rsid w:val="00EB4D0D"/>
    <w:rsid w:val="00EE0E22"/>
    <w:rsid w:val="00EF04DF"/>
    <w:rsid w:val="00F03E65"/>
    <w:rsid w:val="00F05365"/>
    <w:rsid w:val="00F10DC7"/>
    <w:rsid w:val="00F13D4B"/>
    <w:rsid w:val="00F13F4D"/>
    <w:rsid w:val="00F25911"/>
    <w:rsid w:val="00F2629E"/>
    <w:rsid w:val="00F32B64"/>
    <w:rsid w:val="00F41080"/>
    <w:rsid w:val="00F5451A"/>
    <w:rsid w:val="00F54658"/>
    <w:rsid w:val="00F54E36"/>
    <w:rsid w:val="00F55D0A"/>
    <w:rsid w:val="00F627E1"/>
    <w:rsid w:val="00F65D86"/>
    <w:rsid w:val="00F7298D"/>
    <w:rsid w:val="00F852D5"/>
    <w:rsid w:val="00F9078E"/>
    <w:rsid w:val="00F93527"/>
    <w:rsid w:val="00FA076F"/>
    <w:rsid w:val="00FA3253"/>
    <w:rsid w:val="00FB1AD7"/>
    <w:rsid w:val="00FD1083"/>
    <w:rsid w:val="00FD2827"/>
    <w:rsid w:val="00FD44A9"/>
    <w:rsid w:val="00FD6329"/>
    <w:rsid w:val="00FF14B4"/>
    <w:rsid w:val="00FF4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E9E69"/>
  <w15:docId w15:val="{5B1C8ABE-F2C3-4224-AF21-9A86E0D05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903"/>
    <w:rPr>
      <w:rFonts w:ascii="Calibri" w:eastAsiaTheme="minorEastAsia"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D3903"/>
    <w:pPr>
      <w:tabs>
        <w:tab w:val="center" w:pos="4844"/>
        <w:tab w:val="right" w:pos="9689"/>
      </w:tabs>
      <w:spacing w:after="0" w:line="240" w:lineRule="auto"/>
    </w:pPr>
  </w:style>
  <w:style w:type="character" w:customStyle="1" w:styleId="FooterChar">
    <w:name w:val="Footer Char"/>
    <w:basedOn w:val="DefaultParagraphFont"/>
    <w:link w:val="Footer"/>
    <w:uiPriority w:val="99"/>
    <w:rsid w:val="002D3903"/>
    <w:rPr>
      <w:rFonts w:ascii="Calibri" w:eastAsiaTheme="minorEastAsia" w:hAnsi="Calibri" w:cs="Calibri"/>
    </w:rPr>
  </w:style>
  <w:style w:type="paragraph" w:styleId="NormalWeb">
    <w:name w:val="Normal (Web)"/>
    <w:basedOn w:val="Normal"/>
    <w:uiPriority w:val="99"/>
    <w:unhideWhenUsed/>
    <w:rsid w:val="002D390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D3903"/>
    <w:pPr>
      <w:ind w:left="720"/>
      <w:contextualSpacing/>
    </w:pPr>
  </w:style>
  <w:style w:type="paragraph" w:styleId="FootnoteText">
    <w:name w:val="footnote text"/>
    <w:basedOn w:val="Normal"/>
    <w:link w:val="FootnoteTextChar"/>
    <w:uiPriority w:val="99"/>
    <w:semiHidden/>
    <w:unhideWhenUsed/>
    <w:rsid w:val="00375A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5A8F"/>
    <w:rPr>
      <w:rFonts w:ascii="Calibri" w:eastAsiaTheme="minorEastAsia" w:hAnsi="Calibri" w:cs="Calibri"/>
      <w:sz w:val="20"/>
      <w:szCs w:val="20"/>
    </w:rPr>
  </w:style>
  <w:style w:type="character" w:styleId="FootnoteReference">
    <w:name w:val="footnote reference"/>
    <w:basedOn w:val="DefaultParagraphFont"/>
    <w:uiPriority w:val="99"/>
    <w:semiHidden/>
    <w:unhideWhenUsed/>
    <w:rsid w:val="00375A8F"/>
    <w:rPr>
      <w:vertAlign w:val="superscript"/>
    </w:rPr>
  </w:style>
  <w:style w:type="character" w:styleId="Hyperlink">
    <w:name w:val="Hyperlink"/>
    <w:basedOn w:val="DefaultParagraphFont"/>
    <w:uiPriority w:val="99"/>
    <w:unhideWhenUsed/>
    <w:rsid w:val="002A197A"/>
    <w:rPr>
      <w:color w:val="0000FF" w:themeColor="hyperlink"/>
      <w:u w:val="single"/>
    </w:rPr>
  </w:style>
  <w:style w:type="character" w:styleId="CommentReference">
    <w:name w:val="annotation reference"/>
    <w:basedOn w:val="DefaultParagraphFont"/>
    <w:uiPriority w:val="99"/>
    <w:semiHidden/>
    <w:unhideWhenUsed/>
    <w:rsid w:val="00D70B43"/>
    <w:rPr>
      <w:sz w:val="16"/>
      <w:szCs w:val="16"/>
    </w:rPr>
  </w:style>
  <w:style w:type="paragraph" w:styleId="CommentText">
    <w:name w:val="annotation text"/>
    <w:basedOn w:val="Normal"/>
    <w:link w:val="CommentTextChar"/>
    <w:uiPriority w:val="99"/>
    <w:semiHidden/>
    <w:unhideWhenUsed/>
    <w:rsid w:val="00D70B43"/>
    <w:pPr>
      <w:spacing w:line="240" w:lineRule="auto"/>
    </w:pPr>
    <w:rPr>
      <w:sz w:val="20"/>
      <w:szCs w:val="20"/>
    </w:rPr>
  </w:style>
  <w:style w:type="character" w:customStyle="1" w:styleId="CommentTextChar">
    <w:name w:val="Comment Text Char"/>
    <w:basedOn w:val="DefaultParagraphFont"/>
    <w:link w:val="CommentText"/>
    <w:uiPriority w:val="99"/>
    <w:semiHidden/>
    <w:rsid w:val="00D70B43"/>
    <w:rPr>
      <w:rFonts w:ascii="Calibri" w:eastAsiaTheme="minorEastAsia" w:hAnsi="Calibri" w:cs="Calibri"/>
      <w:sz w:val="20"/>
      <w:szCs w:val="20"/>
    </w:rPr>
  </w:style>
  <w:style w:type="paragraph" w:styleId="CommentSubject">
    <w:name w:val="annotation subject"/>
    <w:basedOn w:val="CommentText"/>
    <w:next w:val="CommentText"/>
    <w:link w:val="CommentSubjectChar"/>
    <w:uiPriority w:val="99"/>
    <w:semiHidden/>
    <w:unhideWhenUsed/>
    <w:rsid w:val="00D70B43"/>
    <w:rPr>
      <w:b/>
      <w:bCs/>
    </w:rPr>
  </w:style>
  <w:style w:type="character" w:customStyle="1" w:styleId="CommentSubjectChar">
    <w:name w:val="Comment Subject Char"/>
    <w:basedOn w:val="CommentTextChar"/>
    <w:link w:val="CommentSubject"/>
    <w:uiPriority w:val="99"/>
    <w:semiHidden/>
    <w:rsid w:val="00D70B43"/>
    <w:rPr>
      <w:rFonts w:ascii="Calibri" w:eastAsiaTheme="minorEastAsia" w:hAnsi="Calibri" w:cs="Calibri"/>
      <w:b/>
      <w:bCs/>
      <w:sz w:val="20"/>
      <w:szCs w:val="20"/>
    </w:rPr>
  </w:style>
  <w:style w:type="paragraph" w:styleId="BalloonText">
    <w:name w:val="Balloon Text"/>
    <w:basedOn w:val="Normal"/>
    <w:link w:val="BalloonTextChar"/>
    <w:uiPriority w:val="99"/>
    <w:semiHidden/>
    <w:unhideWhenUsed/>
    <w:rsid w:val="00D70B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B43"/>
    <w:rPr>
      <w:rFonts w:ascii="Segoe UI" w:eastAsiaTheme="minorEastAsia" w:hAnsi="Segoe UI" w:cs="Segoe UI"/>
      <w:sz w:val="18"/>
      <w:szCs w:val="18"/>
    </w:rPr>
  </w:style>
  <w:style w:type="character" w:styleId="Strong">
    <w:name w:val="Strong"/>
    <w:basedOn w:val="DefaultParagraphFont"/>
    <w:uiPriority w:val="22"/>
    <w:qFormat/>
    <w:rsid w:val="001D741A"/>
    <w:rPr>
      <w:b/>
      <w:bCs/>
    </w:rPr>
  </w:style>
  <w:style w:type="paragraph" w:styleId="BodyText">
    <w:name w:val="Body Text"/>
    <w:basedOn w:val="Normal"/>
    <w:link w:val="BodyTextChar"/>
    <w:uiPriority w:val="99"/>
    <w:semiHidden/>
    <w:unhideWhenUsed/>
    <w:rsid w:val="007830C4"/>
    <w:pPr>
      <w:spacing w:after="120"/>
    </w:pPr>
  </w:style>
  <w:style w:type="character" w:customStyle="1" w:styleId="BodyTextChar">
    <w:name w:val="Body Text Char"/>
    <w:basedOn w:val="DefaultParagraphFont"/>
    <w:link w:val="BodyText"/>
    <w:uiPriority w:val="99"/>
    <w:semiHidden/>
    <w:rsid w:val="007830C4"/>
    <w:rPr>
      <w:rFonts w:ascii="Calibri" w:eastAsiaTheme="minorEastAsia"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65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DEF333-4B2F-4CAB-A5BC-8ACEB7C3E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1631</Words>
  <Characters>9299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https:/mul2.gov.am/tasks/1189867/oneclick?token=6529e5ea7343ba24ac7ccfb664552214</cp:keywords>
  <dc:description/>
  <cp:lastModifiedBy>Anahit Mnatsakanyan</cp:lastModifiedBy>
  <cp:revision>2</cp:revision>
  <dcterms:created xsi:type="dcterms:W3CDTF">2025-07-30T05:38:00Z</dcterms:created>
  <dcterms:modified xsi:type="dcterms:W3CDTF">2025-07-30T05:38:00Z</dcterms:modified>
</cp:coreProperties>
</file>