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F2" w:rsidRPr="00120F86" w:rsidRDefault="00F22CAE" w:rsidP="00D35FCA">
      <w:pPr>
        <w:spacing w:after="0" w:line="288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20F86">
        <w:rPr>
          <w:rFonts w:ascii="GHEA Grapalat" w:hAnsi="GHEA Grapalat" w:cs="Sylfaen"/>
          <w:b/>
          <w:spacing w:val="40"/>
          <w:sz w:val="24"/>
          <w:szCs w:val="24"/>
          <w:lang w:val="hy-AM"/>
        </w:rPr>
        <w:t>ՏԵՂԵԿԱՆՔ</w:t>
      </w:r>
    </w:p>
    <w:p w:rsidR="00513695" w:rsidRPr="00120F86" w:rsidRDefault="004703ED" w:rsidP="00D35FCA">
      <w:pPr>
        <w:spacing w:after="0" w:line="288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>«ՄԱՐԶԱԿԱՆ ՄՐՑՈՒՄՆԵՐԻ ՄԵՔԵՆԱՅՈՒԹՅՈՒՆՆԵՐԻ ՄԱՍԻՆ»</w:t>
      </w:r>
      <w:r w:rsidR="007B3295"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B3295" w:rsidRPr="00120F8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(</w:t>
      </w:r>
      <w:r w:rsidR="00D35FCA"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7B3295" w:rsidRPr="00120F8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MACOLIN CONVENTION</w:t>
      </w:r>
      <w:r w:rsidR="00D35FCA"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7B3295" w:rsidRPr="00120F8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) </w:t>
      </w:r>
      <w:r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ԵՎՐՈՊԱՅԻ ԽՈՐՀՐԴԻ ԿՈՆՎԵՆՑԻԱՅԻ </w:t>
      </w:r>
      <w:r w:rsidR="00734A7A" w:rsidRPr="00120F86">
        <w:rPr>
          <w:rFonts w:ascii="GHEA Grapalat" w:hAnsi="GHEA Grapalat"/>
          <w:b/>
          <w:color w:val="000000"/>
          <w:sz w:val="24"/>
          <w:szCs w:val="24"/>
          <w:lang w:val="hy-AM"/>
        </w:rPr>
        <w:t>ՎԱՎԵՐԱՑՄԱՆ ՆՊԱՏԱԿԱՀԱՐՄԱՐՈՒԹՅԱՆ ՎԵՐԱԲԵՐՅԱԼ</w:t>
      </w:r>
      <w:r w:rsidR="00A33A39" w:rsidRPr="00120F86">
        <w:rPr>
          <w:rFonts w:ascii="GHEA Grapalat" w:hAnsi="GHEA Grapalat"/>
          <w:caps/>
          <w:color w:val="000000"/>
          <w:sz w:val="24"/>
          <w:szCs w:val="24"/>
          <w:lang w:val="hy-AM"/>
        </w:rPr>
        <w:br/>
      </w:r>
    </w:p>
    <w:p w:rsidR="00120F86" w:rsidRPr="0041068E" w:rsidRDefault="004703ED" w:rsidP="00120F86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20F86">
        <w:rPr>
          <w:rFonts w:ascii="GHEA Grapalat" w:hAnsi="GHEA Grapalat"/>
          <w:sz w:val="24"/>
          <w:szCs w:val="24"/>
          <w:lang w:val="hy-AM"/>
        </w:rPr>
        <w:t xml:space="preserve">«Մարզական մրցումների մեքենայությունների մասին» </w:t>
      </w:r>
      <w:r w:rsidR="007B3295" w:rsidRPr="00120F86">
        <w:rPr>
          <w:rFonts w:ascii="GHEA Grapalat" w:hAnsi="GHEA Grapalat"/>
          <w:sz w:val="24"/>
          <w:szCs w:val="24"/>
          <w:lang w:val="hy-AM"/>
        </w:rPr>
        <w:t>(Macolin Convention)</w:t>
      </w:r>
      <w:r w:rsidR="007B3295" w:rsidRPr="00120F8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120F86">
        <w:rPr>
          <w:rFonts w:ascii="GHEA Grapalat" w:hAnsi="GHEA Grapalat"/>
          <w:sz w:val="24"/>
          <w:szCs w:val="24"/>
          <w:lang w:val="hy-AM"/>
        </w:rPr>
        <w:t>Եվրոպայի խորհրդի կոնվենցիա</w:t>
      </w:r>
      <w:r w:rsidR="00120F86" w:rsidRPr="00120F86">
        <w:rPr>
          <w:rFonts w:ascii="GHEA Grapalat" w:hAnsi="GHEA Grapalat"/>
          <w:sz w:val="24"/>
          <w:szCs w:val="24"/>
          <w:lang w:val="hy-AM"/>
        </w:rPr>
        <w:t>ն</w:t>
      </w:r>
      <w:r w:rsidRPr="00120F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4B5" w:rsidRPr="00120F86">
        <w:rPr>
          <w:rFonts w:ascii="GHEA Grapalat" w:hAnsi="GHEA Grapalat"/>
          <w:sz w:val="24"/>
          <w:szCs w:val="24"/>
          <w:lang w:val="hy-AM"/>
        </w:rPr>
        <w:t>(այսուհետ՝ Կոնվենցիա)</w:t>
      </w:r>
      <w:r w:rsidR="00DD540A" w:rsidRPr="00120F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0F86"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միտված է կանխել արդյունքների արհեստական փոփոխումը, պահպանել մրցումների անկանխատեսելի բնույթը, ինչն առանցքային է արդար խաղի և սպորտի հեղինակության համար:</w:t>
      </w:r>
    </w:p>
    <w:p w:rsidR="00EF57DD" w:rsidRPr="00120F86" w:rsidRDefault="00EF57DD" w:rsidP="00EF57DD">
      <w:pPr>
        <w:spacing w:after="0" w:line="288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20F86">
        <w:rPr>
          <w:rFonts w:ascii="GHEA Grapalat" w:hAnsi="GHEA Grapalat" w:cs="Sylfaen"/>
          <w:sz w:val="24"/>
          <w:szCs w:val="24"/>
          <w:lang w:val="hy-AM"/>
        </w:rPr>
        <w:t xml:space="preserve">Համաձայն Կոնվենցիայի յուրաքանչյուր Կողմ մարզական կազմակերպություններին, մարզական խաղադրույքների օպերատորներին, մրցույթների կազմակերպիչներին և յուրաքանչյուր այլ կազմակերպությանը խրախուսում է մարզական մրցումների մեքենայությունների դեմ պայքարելու համար սահմանել ընթացակարգեր և կանոններ ու անհրաժեշտության դեպքում ձեռնարկում է այնպիսի օրենսդրական կամ այլ միջոցներ, որոնք անհրաժեշտ են նպատակին հասնելու համար։ </w:t>
      </w:r>
    </w:p>
    <w:p w:rsidR="00EF57DD" w:rsidRPr="00120F86" w:rsidRDefault="00EF57DD" w:rsidP="00EF57DD">
      <w:pPr>
        <w:spacing w:after="0" w:line="288" w:lineRule="auto"/>
        <w:ind w:left="90" w:right="24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0F86">
        <w:rPr>
          <w:rFonts w:ascii="GHEA Grapalat" w:hAnsi="GHEA Grapalat" w:cs="Sylfaen"/>
          <w:sz w:val="24"/>
          <w:szCs w:val="24"/>
          <w:lang w:val="hy-AM"/>
        </w:rPr>
        <w:t>Կոնվենցիայի Կողմերը խրախուսում են մարզական կազմակերպություններին և մրցումների կազմակերպիչներին ընդունել ու իրականացնել մարզական մրցումների մեքենայությունների դեմ ուղղված կանոններ և լավ կառավարման սկզբունքներ: Դրանք ներառում են շահերի բախման կանխարգելում՝ արգելելով մրցումներում ներգրավված շահառուներին խաղադրույքներ կատարելը, ինչպես նաև ներքին տեղեկատվության չարաշահումը:</w:t>
      </w:r>
    </w:p>
    <w:p w:rsidR="00EF57DD" w:rsidRPr="00120F86" w:rsidRDefault="00EF57DD" w:rsidP="00EF57DD">
      <w:pPr>
        <w:spacing w:after="0" w:line="288" w:lineRule="auto"/>
        <w:ind w:left="90" w:right="24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0F86">
        <w:rPr>
          <w:rFonts w:ascii="GHEA Grapalat" w:hAnsi="GHEA Grapalat" w:cs="Sylfaen"/>
          <w:sz w:val="24"/>
          <w:szCs w:val="24"/>
          <w:lang w:val="hy-AM"/>
        </w:rPr>
        <w:t xml:space="preserve">Խրախուսում են նաև մարզական կազմակերպություններին ընդունել և իրականացնել համապատասխան միջոցառումներ՝ ապահովելու մեքենայությունների ռիսկի ենթակա մրցումների արդյունավետ մշտադիտարկում, կասկածելի գործունեության անհապաղ զեկուցում համապատասխան մարմիններին: </w:t>
      </w:r>
    </w:p>
    <w:p w:rsidR="00EF57DD" w:rsidRPr="00120F86" w:rsidRDefault="00EF57DD" w:rsidP="00EF57DD">
      <w:pPr>
        <w:spacing w:after="0" w:line="288" w:lineRule="auto"/>
        <w:ind w:left="90" w:right="24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0F86">
        <w:rPr>
          <w:rFonts w:ascii="GHEA Grapalat" w:hAnsi="GHEA Grapalat" w:cs="Sylfaen"/>
          <w:sz w:val="24"/>
          <w:szCs w:val="24"/>
          <w:lang w:val="hy-AM"/>
        </w:rPr>
        <w:t xml:space="preserve">Մարզական մրցումների ընթացքում ներքին տեղեկատվությունների օգտագործման և շահերի բախման կանխարգելման նպատակով Կոնվենցիայով սահմանված են կարգավորումներ այն անձանց շրջանակի վերաբերյալ, ում մասնակցությունը մարզական խաղադրույքներին պետք է սահմանափակվի։ Այն  ներառում է արգելքներ խաղադրույքների արտադրանքում ներգրավված անձանց խաղադրույքներ կատարելու, մարզական կազմակերպությունների հովանավորների կամ սեփականատերերի կողմից իրենց դիրքի չարաշահման, </w:t>
      </w:r>
      <w:r w:rsidRPr="00120F8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ինչպես նաև մրցումների շահագրգիռ կողմերի կամ խաղադրույքների օպերատորների կողմից կոնֆլիկտային իրավիճակներ ստեղծելու նկատմամբ: </w:t>
      </w:r>
    </w:p>
    <w:p w:rsidR="00120F86" w:rsidRPr="00EF57DD" w:rsidRDefault="00120F86" w:rsidP="00120F86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Քանի որ մեքենայությունները խաթարում են սպորտի էթիկական հիմքերը, Կոնվենցիան կարևոր դեր ունի բարոյական չափանիշները ամրապնդելու գործում</w:t>
      </w:r>
      <w:r w:rsidRPr="00EF57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խթանում է համագործակցությունը տարբեր երկրների պետական մարմինների և մասնավոր կազմակերպությունների միջև՝ համատեղ պայքարի արդյունավետության համար:</w:t>
      </w:r>
      <w:r w:rsidRPr="00EF57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Չնայած պետական միջամտությանը, Կոնվենցիան ընդունում է սպորտի ինքնավարությունը և աջակցում է դրա պահպանմանը՝ հավասարակշռված մոտեցում ապահովելով</w:t>
      </w:r>
      <w:r w:rsidRPr="00EF57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EF57DD" w:rsidRPr="0041068E" w:rsidRDefault="00120F86" w:rsidP="00EF57DD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Պայքարը մեքենայությունների դեմ կատարվում է մարդու իրավունքների, օրինականության, համաչափության և անձնական տվյալների պաշտպանության հիման վրա:</w:t>
      </w:r>
      <w:r w:rsidRPr="00EF57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սահմանում է անօրինական, անկանոն և կասկածելի խաղադրույքների տեսակները՝ հնարավորություն տալով պետություններին վերահսկել և կանխել ֆինանսական մեքենայությունները:</w:t>
      </w:r>
    </w:p>
    <w:p w:rsidR="00EF57DD" w:rsidRPr="00EB4F32" w:rsidRDefault="00120F86" w:rsidP="00EF57DD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Կոնվենցիան </w:t>
      </w:r>
      <w:proofErr w:type="spellStart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կարևորում</w:t>
      </w:r>
      <w:proofErr w:type="spellEnd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կրթական ծրագրերը և հասարակության </w:t>
      </w:r>
      <w:proofErr w:type="spellStart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իրազեկումը</w:t>
      </w:r>
      <w:proofErr w:type="spellEnd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proofErr w:type="spellStart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>սպորտում</w:t>
      </w:r>
      <w:proofErr w:type="spellEnd"/>
      <w:r w:rsidRPr="00120F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չարաշահումները կանխարգելելու նպատակով:</w:t>
      </w:r>
      <w:r w:rsidR="00EF57DD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կարող է ծառայել որպես խթան համապատասխան օրենսդրության ընդունման կամ վերանայման համար՝ ազգային մակարդակում ոլորտը կարգավորելու նպատակով: Այն խրախուսում է շահերի բախման կանխարգելումը, թափանցիկությունը, հաշվետվությունը, ինչն առաջ է մղում բարեվարք և վստահելի կառավարման մշակույթ սպորտում:</w:t>
      </w:r>
    </w:p>
    <w:p w:rsidR="00EF57DD" w:rsidRPr="00EB4F32" w:rsidRDefault="00120F86" w:rsidP="00EF57DD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Կոնվենցիայի շրջանակում խրախուսվում են կիրառել մեխանիզմներ, որոնք պարզեցնում են կասկածելի գործողությունների մասին տեղեկատվության փոխանցումը և պաշտպանությունը ահազանգողների համար</w:t>
      </w:r>
      <w:r w:rsidR="00EF57DD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Կոնվենցիան սահմանում է, որ պետական ֆինանսավորում ստացող կազմակերպությունները հաշվետու լինեն՝ </w:t>
      </w:r>
      <w:r w:rsidR="0041068E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հնարավոր չարաշահումները դիմակայելու համար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F57DD" w:rsidRPr="00EB4F32" w:rsidRDefault="00120F86" w:rsidP="00EF57DD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Կոնվենցիան նախատեսում է համաչափ, արդյունավետ և տարհամոզիչ միջոցների համալիր՝ դրամական տույժերից մինչև գործունեության արգելք, ապահովելով պատժի ճկունություն ըստ խախտման տեսակի:</w:t>
      </w:r>
      <w:r w:rsidR="00EF57DD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Կոնվենցիայի մասնակից Կողմերը պարտավորվում են տրամադրել համապատասխան տեղեկատվություն ձեռնարկված միջոցների մասին, ինչն ապահովում է միմյանց փորձի ուսումնասիրումն ու ներդաշնակեցումը:</w:t>
      </w:r>
    </w:p>
    <w:p w:rsidR="00120F86" w:rsidRPr="00120F86" w:rsidRDefault="00EF57DD" w:rsidP="00EF57DD">
      <w:pPr>
        <w:spacing w:after="0" w:line="288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է ստեղծել նաև հ</w:t>
      </w:r>
      <w:r w:rsidR="00120F86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սկիչ հանձնաժողով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 կազմում </w:t>
      </w:r>
      <w:r w:rsidR="00120F86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ներգրավվում են տարբեր ոլորտների՝ սպորտի, իրավապահ և խաղադրույքները վերահսկող մարմինների ներկայացուցիչներ, ինչն ապահովում է լայն և համալիր մոտեցում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120F86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Հանձնաժողովը կարող է ներկայացնել առաջարկություններ կոնկրետ միջոցների վերաբերյալ՝ նպաստելով համախմբվա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 միջազգային պայքարի 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ձևավորմանը: </w:t>
      </w:r>
      <w:r w:rsidR="00120F86"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Հանձնաժողովը կարող է կազմակերպել փորձագետների հանդիպումներ՝ փորձի փոխանակման, վերլուծության և ռազմավարությունների քննարկման նպատակով</w:t>
      </w:r>
      <w:r w:rsidRPr="00EB4F3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B715C" w:rsidRPr="00EB4F32" w:rsidRDefault="00FB715C" w:rsidP="00D35FCA">
      <w:pPr>
        <w:pStyle w:val="Bodytext20"/>
        <w:shd w:val="clear" w:color="auto" w:fill="auto"/>
        <w:tabs>
          <w:tab w:val="left" w:pos="1134"/>
        </w:tabs>
        <w:spacing w:before="0" w:after="0" w:line="288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EB4F32">
        <w:rPr>
          <w:rFonts w:ascii="GHEA Grapalat" w:hAnsi="GHEA Grapalat"/>
          <w:b/>
          <w:sz w:val="24"/>
          <w:szCs w:val="24"/>
          <w:lang w:val="hy-AM"/>
        </w:rPr>
        <w:t>Փաստաթղթի կնքումը բխում է՝</w:t>
      </w:r>
    </w:p>
    <w:p w:rsidR="00FE1A1A" w:rsidRPr="00120F86" w:rsidRDefault="006B0A1D" w:rsidP="00FE1A1A">
      <w:pPr>
        <w:pStyle w:val="Bodytext20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88" w:lineRule="auto"/>
        <w:ind w:left="0" w:firstLine="360"/>
        <w:rPr>
          <w:rFonts w:ascii="GHEA Grapalat" w:hAnsi="GHEA Grapalat"/>
          <w:color w:val="000000"/>
          <w:sz w:val="24"/>
          <w:szCs w:val="24"/>
          <w:lang w:val="hy-AM"/>
        </w:rPr>
      </w:pPr>
      <w:r w:rsidRPr="00120F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նոյեմբերի 18-ի N 1902-Լ </w:t>
      </w:r>
      <w:r w:rsidRPr="00120F86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հաստատված Հայաստանի Հանրապետության կառավարության 2021-2026 թվականների գործունեության միջոցառումների ծրագրի </w:t>
      </w:r>
      <w:r w:rsidR="00FE1A1A" w:rsidRPr="00120F86">
        <w:rPr>
          <w:rFonts w:ascii="GHEA Grapalat" w:hAnsi="GHEA Grapalat"/>
          <w:color w:val="000000"/>
          <w:sz w:val="24"/>
          <w:szCs w:val="24"/>
          <w:lang w:val="hy-AM"/>
        </w:rPr>
        <w:t>«Արտաքին գործերի նախարարություն» բաժնի 8-րդ կետ՝ «Եվրոպայի խորհրդում ՀՀ ակտիվ ներգրավվածություն և նախաձեռնողական քաղաքականություն:»:</w:t>
      </w:r>
    </w:p>
    <w:p w:rsidR="00A0391D" w:rsidRPr="00A0391D" w:rsidRDefault="006B0A1D" w:rsidP="00A0391D">
      <w:pPr>
        <w:pStyle w:val="Bodytext20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88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A0391D">
        <w:rPr>
          <w:rFonts w:ascii="GHEA Grapalat" w:hAnsi="GHEA Grapalat"/>
          <w:sz w:val="24"/>
          <w:szCs w:val="24"/>
          <w:lang w:val="hy-AM"/>
        </w:rPr>
        <w:t xml:space="preserve">ՀՀ կառավարություն 2023 թվականի </w:t>
      </w:r>
      <w:r w:rsidR="00A0391D" w:rsidRPr="00A0391D">
        <w:rPr>
          <w:rFonts w:ascii="GHEA Grapalat" w:hAnsi="GHEA Grapalat"/>
          <w:sz w:val="24"/>
          <w:szCs w:val="24"/>
          <w:lang w:val="hy-AM"/>
        </w:rPr>
        <w:t xml:space="preserve">դեկտեմբերի </w:t>
      </w:r>
      <w:r w:rsidRPr="00A0391D">
        <w:rPr>
          <w:rFonts w:ascii="GHEA Grapalat" w:hAnsi="GHEA Grapalat"/>
          <w:sz w:val="24"/>
          <w:szCs w:val="24"/>
          <w:lang w:val="hy-AM"/>
        </w:rPr>
        <w:t>7-ի «Հայաստանի Հանրապետության ֆիզիկական կուլտ</w:t>
      </w:r>
      <w:r w:rsidR="00A0391D" w:rsidRPr="00A0391D">
        <w:rPr>
          <w:rFonts w:ascii="GHEA Grapalat" w:hAnsi="GHEA Grapalat"/>
          <w:sz w:val="24"/>
          <w:szCs w:val="24"/>
          <w:lang w:val="hy-AM"/>
        </w:rPr>
        <w:t>ուրայի և սպորտի ոլորտների 2024-</w:t>
      </w:r>
      <w:r w:rsidRPr="00A0391D">
        <w:rPr>
          <w:rFonts w:ascii="GHEA Grapalat" w:hAnsi="GHEA Grapalat"/>
          <w:sz w:val="24"/>
          <w:szCs w:val="24"/>
          <w:lang w:val="hy-AM"/>
        </w:rPr>
        <w:t>2030 թվականների զարգացման ռազմավարությունը և ռազմավարության գործողությունների պլանը հաստատելու մասին» N 2145-Լ որոշմամբ հաստատված</w:t>
      </w:r>
      <w:r w:rsidR="00A0391D" w:rsidRPr="00A0391D">
        <w:rPr>
          <w:rFonts w:ascii="GHEA Grapalat" w:hAnsi="GHEA Grapalat"/>
          <w:sz w:val="24"/>
          <w:szCs w:val="24"/>
          <w:lang w:val="hy-AM"/>
        </w:rPr>
        <w:t xml:space="preserve"> N1 հավելվածի 71-րդ՝ «Ռազմավարական ուղղություններ.» կետի, 3) ենթակետ՝ «մարզական մրցումների մեքենայությունների հնարավոր կամ փաստացի դեպքերի վերաբերյալ տեղեկատվության բացահայտման մեխանիզմների ստեղծում, այդ թվում՝ տեղեկատվական հարթակի ստեղծում և օրենսդրական դաշտի կատարելագործում: Ֆիզիկական կուլտուրայի և սպորտի միջազգային կառույցների հետ փոխհամագործակցության զարգացում.», ինչպես նաև N2 հավելվածի  «Ֆիզիկական կուլտուրայի և սպորտի բնագավառի միջազգայնացում բաժնի» Գործողություն 4. «Մարզական մրցումների մեքենայությունների հնարավոր կամ փաստացի դեպքերի վերաբերյալ տեղեկատվության բացահայտման մեխանիզմների ստեղծում, այդ թվում՝ տեղեկատվական հարթակի ստեղծում և օրենսդրական դաշտի կատարելագործում»:</w:t>
      </w:r>
    </w:p>
    <w:p w:rsidR="001E3D50" w:rsidRPr="00120F86" w:rsidRDefault="001E3D50" w:rsidP="00D35FCA">
      <w:pPr>
        <w:spacing w:after="0" w:line="288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20F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Ելնելով վերոգրյալից՝ ՀՀ կրթության, գիտության, մշակույթի և սպորտի նախարարությունը նպատակահարմար է համարում </w:t>
      </w:r>
      <w:r w:rsidR="004703ED" w:rsidRPr="00120F86">
        <w:rPr>
          <w:rFonts w:ascii="GHEA Grapalat" w:eastAsia="GHEA Grapalat" w:hAnsi="GHEA Grapalat" w:cs="GHEA Grapalat"/>
          <w:sz w:val="24"/>
          <w:szCs w:val="24"/>
          <w:lang w:val="hy-AM"/>
        </w:rPr>
        <w:t>Կոնվենցիայի վավերացումը</w:t>
      </w:r>
      <w:r w:rsidRPr="00120F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965B2" w:rsidRPr="00120F86" w:rsidRDefault="00F965B2" w:rsidP="00D35FCA">
      <w:pPr>
        <w:spacing w:after="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762AB" w:rsidRPr="00120F86" w:rsidRDefault="00E762AB" w:rsidP="00D35FCA">
      <w:pPr>
        <w:spacing w:after="0" w:line="288" w:lineRule="auto"/>
        <w:ind w:firstLine="720"/>
        <w:jc w:val="both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bookmarkStart w:id="0" w:name="_GoBack"/>
      <w:r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ՀՀ ԿՐԹՈՒԹՅԱՆ, ԳԻՏՈՒԹՅԱՆ,</w:t>
      </w:r>
    </w:p>
    <w:p w:rsidR="00E762AB" w:rsidRPr="00120F86" w:rsidRDefault="00E762AB" w:rsidP="00D35FCA">
      <w:pPr>
        <w:spacing w:after="0" w:line="288" w:lineRule="auto"/>
        <w:ind w:left="720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ՄՇԱԿՈՒՅԹԻ ԵՎ ՍՊՈՐՏԻ</w:t>
      </w:r>
    </w:p>
    <w:p w:rsidR="004132D4" w:rsidRPr="00120F86" w:rsidRDefault="00010885" w:rsidP="00D35FCA">
      <w:pPr>
        <w:spacing w:after="0" w:line="288" w:lineRule="auto"/>
        <w:ind w:left="720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ՆԱԽԱՐԱՐ</w:t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 </w:t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  <w:t xml:space="preserve">  </w:t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</w:rPr>
        <w:tab/>
      </w:r>
      <w:r>
        <w:rPr>
          <w:rFonts w:ascii="GHEA Grapalat" w:hAnsi="GHEA Grapalat" w:cs="Arial"/>
          <w:b/>
          <w:sz w:val="24"/>
          <w:szCs w:val="24"/>
          <w:shd w:val="clear" w:color="auto" w:fill="FFFFFF"/>
        </w:rPr>
        <w:tab/>
      </w:r>
      <w:bookmarkEnd w:id="0"/>
      <w:r w:rsidR="00E762AB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ԺԱՆՆԱ ԱՆԴՐԵԱՍՅԱ</w:t>
      </w:r>
      <w:r w:rsidR="004132D4" w:rsidRPr="00120F8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Ն</w:t>
      </w:r>
    </w:p>
    <w:sectPr w:rsidR="004132D4" w:rsidRPr="00120F86" w:rsidSect="00D35FCA">
      <w:pgSz w:w="11907" w:h="16839" w:code="9"/>
      <w:pgMar w:top="136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262"/>
    <w:multiLevelType w:val="hybridMultilevel"/>
    <w:tmpl w:val="20801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37CC5"/>
    <w:rsid w:val="00000EE5"/>
    <w:rsid w:val="00010885"/>
    <w:rsid w:val="000223B6"/>
    <w:rsid w:val="00023684"/>
    <w:rsid w:val="00024629"/>
    <w:rsid w:val="00045F7C"/>
    <w:rsid w:val="00060EBD"/>
    <w:rsid w:val="000726E0"/>
    <w:rsid w:val="00086B72"/>
    <w:rsid w:val="000A4CC9"/>
    <w:rsid w:val="000C3A3B"/>
    <w:rsid w:val="000D7796"/>
    <w:rsid w:val="000E6D38"/>
    <w:rsid w:val="00116BFE"/>
    <w:rsid w:val="00120F86"/>
    <w:rsid w:val="00121E34"/>
    <w:rsid w:val="00134A24"/>
    <w:rsid w:val="00137CC5"/>
    <w:rsid w:val="00160571"/>
    <w:rsid w:val="0016664B"/>
    <w:rsid w:val="00170BEA"/>
    <w:rsid w:val="00197F48"/>
    <w:rsid w:val="001A234B"/>
    <w:rsid w:val="001D3552"/>
    <w:rsid w:val="001D3E01"/>
    <w:rsid w:val="001D75FD"/>
    <w:rsid w:val="001E3D50"/>
    <w:rsid w:val="00253826"/>
    <w:rsid w:val="002751C9"/>
    <w:rsid w:val="00297A8A"/>
    <w:rsid w:val="002A7661"/>
    <w:rsid w:val="002A77DC"/>
    <w:rsid w:val="002D7089"/>
    <w:rsid w:val="002E4AA6"/>
    <w:rsid w:val="002E5E5F"/>
    <w:rsid w:val="002E770E"/>
    <w:rsid w:val="002F39F2"/>
    <w:rsid w:val="0030663C"/>
    <w:rsid w:val="0031704C"/>
    <w:rsid w:val="003170ED"/>
    <w:rsid w:val="00326D22"/>
    <w:rsid w:val="00361214"/>
    <w:rsid w:val="00364BDB"/>
    <w:rsid w:val="003721F6"/>
    <w:rsid w:val="003C2B67"/>
    <w:rsid w:val="003F5787"/>
    <w:rsid w:val="00401C25"/>
    <w:rsid w:val="0041068E"/>
    <w:rsid w:val="004132D4"/>
    <w:rsid w:val="004703ED"/>
    <w:rsid w:val="004A3F62"/>
    <w:rsid w:val="004C04B5"/>
    <w:rsid w:val="004D1BC5"/>
    <w:rsid w:val="004E0DD5"/>
    <w:rsid w:val="004E3936"/>
    <w:rsid w:val="00513695"/>
    <w:rsid w:val="00516E6A"/>
    <w:rsid w:val="00551BB0"/>
    <w:rsid w:val="005F106F"/>
    <w:rsid w:val="005F2294"/>
    <w:rsid w:val="006244AC"/>
    <w:rsid w:val="0067000C"/>
    <w:rsid w:val="006922C2"/>
    <w:rsid w:val="006B0A1D"/>
    <w:rsid w:val="006D29C3"/>
    <w:rsid w:val="00725FF4"/>
    <w:rsid w:val="00734A7A"/>
    <w:rsid w:val="00770D0A"/>
    <w:rsid w:val="007A603B"/>
    <w:rsid w:val="007B3295"/>
    <w:rsid w:val="007F1015"/>
    <w:rsid w:val="00810AB8"/>
    <w:rsid w:val="00881F5D"/>
    <w:rsid w:val="00883B36"/>
    <w:rsid w:val="00887228"/>
    <w:rsid w:val="008C0145"/>
    <w:rsid w:val="008C5F27"/>
    <w:rsid w:val="008E6572"/>
    <w:rsid w:val="00901BF9"/>
    <w:rsid w:val="0091112E"/>
    <w:rsid w:val="00925527"/>
    <w:rsid w:val="0092592E"/>
    <w:rsid w:val="0092744A"/>
    <w:rsid w:val="00940975"/>
    <w:rsid w:val="00960529"/>
    <w:rsid w:val="00A0167B"/>
    <w:rsid w:val="00A0391D"/>
    <w:rsid w:val="00A100FE"/>
    <w:rsid w:val="00A33A39"/>
    <w:rsid w:val="00A613B1"/>
    <w:rsid w:val="00A70600"/>
    <w:rsid w:val="00A86C92"/>
    <w:rsid w:val="00AA03CD"/>
    <w:rsid w:val="00AA41B0"/>
    <w:rsid w:val="00AE131A"/>
    <w:rsid w:val="00B0517C"/>
    <w:rsid w:val="00B23C51"/>
    <w:rsid w:val="00B63052"/>
    <w:rsid w:val="00B712F7"/>
    <w:rsid w:val="00B82D57"/>
    <w:rsid w:val="00BC6C36"/>
    <w:rsid w:val="00BE6D08"/>
    <w:rsid w:val="00BF3A50"/>
    <w:rsid w:val="00C2123E"/>
    <w:rsid w:val="00C278D3"/>
    <w:rsid w:val="00C32053"/>
    <w:rsid w:val="00C841F8"/>
    <w:rsid w:val="00CC44C5"/>
    <w:rsid w:val="00CE15B6"/>
    <w:rsid w:val="00D0111C"/>
    <w:rsid w:val="00D07644"/>
    <w:rsid w:val="00D24C57"/>
    <w:rsid w:val="00D343C0"/>
    <w:rsid w:val="00D35FCA"/>
    <w:rsid w:val="00D36EF0"/>
    <w:rsid w:val="00DD2A35"/>
    <w:rsid w:val="00DD540A"/>
    <w:rsid w:val="00DE5662"/>
    <w:rsid w:val="00E02773"/>
    <w:rsid w:val="00E668D3"/>
    <w:rsid w:val="00E762AB"/>
    <w:rsid w:val="00E82149"/>
    <w:rsid w:val="00EB4F32"/>
    <w:rsid w:val="00EB7CE2"/>
    <w:rsid w:val="00EC0B57"/>
    <w:rsid w:val="00EC6DD5"/>
    <w:rsid w:val="00EF57DD"/>
    <w:rsid w:val="00F0594D"/>
    <w:rsid w:val="00F22CAE"/>
    <w:rsid w:val="00F32098"/>
    <w:rsid w:val="00F53B4E"/>
    <w:rsid w:val="00F648BC"/>
    <w:rsid w:val="00F813DA"/>
    <w:rsid w:val="00F965B2"/>
    <w:rsid w:val="00FB715C"/>
    <w:rsid w:val="00FE1A1A"/>
    <w:rsid w:val="00FE3AF2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8611C8-B999-42E3-ADF6-3CBA9F70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1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1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975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hy-AM" w:eastAsia="hy-AM" w:bidi="hy-AM"/>
    </w:rPr>
  </w:style>
  <w:style w:type="paragraph" w:styleId="BodyText">
    <w:name w:val="Body Text"/>
    <w:basedOn w:val="Normal"/>
    <w:link w:val="BodyTextChar"/>
    <w:rsid w:val="00D343C0"/>
    <w:pPr>
      <w:spacing w:after="0" w:line="312" w:lineRule="atLeast"/>
      <w:jc w:val="center"/>
    </w:pPr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Char">
    <w:name w:val="Body Text Char"/>
    <w:basedOn w:val="DefaultParagraphFont"/>
    <w:link w:val="BodyText"/>
    <w:rsid w:val="00D343C0"/>
    <w:rPr>
      <w:rFonts w:ascii="Times New Roman" w:eastAsia="DengXian" w:hAnsi="Times New Roman" w:cs="Times New Roman"/>
      <w:b/>
      <w:sz w:val="24"/>
      <w:szCs w:val="20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FB715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B715C"/>
    <w:pPr>
      <w:widowControl w:val="0"/>
      <w:shd w:val="clear" w:color="auto" w:fill="FFFFFF"/>
      <w:spacing w:before="240" w:after="6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Strong">
    <w:name w:val="Strong"/>
    <w:basedOn w:val="DefaultParagraphFont"/>
    <w:uiPriority w:val="22"/>
    <w:qFormat/>
    <w:rsid w:val="00120F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https:/mul2-edu.gov.am/tasks/1199511/oneclick/himnavorum (1).docx?token=51fc6d846df65bf5315c7949adc5b8b1</cp:keywords>
  <cp:lastModifiedBy>Qristine Grigoryan</cp:lastModifiedBy>
  <cp:revision>96</cp:revision>
  <cp:lastPrinted>2023-02-07T12:01:00Z</cp:lastPrinted>
  <dcterms:created xsi:type="dcterms:W3CDTF">2023-02-07T05:44:00Z</dcterms:created>
  <dcterms:modified xsi:type="dcterms:W3CDTF">2025-07-25T12:54:00Z</dcterms:modified>
</cp:coreProperties>
</file>