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E3674" w14:textId="77777777" w:rsidR="00AC0A44" w:rsidRPr="00F84DF5" w:rsidRDefault="00AC0A44" w:rsidP="00F84DF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3A8BB291" w14:textId="3A7392C8" w:rsidR="00AC0A44" w:rsidRPr="00F84DF5" w:rsidRDefault="00D25579" w:rsidP="00F84DF5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84DF5">
        <w:rPr>
          <w:rFonts w:ascii="GHEA Grapalat" w:hAnsi="GHEA Grapalat"/>
          <w:b/>
          <w:bCs/>
          <w:sz w:val="24"/>
          <w:szCs w:val="24"/>
          <w:lang w:val="hy-AM"/>
        </w:rPr>
        <w:t>ԽԱՂԱՅԻՆ ԳՈՐԾՈՒՆԵՈՒԹՅԱՆ ԿԱՐԳԱՎՈՐՄԱՆ ՕՊԵՐԱՏՈՐԻ ԸՆՏՐՈՒԹՅԱՆ ՄՐՑՈՒՅԹԻ ԱՆՑԿԱՑՄԱՆ ԸՆԹԱՑԱԿԱՐԳԸ, ՕՊԵՐԱՏՈՐԻ ԸՆՏՐՈՒԹՅԱՆ ԸՆԹԱՑԱԿԱՐԳԻՆ ԿՈՆՍՈՐՑԻՈՒՄՈՎ ՄԱՍՆԱԿՑՈՒԹՅԱՆ ԿԱՐԳԸ, ՕՊԵՐԱՏՈՐԻ ՀԵՏ ՊԱՅՄԱՆԱԳՐԻ ԿՆՔՄԱՆ ԿԱՐԳԸ ԵՎ ՄՐՑՈՒՅԹԸ ՉԿԱՅԱՑԱԾ ՀԱՄԱՐՎԵԼՈՒ ՀԻՄՔԵՐԸ ՍԱՀՄԱՆԵԼՈՒ ՄԱՍԻՆ</w:t>
      </w:r>
      <w:r w:rsidR="00E16080" w:rsidRPr="00F84D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C0A44"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1C4E47E2" w14:textId="77777777" w:rsidR="00AC0A44" w:rsidRPr="00F84DF5" w:rsidRDefault="00AC0A44" w:rsidP="00F84DF5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2286F77" w14:textId="77777777" w:rsidR="00AC0A44" w:rsidRPr="00F84DF5" w:rsidRDefault="00AC0A44" w:rsidP="00F84DF5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6448CAD8" w14:textId="4EA2472A" w:rsidR="00AC0A44" w:rsidRPr="00F84DF5" w:rsidRDefault="00AC0A44" w:rsidP="00F84DF5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>Սույն որոշման նախագծի մշակումը պայմանավորված է</w:t>
      </w:r>
      <w:r w:rsidR="0098089B" w:rsidRPr="00F84DF5">
        <w:rPr>
          <w:lang w:val="hy-AM"/>
        </w:rPr>
        <w:t xml:space="preserve"> </w:t>
      </w:r>
      <w:r w:rsidR="0098089B" w:rsidRPr="00F84DF5">
        <w:rPr>
          <w:rFonts w:ascii="GHEA Grapalat" w:eastAsia="Calibri" w:hAnsi="GHEA Grapalat" w:cs="Times New Roman"/>
          <w:sz w:val="24"/>
          <w:szCs w:val="24"/>
          <w:lang w:val="hy-AM"/>
        </w:rPr>
        <w:t>խաղային գործունեության կարգավորման օպերատորի ընտրության մրցույթի անցկացման, օպերատորի ընտրության ընթացակարգին կոնսորցիումով մասնակցության կարգը և մրցույթը չկայացած համարելու հիմքերի</w:t>
      </w:r>
      <w:r w:rsidR="00B329FC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նախատեսման </w:t>
      </w: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անհրաժեշտությամբ` 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«Խաղային գործունեության կարգավորման մասին» Հայաստանի Հանրապետության օրենքի 23-րդ հոդվածի 4-րդ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, 25-րդ հոդվածի 1-ին և 6-րդ մասեր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, 26-րդ հոդվածի 3-րդ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, 27-րդ հոդվածի 4-րդ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, 28-րդ հոդվածի 2-րդ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, 29-րդ հոդվածի 2-րդ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, 30-րդ հոդվածի 5-րդ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>, 31-րդ հոդվածի 2-րդ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8D46E7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8D46E7" w:rsidRPr="00F84DF5">
        <w:rPr>
          <w:rFonts w:ascii="GHEA Grapalat" w:hAnsi="GHEA Grapalat"/>
          <w:sz w:val="24"/>
          <w:szCs w:val="24"/>
          <w:lang w:val="hy-AM"/>
        </w:rPr>
        <w:t>32-րդ հոդվածի 3-րդ մասին</w:t>
      </w:r>
      <w:r w:rsidR="00C5420A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34-րդ հոդվածի 1-ին մաս</w:t>
      </w:r>
      <w:r w:rsidR="00B13E72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 </w:t>
      </w: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համապատասխան:</w:t>
      </w:r>
    </w:p>
    <w:p w14:paraId="579ABD86" w14:textId="77777777" w:rsidR="00AC0A44" w:rsidRPr="00F84DF5" w:rsidRDefault="00AC0A44" w:rsidP="00F84DF5">
      <w:pPr>
        <w:numPr>
          <w:ilvl w:val="0"/>
          <w:numId w:val="1"/>
        </w:numPr>
        <w:tabs>
          <w:tab w:val="left" w:pos="810"/>
          <w:tab w:val="left" w:pos="900"/>
        </w:tabs>
        <w:spacing w:after="0" w:line="360" w:lineRule="auto"/>
        <w:ind w:left="0" w:firstLine="54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9B9CE98" w14:textId="77777777" w:rsidR="009578FB" w:rsidRPr="00F84DF5" w:rsidRDefault="00907DDC" w:rsidP="00F84DF5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1" w:name="_Hlk69202218"/>
      <w:r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կողմից խաղային գործունեության կարգավորման օպերատորի ընտրության մրցույթի անցկացման, կոնսորցիումով մասնակցության կարգի և մրցույթը չկայացած համարելու հիմքերի սահմանման վերաբերյալ որոշման ընդունման անհրաժեշտությունը բխում է խաղային ոլորտի արդյունավետ կարգավորման, վերահսկողության ուժեղացման և միջազգային լավագույն փորձի ներդրման նպատակներից։ Մինչ օրս գործող համակարգում բացակայում էր հստակ և համապարփակ ընթացակարգ, որը կապահովեր օպերատորի ընտրության թափանցիկ, մրցակցային ու ոչ խտրական կազմակերպումը, ինչպես նաև հայտատուների նկատմամբ կիրառվող պահանջների և գնահատման չափանիշների կանխատեսելիությունը։ </w:t>
      </w:r>
      <w:bookmarkEnd w:id="1"/>
    </w:p>
    <w:p w14:paraId="1AE57AE4" w14:textId="655C9E73" w:rsidR="008F1433" w:rsidRPr="00F84DF5" w:rsidRDefault="0050197F" w:rsidP="00F84DF5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Որոշման ընդունմամբ լուծվում </w:t>
      </w:r>
      <w:r w:rsidR="009578FB" w:rsidRPr="00F84DF5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 շարք կարևոր խնդիր</w:t>
      </w:r>
      <w:r w:rsidR="00C757F4" w:rsidRPr="00F84DF5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ապահովվում է օպերատորի ընտրության գործընթացի օրինականությունն ու թափանցիկությունը, սահմանվում են որակավորման և առաջարկների գնահատման հստակ չափանիշներ, ինչպես նաև ներդրվում է փոխկապակցված անձանց մասնակցության բացառման և կոնսորցիումի ձևով մասնակցության մեխանիզմ։ Միաժամանակ, որոշումը նախատեսում է մրցույթը չկայացած համարելու հստակ դեպքեր, ինչի արդյունքում հնարավոր է կանխել մրցույթի արհեստական ձգձգումները և ապահովել ոլորտի բնականոն կառավարումը։ </w:t>
      </w:r>
      <w:r w:rsidR="0057513E" w:rsidRPr="00F84DF5">
        <w:rPr>
          <w:rFonts w:ascii="GHEA Grapalat" w:eastAsia="Calibri" w:hAnsi="GHEA Grapalat" w:cs="Times New Roman"/>
          <w:sz w:val="24"/>
          <w:szCs w:val="24"/>
          <w:lang w:val="hy-AM"/>
        </w:rPr>
        <w:t>Սահմանվում է նաև հաղթող հայտատուի հետ պայմանագրի կնքման կարգը:</w:t>
      </w:r>
    </w:p>
    <w:p w14:paraId="40D090A0" w14:textId="77777777" w:rsidR="00AC0A44" w:rsidRPr="00F84DF5" w:rsidRDefault="00AC0A44" w:rsidP="00F84DF5">
      <w:pPr>
        <w:numPr>
          <w:ilvl w:val="0"/>
          <w:numId w:val="1"/>
        </w:numPr>
        <w:tabs>
          <w:tab w:val="left" w:pos="360"/>
          <w:tab w:val="left" w:pos="90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C493127" w14:textId="396B75D0" w:rsidR="00AC0A44" w:rsidRPr="00F84DF5" w:rsidRDefault="00063599" w:rsidP="00F84DF5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>Կարգավորման նպատակն է սահմանել խաղային գործունեության կարգավորման օպերատորի ընտրության մրցույթի կազմակերպման և անցկացման, այդ թվում՝ կոնսորցիումով մասնակցության և մրցույթը չկայացած համարելու դեպքերի հստակ ու իրավաչափ կարգավորում՝ հիմք ստեղծելով խաղային գործունեության նկատմամբ պետական լիարժեք վերահսկողության իրականացման համար</w:t>
      </w:r>
      <w:r w:rsidR="00AC0A44" w:rsidRPr="00F84DF5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0B76E1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«Խաղային գործունեության կարգավորման մասին» Հայաստանի Հանրապետության օրենքի պահանջների համապատասխան՝ սահմանվել է </w:t>
      </w:r>
      <w:r w:rsidR="00606A1B" w:rsidRPr="00F84DF5">
        <w:rPr>
          <w:rFonts w:ascii="GHEA Grapalat" w:eastAsia="Calibri" w:hAnsi="GHEA Grapalat" w:cs="Times New Roman"/>
          <w:sz w:val="24"/>
          <w:szCs w:val="24"/>
          <w:lang w:val="hy-AM"/>
        </w:rPr>
        <w:t>խաղային գործունեության կարգավորման օպերատորի ընտրության մրցույթի անցկացման ընթացակարգը: Օպերատորը պետք է ընտրվի բաց մրցույթի արդյունքում, որը երկփուլ մրցույ</w:t>
      </w:r>
      <w:r w:rsidR="000C0D32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 է՝ իրականացվում է որակավորման հարցման և առաջարկի հարցման փուլերով: </w:t>
      </w:r>
      <w:r w:rsidR="00DC010C" w:rsidRPr="00F84DF5">
        <w:rPr>
          <w:rFonts w:ascii="GHEA Grapalat" w:eastAsia="Calibri" w:hAnsi="GHEA Grapalat" w:cs="Times New Roman"/>
          <w:sz w:val="24"/>
          <w:szCs w:val="24"/>
          <w:lang w:val="hy-AM"/>
        </w:rPr>
        <w:t>Նախագծով սահմանվել են նշված փուլերից յուրաքանչյուրի անցկացման կարգը, հայտատուների կողմից մրցույթին մասնակցելու իրավունքին առաջադրվող պահանջները, հայտատուների կողմից հանձնաժողովին ներկայացման ենթակա փաստաթղթերի և հավաստիացումների ցանկը</w:t>
      </w:r>
      <w:r w:rsidR="00B865AA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 w:rsidR="00541EF3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Որակավորման հայտերի և առաջարկի հարցման փուլի հայտերի ներկայացման համար սահմանվել են նվազագույն ժամկետներ՝ համապատասխանաբար 40 օր և 60 օր: </w:t>
      </w:r>
      <w:r w:rsidR="00B865AA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Սահմանվել են նաև առաջարկի հարցման փուլ անցած (որակավորված) հայտատուների </w:t>
      </w:r>
      <w:r w:rsidR="00626408" w:rsidRPr="00F84DF5">
        <w:rPr>
          <w:rFonts w:ascii="GHEA Grapalat" w:eastAsia="Calibri" w:hAnsi="GHEA Grapalat" w:cs="Times New Roman"/>
          <w:sz w:val="24"/>
          <w:szCs w:val="24"/>
          <w:lang w:val="hy-AM"/>
        </w:rPr>
        <w:t>կողմից ներկայացվող տեխնիկական առաջարկի</w:t>
      </w:r>
      <w:r w:rsidR="00E017E9" w:rsidRPr="00F84DF5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26408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ֆինանսական առաջարկի</w:t>
      </w:r>
      <w:r w:rsidR="00E017E9" w:rsidRPr="00F84DF5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26408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017E9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ներկայացվող պահանջները, տեխնիկական առաջարկի </w:t>
      </w:r>
      <w:r w:rsidR="00F960D8" w:rsidRPr="00F84DF5">
        <w:rPr>
          <w:rFonts w:ascii="GHEA Grapalat" w:eastAsia="Calibri" w:hAnsi="GHEA Grapalat" w:cs="Times New Roman"/>
          <w:sz w:val="24"/>
          <w:szCs w:val="24"/>
          <w:lang w:val="hy-AM"/>
        </w:rPr>
        <w:t>չափանիշները</w:t>
      </w:r>
      <w:r w:rsidR="00E67CB4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="00D34A4C" w:rsidRPr="00F84DF5">
        <w:rPr>
          <w:rFonts w:ascii="GHEA Grapalat" w:eastAsia="Calibri" w:hAnsi="GHEA Grapalat" w:cs="Times New Roman"/>
          <w:sz w:val="24"/>
          <w:szCs w:val="24"/>
          <w:lang w:val="hy-AM"/>
        </w:rPr>
        <w:t>1.</w:t>
      </w:r>
      <w:r w:rsidR="00531DD6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7CB4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գործարար ծրագիր, </w:t>
      </w:r>
      <w:r w:rsidR="00531DD6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2. </w:t>
      </w:r>
      <w:r w:rsidR="008B6D5C" w:rsidRPr="00F84DF5">
        <w:rPr>
          <w:rFonts w:ascii="GHEA Grapalat" w:eastAsia="Calibri" w:hAnsi="GHEA Grapalat" w:cs="Times New Roman"/>
          <w:sz w:val="24"/>
          <w:szCs w:val="24"/>
          <w:lang w:val="hy-AM"/>
        </w:rPr>
        <w:t>տեղեկատվական համակարգ</w:t>
      </w:r>
      <w:r w:rsidR="00D34A4C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34A4C" w:rsidRPr="00F84DF5">
        <w:rPr>
          <w:rFonts w:ascii="GHEA Grapalat" w:hAnsi="GHEA Grapalat"/>
          <w:sz w:val="24"/>
          <w:szCs w:val="24"/>
          <w:lang w:val="hy-AM"/>
        </w:rPr>
        <w:t>(Software)</w:t>
      </w:r>
      <w:r w:rsidR="008B6D5C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531DD6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3. </w:t>
      </w:r>
      <w:r w:rsidR="008B6D5C" w:rsidRPr="00F84DF5">
        <w:rPr>
          <w:rFonts w:ascii="GHEA Grapalat" w:eastAsia="Calibri" w:hAnsi="GHEA Grapalat" w:cs="Times New Roman"/>
          <w:sz w:val="24"/>
          <w:szCs w:val="24"/>
          <w:lang w:val="hy-AM"/>
        </w:rPr>
        <w:t>ֆիզիակակն ենթակառուցվածք</w:t>
      </w:r>
      <w:r w:rsidR="00E67CB4" w:rsidRPr="00F84DF5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F960D8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531DD6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դրանցից յուրաքանչյուրի </w:t>
      </w:r>
      <w:r w:rsidR="00F960D8" w:rsidRPr="00F84DF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ենթաչափանիշները, դրանցից յուրաքանչյուրին տրվող կշիռը և գնահատականը</w:t>
      </w:r>
      <w:r w:rsidR="007E5B72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Սահմանվել է նաև ֆինանսական առաջարկի կշիռը և գնահատականը: Նախագծով սահմանվել է նաև, որ </w:t>
      </w:r>
      <w:r w:rsidR="00512394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խաղային գործունեության կարգավորման </w:t>
      </w:r>
      <w:r w:rsidR="00512394" w:rsidRPr="00F84DF5">
        <w:rPr>
          <w:rFonts w:ascii="GHEA Grapalat" w:hAnsi="GHEA Grapalat"/>
          <w:sz w:val="24"/>
          <w:szCs w:val="24"/>
          <w:lang w:val="hy-AM"/>
        </w:rPr>
        <w:t>օպերատորի առաջին ընտրությունն անցկացվում է որակի և արժեքի վրա հիմնված ընտրության գնահատման եղանակով:</w:t>
      </w:r>
      <w:r w:rsidR="00512394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6DA6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սահմանվել են խաղային գործունեության </w:t>
      </w:r>
      <w:r w:rsidR="00210319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կարգավորման </w:t>
      </w:r>
      <w:r w:rsidR="00276DA6" w:rsidRPr="00F84DF5">
        <w:rPr>
          <w:rFonts w:ascii="GHEA Grapalat" w:eastAsia="Calibri" w:hAnsi="GHEA Grapalat" w:cs="Times New Roman"/>
          <w:sz w:val="24"/>
          <w:szCs w:val="24"/>
          <w:lang w:val="hy-AM"/>
        </w:rPr>
        <w:t>օպերատորի հետ պայմանագրի կնքման կարգը, ինչպես ն աև մրց</w:t>
      </w:r>
      <w:r w:rsidR="00620174" w:rsidRPr="00F84DF5">
        <w:rPr>
          <w:rFonts w:ascii="GHEA Grapalat" w:eastAsia="Calibri" w:hAnsi="GHEA Grapalat" w:cs="Times New Roman"/>
          <w:sz w:val="24"/>
          <w:szCs w:val="24"/>
          <w:lang w:val="hy-AM"/>
        </w:rPr>
        <w:t>ույթը չկայացած համարվելու հիմքերը</w:t>
      </w:r>
      <w:r w:rsidR="00FD2D80" w:rsidRPr="00F84DF5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EEF75A4" w14:textId="77777777" w:rsidR="00AC0A44" w:rsidRPr="00F84DF5" w:rsidRDefault="00AC0A44" w:rsidP="00F84DF5">
      <w:pPr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B8CEBFD" w14:textId="38007454" w:rsidR="008C03C0" w:rsidRPr="00F84DF5" w:rsidRDefault="008C03C0" w:rsidP="00F84DF5">
      <w:pPr>
        <w:tabs>
          <w:tab w:val="left" w:pos="900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Հայաստանի Հանրապետության պետական եկամուտների</w:t>
      </w:r>
      <w:r w:rsidR="00380C92" w:rsidRPr="00F84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84DF5">
        <w:rPr>
          <w:rFonts w:ascii="GHEA Grapalat" w:eastAsia="Calibri" w:hAnsi="GHEA Grapalat" w:cs="Times New Roman"/>
          <w:sz w:val="24"/>
          <w:szCs w:val="24"/>
          <w:lang w:val="hy-AM"/>
        </w:rPr>
        <w:t>կոմիտեի կողմից:</w:t>
      </w:r>
    </w:p>
    <w:p w14:paraId="0380F191" w14:textId="56454E77" w:rsidR="00AC0A44" w:rsidRPr="00F84DF5" w:rsidRDefault="00F94FA9" w:rsidP="00F84DF5">
      <w:pPr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</w:t>
      </w:r>
    </w:p>
    <w:p w14:paraId="086D070D" w14:textId="43C5BEBD" w:rsidR="00F84DF5" w:rsidRPr="00F84DF5" w:rsidRDefault="00F84DF5" w:rsidP="000420C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84DF5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մշակումը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բխում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է՝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12 </w:t>
      </w:r>
      <w:r w:rsidRPr="00F84DF5">
        <w:rPr>
          <w:rFonts w:ascii="GHEA Grapalat" w:hAnsi="GHEA Grapalat" w:cs="Arial"/>
          <w:sz w:val="24"/>
          <w:szCs w:val="24"/>
          <w:lang w:val="hy-AM"/>
        </w:rPr>
        <w:t>դեկտեմբեր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2019</w:t>
      </w:r>
      <w:r w:rsidRPr="00F84DF5">
        <w:rPr>
          <w:rFonts w:ascii="GHEA Grapalat" w:hAnsi="GHEA Grapalat" w:cs="Arial"/>
          <w:sz w:val="24"/>
          <w:szCs w:val="24"/>
          <w:lang w:val="hy-AM"/>
        </w:rPr>
        <w:t>թ</w:t>
      </w:r>
      <w:r w:rsidRPr="00F84DF5">
        <w:rPr>
          <w:rFonts w:ascii="GHEA Grapalat" w:hAnsi="GHEA Grapalat"/>
          <w:sz w:val="24"/>
          <w:szCs w:val="24"/>
          <w:lang w:val="hy-AM"/>
        </w:rPr>
        <w:t>. «</w:t>
      </w:r>
      <w:r w:rsidRPr="00F84DF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կոմիտեի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և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վարչարարության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բարելավման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ռազմավարությունը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և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դրանից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բխող</w:t>
      </w:r>
      <w:r w:rsidR="000420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84DF5">
        <w:rPr>
          <w:rFonts w:ascii="GHEA Grapalat" w:hAnsi="GHEA Grapalat"/>
          <w:sz w:val="24"/>
          <w:szCs w:val="24"/>
          <w:lang w:val="hy-AM"/>
        </w:rPr>
        <w:t>» 1830-</w:t>
      </w:r>
      <w:r w:rsidRPr="00F84DF5">
        <w:rPr>
          <w:rFonts w:ascii="GHEA Grapalat" w:hAnsi="GHEA Grapalat" w:cs="Arial"/>
          <w:sz w:val="24"/>
          <w:szCs w:val="24"/>
          <w:lang w:val="hy-AM"/>
        </w:rPr>
        <w:t>Լ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F84DF5">
        <w:rPr>
          <w:rFonts w:ascii="GHEA Grapalat" w:hAnsi="GHEA Grapalat" w:cs="Arial"/>
          <w:sz w:val="24"/>
          <w:szCs w:val="24"/>
          <w:lang w:val="hy-AM"/>
        </w:rPr>
        <w:t>րդ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DF5">
        <w:rPr>
          <w:rFonts w:ascii="GHEA Grapalat" w:hAnsi="GHEA Grapalat" w:cs="Arial"/>
          <w:sz w:val="24"/>
          <w:szCs w:val="24"/>
          <w:lang w:val="hy-AM"/>
        </w:rPr>
        <w:t>նպատակի</w:t>
      </w:r>
      <w:r w:rsidRPr="00F84DF5">
        <w:rPr>
          <w:rFonts w:ascii="GHEA Grapalat" w:hAnsi="GHEA Grapalat"/>
          <w:sz w:val="24"/>
          <w:szCs w:val="24"/>
          <w:lang w:val="hy-AM"/>
        </w:rPr>
        <w:t xml:space="preserve"> 2.1.5 </w:t>
      </w:r>
      <w:r w:rsidRPr="00F84DF5">
        <w:rPr>
          <w:rFonts w:ascii="GHEA Grapalat" w:hAnsi="GHEA Grapalat" w:cs="Arial"/>
          <w:sz w:val="24"/>
          <w:szCs w:val="24"/>
          <w:lang w:val="hy-AM"/>
        </w:rPr>
        <w:t>ենթանպատակից։</w:t>
      </w:r>
    </w:p>
    <w:p w14:paraId="04C00B1D" w14:textId="77777777" w:rsidR="00AC0A44" w:rsidRPr="00F84DF5" w:rsidRDefault="00AC0A44" w:rsidP="00F84DF5">
      <w:pPr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4DF5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0564689" w14:textId="229CEF58" w:rsidR="002D0F21" w:rsidRPr="00F84DF5" w:rsidRDefault="00E91B3E" w:rsidP="00F84DF5">
      <w:pPr>
        <w:tabs>
          <w:tab w:val="left" w:pos="900"/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ընդունմամբ կա</w:t>
      </w:r>
      <w:r w:rsidR="002D0F21"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պահով</w:t>
      </w:r>
      <w:r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</w:t>
      </w:r>
      <w:r w:rsidR="002D0F21"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խաղային գործունեության կարգավորման օպերատորի ընտրության մրցույթը կազմակերպելու և անցկացնելու</w:t>
      </w:r>
      <w:r w:rsidR="00D84566"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2D0F21"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օրենսդր</w:t>
      </w:r>
      <w:r w:rsidR="008279E0"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ությանը համապատասխանող</w:t>
      </w:r>
      <w:r w:rsidR="002D0F21"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թափանցիկ, մրցակցային և կանխատեսելի մեխանիզմների կիրառումը՝ նպաստելով ոլորտի արդյունավետ կարգավորմանն ու պետական վերահսկողության արդյունավետության բարձրացմանը</w:t>
      </w:r>
      <w:r w:rsidR="008279E0" w:rsidRPr="00F84D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5B4E53FE" w14:textId="77777777" w:rsidR="00F07508" w:rsidRPr="00F84DF5" w:rsidRDefault="00F07508" w:rsidP="00F84DF5">
      <w:pPr>
        <w:tabs>
          <w:tab w:val="left" w:pos="900"/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1AADA21" w14:textId="77777777" w:rsidR="006B0428" w:rsidRPr="00F84DF5" w:rsidRDefault="006B0428" w:rsidP="00F84DF5">
      <w:pPr>
        <w:spacing w:line="360" w:lineRule="auto"/>
        <w:rPr>
          <w:lang w:val="hy-AM"/>
        </w:rPr>
      </w:pPr>
    </w:p>
    <w:sectPr w:rsidR="006B0428" w:rsidRPr="00F84DF5" w:rsidSect="00AC0A44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1FA0E" w14:textId="77777777" w:rsidR="008340E2" w:rsidRDefault="008340E2">
      <w:pPr>
        <w:spacing w:after="0" w:line="240" w:lineRule="auto"/>
      </w:pPr>
      <w:r>
        <w:separator/>
      </w:r>
    </w:p>
  </w:endnote>
  <w:endnote w:type="continuationSeparator" w:id="0">
    <w:p w14:paraId="4BCE1F2B" w14:textId="77777777" w:rsidR="008340E2" w:rsidRDefault="00834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7842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D86910" w14:textId="7336CBFC" w:rsidR="008D46E7" w:rsidRDefault="008D46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5F8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58AD2E4" w14:textId="77777777" w:rsidR="001C6120" w:rsidRDefault="001C6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B6D95" w14:textId="77777777" w:rsidR="008340E2" w:rsidRDefault="008340E2">
      <w:pPr>
        <w:spacing w:after="0" w:line="240" w:lineRule="auto"/>
      </w:pPr>
      <w:r>
        <w:separator/>
      </w:r>
    </w:p>
  </w:footnote>
  <w:footnote w:type="continuationSeparator" w:id="0">
    <w:p w14:paraId="15D603BF" w14:textId="77777777" w:rsidR="008340E2" w:rsidRDefault="00834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E23"/>
    <w:rsid w:val="00025080"/>
    <w:rsid w:val="0002731E"/>
    <w:rsid w:val="000420CD"/>
    <w:rsid w:val="00063599"/>
    <w:rsid w:val="000A3F07"/>
    <w:rsid w:val="000A5A9B"/>
    <w:rsid w:val="000B76E1"/>
    <w:rsid w:val="000C0D32"/>
    <w:rsid w:val="000E294D"/>
    <w:rsid w:val="00106B8E"/>
    <w:rsid w:val="0013431D"/>
    <w:rsid w:val="001C6120"/>
    <w:rsid w:val="0021005D"/>
    <w:rsid w:val="00210319"/>
    <w:rsid w:val="0026146D"/>
    <w:rsid w:val="00276DA6"/>
    <w:rsid w:val="002775DB"/>
    <w:rsid w:val="002D0F21"/>
    <w:rsid w:val="002D4A1E"/>
    <w:rsid w:val="003048F3"/>
    <w:rsid w:val="00343882"/>
    <w:rsid w:val="00361162"/>
    <w:rsid w:val="00380C92"/>
    <w:rsid w:val="003D25BF"/>
    <w:rsid w:val="003D41BC"/>
    <w:rsid w:val="00425E76"/>
    <w:rsid w:val="00472486"/>
    <w:rsid w:val="00483393"/>
    <w:rsid w:val="004A5F81"/>
    <w:rsid w:val="004F2BD2"/>
    <w:rsid w:val="0050197F"/>
    <w:rsid w:val="0050291A"/>
    <w:rsid w:val="00512394"/>
    <w:rsid w:val="00524630"/>
    <w:rsid w:val="00531DD6"/>
    <w:rsid w:val="00541EF3"/>
    <w:rsid w:val="0057513E"/>
    <w:rsid w:val="005810AE"/>
    <w:rsid w:val="005E73A8"/>
    <w:rsid w:val="00606A1B"/>
    <w:rsid w:val="00620174"/>
    <w:rsid w:val="00626408"/>
    <w:rsid w:val="006425DE"/>
    <w:rsid w:val="006B0428"/>
    <w:rsid w:val="006C6EC6"/>
    <w:rsid w:val="007E5B72"/>
    <w:rsid w:val="007E6E23"/>
    <w:rsid w:val="007F744B"/>
    <w:rsid w:val="008279E0"/>
    <w:rsid w:val="008340E2"/>
    <w:rsid w:val="00842F95"/>
    <w:rsid w:val="00846E29"/>
    <w:rsid w:val="008B6D5C"/>
    <w:rsid w:val="008C03C0"/>
    <w:rsid w:val="008D46E7"/>
    <w:rsid w:val="008D6889"/>
    <w:rsid w:val="008D7F45"/>
    <w:rsid w:val="008F1433"/>
    <w:rsid w:val="00907DDC"/>
    <w:rsid w:val="00907FA1"/>
    <w:rsid w:val="009578FB"/>
    <w:rsid w:val="0098089B"/>
    <w:rsid w:val="009D73C1"/>
    <w:rsid w:val="00A11AAE"/>
    <w:rsid w:val="00A13E21"/>
    <w:rsid w:val="00A2448B"/>
    <w:rsid w:val="00A40FA5"/>
    <w:rsid w:val="00A52763"/>
    <w:rsid w:val="00AC0A44"/>
    <w:rsid w:val="00B13E72"/>
    <w:rsid w:val="00B258B2"/>
    <w:rsid w:val="00B329FC"/>
    <w:rsid w:val="00B865AA"/>
    <w:rsid w:val="00C40EC6"/>
    <w:rsid w:val="00C5420A"/>
    <w:rsid w:val="00C757F4"/>
    <w:rsid w:val="00CB7155"/>
    <w:rsid w:val="00CE294D"/>
    <w:rsid w:val="00D25579"/>
    <w:rsid w:val="00D32235"/>
    <w:rsid w:val="00D34A4C"/>
    <w:rsid w:val="00D47026"/>
    <w:rsid w:val="00D60D1D"/>
    <w:rsid w:val="00D84566"/>
    <w:rsid w:val="00DC010C"/>
    <w:rsid w:val="00DF6969"/>
    <w:rsid w:val="00E017E9"/>
    <w:rsid w:val="00E16080"/>
    <w:rsid w:val="00E254C1"/>
    <w:rsid w:val="00E5012E"/>
    <w:rsid w:val="00E508B8"/>
    <w:rsid w:val="00E67CB4"/>
    <w:rsid w:val="00E8325A"/>
    <w:rsid w:val="00E87D30"/>
    <w:rsid w:val="00E91B3E"/>
    <w:rsid w:val="00F07508"/>
    <w:rsid w:val="00F84DF5"/>
    <w:rsid w:val="00F94FA9"/>
    <w:rsid w:val="00F960D8"/>
    <w:rsid w:val="00FA72E5"/>
    <w:rsid w:val="00FD2D80"/>
    <w:rsid w:val="00FF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683DC"/>
  <w15:chartTrackingRefBased/>
  <w15:docId w15:val="{C6BC6E21-7869-49B6-8203-AB7BC8E7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A4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6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E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E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E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E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E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E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E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E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E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E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E23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AC0A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A44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D46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6E7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84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User5</dc:creator>
  <cp:keywords>https:/mul2-taxservice.gov.am/tasks/3667264/oneclick?token=1715cef85b768eaf2c2a9693957a3e84</cp:keywords>
  <dc:description/>
  <cp:lastModifiedBy>Tsovinar Movsisyan</cp:lastModifiedBy>
  <cp:revision>2</cp:revision>
  <dcterms:created xsi:type="dcterms:W3CDTF">2025-07-21T06:30:00Z</dcterms:created>
  <dcterms:modified xsi:type="dcterms:W3CDTF">2025-07-21T06:30:00Z</dcterms:modified>
</cp:coreProperties>
</file>