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D1C" w:rsidRPr="005318D7" w:rsidRDefault="00DD3C0B">
      <w:pPr>
        <w:pStyle w:val="headingtitleStyle"/>
        <w:rPr>
          <w:rFonts w:ascii="GHEA Mariam" w:hAnsi="GHEA Mariam"/>
        </w:rPr>
      </w:pPr>
      <w:bookmarkStart w:id="0" w:name="_Toc1"/>
      <w:r w:rsidRPr="005318D7">
        <w:rPr>
          <w:rFonts w:ascii="GHEA Mariam" w:hAnsi="GHEA Mariam"/>
        </w:rPr>
        <w:t>Ամփոփաթերթ</w:t>
      </w:r>
      <w:bookmarkEnd w:id="0"/>
    </w:p>
    <w:p w:rsidR="00EB5D1C" w:rsidRPr="005318D7" w:rsidRDefault="00120C6F" w:rsidP="00120C6F">
      <w:pPr>
        <w:pStyle w:val="headingtitleStyle"/>
        <w:rPr>
          <w:rFonts w:ascii="GHEA Mariam" w:hAnsi="GHEA Mariam"/>
        </w:rPr>
      </w:pPr>
      <w:bookmarkStart w:id="1" w:name="_Toc2"/>
      <w:r w:rsidRPr="00120C6F">
        <w:rPr>
          <w:rFonts w:ascii="GHEA Mariam" w:hAnsi="GHEA Mariam"/>
        </w:rPr>
        <w:t>«ՀԱՅԱՍՏԱՆԻ ՀԱՆՐԱՊԵՏՈՒԹՅԱՆ ՔԱՂԱՔԱՑԻԱԿԱՆ ՕՐԵՆՍԳՐՔՈՒՄ ՓՈՓՈԽՈՒԹՅՈՒՆ ԵՎ ԼՐԱՑՈՒՄՆԵՐ ԿԱՏԱՐԵԼՈՒ ՄԱՍԻՆ» ԵՎ</w:t>
      </w:r>
      <w:bookmarkStart w:id="2" w:name="_GoBack"/>
      <w:bookmarkEnd w:id="2"/>
      <w:r w:rsidRPr="00120C6F">
        <w:rPr>
          <w:rFonts w:ascii="GHEA Mariam" w:hAnsi="GHEA Mariam"/>
        </w:rPr>
        <w:t xml:space="preserve"> ««ԳՈՒՅՔԻ ՆԿԱՏՄԱՄԲ ԻՐԱՎՈՒՆՔՆԵՐԻ ՊԵՏԱԿԱՆ ԳՐԱՆՑՄԱՆ ՄԱՍԻՆ» ՕՐԵՆՔՈՒՄ ԼՐԱՑՈՒՄ ԿԱՏԱՐԵԼՈՒ ՄԱՍԻՆ»</w:t>
      </w:r>
      <w:r w:rsidR="003662AF" w:rsidRPr="003662AF">
        <w:rPr>
          <w:rFonts w:ascii="GHEA Mariam" w:hAnsi="GHEA Mariam"/>
        </w:rPr>
        <w:t xml:space="preserve"> ՀԱՅԱՍՏԱՆԻ ՀԱՆՐԱՊԵՏՈՒԹՅԱՆ ՕՐԵՆՔՆԵՐԻ ՆԱԽԱԳԾԵՐԻ </w:t>
      </w:r>
      <w:bookmarkEnd w:id="1"/>
    </w:p>
    <w:p w:rsidR="00EB5D1C" w:rsidRPr="005318D7" w:rsidRDefault="00EB5D1C">
      <w:pPr>
        <w:rPr>
          <w:rFonts w:ascii="GHEA Mariam" w:hAnsi="GHEA Mariam"/>
        </w:rPr>
      </w:pPr>
    </w:p>
    <w:p w:rsidR="00EB5D1C" w:rsidRPr="005318D7" w:rsidRDefault="00EB5D1C">
      <w:pPr>
        <w:rPr>
          <w:rFonts w:ascii="GHEA Mariam" w:hAnsi="GHEA Mariam"/>
        </w:rPr>
      </w:pPr>
    </w:p>
    <w:tbl>
      <w:tblPr>
        <w:tblW w:w="0" w:type="auto"/>
        <w:tblInd w:w="10" w:type="dxa"/>
        <w:tblCellMar>
          <w:left w:w="10" w:type="dxa"/>
          <w:right w:w="10" w:type="dxa"/>
        </w:tblCellMar>
        <w:tblLook w:val="0000" w:firstRow="0" w:lastRow="0" w:firstColumn="0" w:lastColumn="0" w:noHBand="0" w:noVBand="0"/>
      </w:tblPr>
      <w:tblGrid>
        <w:gridCol w:w="457"/>
        <w:gridCol w:w="2192"/>
        <w:gridCol w:w="5037"/>
        <w:gridCol w:w="3483"/>
        <w:gridCol w:w="2798"/>
      </w:tblGrid>
      <w:tr w:rsidR="00EB5D1C" w:rsidRPr="005318D7">
        <w:tc>
          <w:tcPr>
            <w:tcW w:w="500" w:type="dxa"/>
            <w:tcBorders>
              <w:top w:val="single" w:sz="1" w:space="0" w:color="000000"/>
              <w:left w:val="single" w:sz="1" w:space="0" w:color="000000"/>
              <w:bottom w:val="single" w:sz="1" w:space="0" w:color="000000"/>
              <w:right w:val="single" w:sz="1" w:space="0" w:color="000000"/>
            </w:tcBorders>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հ/</w:t>
            </w:r>
          </w:p>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հ</w:t>
            </w:r>
          </w:p>
        </w:tc>
        <w:tc>
          <w:tcPr>
            <w:tcW w:w="2250" w:type="dxa"/>
            <w:tcBorders>
              <w:top w:val="single" w:sz="1" w:space="0" w:color="000000"/>
              <w:left w:val="single" w:sz="1" w:space="0" w:color="000000"/>
              <w:bottom w:val="single" w:sz="1" w:space="0" w:color="000000"/>
              <w:right w:val="single" w:sz="1" w:space="0" w:color="000000"/>
            </w:tcBorders>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ind w:left="46" w:right="97"/>
              <w:jc w:val="center"/>
              <w:rPr>
                <w:rFonts w:ascii="GHEA Mariam" w:hAnsi="GHEA Mariam"/>
                <w:sz w:val="24"/>
                <w:szCs w:val="24"/>
              </w:rPr>
            </w:pPr>
            <w:r w:rsidRPr="005318D7">
              <w:rPr>
                <w:rFonts w:ascii="GHEA Mariam" w:eastAsia="GHEA Grapalat" w:hAnsi="GHEA Mariam" w:cs="GHEA Grapalat"/>
                <w:color w:val="000000"/>
                <w:sz w:val="24"/>
                <w:szCs w:val="24"/>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Կատարված փոփոխությունը</w:t>
            </w:r>
          </w:p>
        </w:tc>
      </w:tr>
      <w:tr w:rsidR="00EB5D1C" w:rsidRPr="005318D7">
        <w:tc>
          <w:tcPr>
            <w:tcW w:w="500" w:type="dxa"/>
            <w:tcBorders>
              <w:top w:val="single" w:sz="1" w:space="0" w:color="000000"/>
              <w:left w:val="single" w:sz="1" w:space="0" w:color="000000"/>
              <w:bottom w:val="single" w:sz="1" w:space="0" w:color="000000"/>
              <w:right w:val="single" w:sz="1" w:space="0" w:color="000000"/>
            </w:tcBorders>
            <w:vAlign w:val="center"/>
          </w:tcPr>
          <w:p w:rsidR="00EB5D1C" w:rsidRPr="005318D7" w:rsidRDefault="00EB5D1C">
            <w:pPr>
              <w:jc w:val="center"/>
              <w:rPr>
                <w:rFonts w:ascii="GHEA Mariam" w:hAnsi="GHEA Mariam"/>
                <w:sz w:val="24"/>
                <w:szCs w:val="24"/>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EB5D1C" w:rsidRPr="005318D7" w:rsidRDefault="00DD3C0B" w:rsidP="005318D7">
            <w:pPr>
              <w:ind w:left="46" w:right="97"/>
              <w:jc w:val="center"/>
              <w:rPr>
                <w:rFonts w:ascii="GHEA Mariam" w:hAnsi="GHEA Mariam"/>
                <w:sz w:val="24"/>
                <w:szCs w:val="24"/>
              </w:rPr>
            </w:pPr>
            <w:r w:rsidRPr="005318D7">
              <w:rPr>
                <w:rFonts w:ascii="GHEA Mariam" w:eastAsia="GHEA Grapalat" w:hAnsi="GHEA Mariam"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EB5D1C" w:rsidRPr="005318D7" w:rsidRDefault="00DD3C0B">
            <w:pPr>
              <w:jc w:val="center"/>
              <w:rPr>
                <w:rFonts w:ascii="GHEA Mariam" w:hAnsi="GHEA Mariam"/>
                <w:sz w:val="24"/>
                <w:szCs w:val="24"/>
              </w:rPr>
            </w:pPr>
            <w:r w:rsidRPr="005318D7">
              <w:rPr>
                <w:rFonts w:ascii="GHEA Mariam" w:eastAsia="GHEA Grapalat" w:hAnsi="GHEA Mariam" w:cs="GHEA Grapalat"/>
                <w:color w:val="000000"/>
                <w:sz w:val="24"/>
                <w:szCs w:val="24"/>
              </w:rPr>
              <w:t>4</w:t>
            </w:r>
          </w:p>
        </w:tc>
      </w:tr>
      <w:tr w:rsidR="00EB5D1C" w:rsidRPr="005318D7">
        <w:tc>
          <w:tcPr>
            <w:tcW w:w="5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1</w:t>
            </w:r>
          </w:p>
        </w:tc>
        <w:tc>
          <w:tcPr>
            <w:tcW w:w="225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Andranik Ghazaryan</w:t>
            </w:r>
          </w:p>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24.12.2023 21:56:11</w:t>
            </w:r>
          </w:p>
        </w:tc>
        <w:tc>
          <w:tcPr>
            <w:tcW w:w="5200" w:type="dxa"/>
            <w:tcBorders>
              <w:top w:val="single" w:sz="1" w:space="0" w:color="000000"/>
              <w:left w:val="single" w:sz="1" w:space="0" w:color="000000"/>
              <w:bottom w:val="single" w:sz="1" w:space="0" w:color="000000"/>
              <w:right w:val="single" w:sz="1" w:space="0" w:color="000000"/>
            </w:tcBorders>
          </w:tcPr>
          <w:p w:rsidR="00EB5D1C" w:rsidRPr="001B7EC6" w:rsidRDefault="00DD3C0B" w:rsidP="005318D7">
            <w:pPr>
              <w:ind w:left="46" w:right="97"/>
              <w:jc w:val="both"/>
              <w:rPr>
                <w:rFonts w:ascii="GHEA Mariam" w:hAnsi="GHEA Mariam"/>
                <w:sz w:val="24"/>
                <w:szCs w:val="24"/>
              </w:rPr>
            </w:pPr>
            <w:r w:rsidRPr="001B7EC6">
              <w:rPr>
                <w:rFonts w:ascii="GHEA Mariam" w:eastAsia="GHEA Grapalat" w:hAnsi="GHEA Mariam" w:cs="GHEA Grapalat"/>
                <w:color w:val="000000"/>
                <w:sz w:val="24"/>
                <w:szCs w:val="24"/>
              </w:rPr>
              <w:t xml:space="preserve">Այն, որ առաջնային(կառուցապատողից) և երկրորդային շուկաներից բնակարանի ձեռքբերումը դեպքերի ավելի քան 99 տոկոսում կատարվում են հիփոթեքային վարկերի միջոցով, բացառապես էլ ավելի է հիմնավորում նման օրենսդրական նախաձեռնության հույժ անհրաժեշտությունը, ինչը հետագայում կբարելավի վարկավորման պրոցեսները, </w:t>
            </w:r>
            <w:r w:rsidRPr="001B7EC6">
              <w:rPr>
                <w:rFonts w:ascii="GHEA Mariam" w:eastAsia="GHEA Grapalat" w:hAnsi="GHEA Mariam" w:cs="GHEA Grapalat"/>
                <w:color w:val="000000"/>
                <w:sz w:val="24"/>
                <w:szCs w:val="24"/>
              </w:rPr>
              <w:lastRenderedPageBreak/>
              <w:t xml:space="preserve">կազատի նոտարական ավելորդ ծախսերից, պայմանագրի պայմանները ազատորեն կհամաձայնեցնեն բանկերը և հաճախորդները և խնդիր չի առաջանա որևէ նոտարի տեղ-տեղ կամայական մոտեցման կամ ձևական  պահանջի արդյունքում պայմանագիր փոփոխել և ավելորդ քաշքշուկի մեջ ընգնել, որի արդյունքում անհարկի ձգձգվում են գործընթացները, որի ընթացքում չի բացառվում վերաֆինանսավորման տոկոսադրույքի տատանումների արդյունքում բանկի կողմից այնպիսի տոկոսադրույքի սահմանումը, որը էականորեն տարբերվում է հաճախորդի դիմումով խոստացված տոկոսադրույքին։ Նախագծի որոշ խնդրահարույց դրույթների վերաբերյալ դիտարկումներին արձագանքելով և չնսեմացնելով նոտարական գործունեության և այդ ինստիտուտի էական նշանակությունը՝ իրավաբանական փաստերի, գործողությունների և գործարքների վավերացման և որպես ապացույց արժանահավատության ամրապնդման </w:t>
            </w:r>
            <w:r w:rsidRPr="001B7EC6">
              <w:rPr>
                <w:rFonts w:ascii="GHEA Mariam" w:eastAsia="GHEA Grapalat" w:hAnsi="GHEA Mariam" w:cs="GHEA Grapalat"/>
                <w:color w:val="000000"/>
                <w:sz w:val="24"/>
                <w:szCs w:val="24"/>
              </w:rPr>
              <w:lastRenderedPageBreak/>
              <w:t>գործում, առաջարկում եմ, որպեսզի ապահովվի բանկերի անաչառ գործելու և չարաշահումները բացառելու երաշխիքները, առաջարկում ենք օրենքով բանկերին օժտել ոչ միայն գնման իրավունքի, այլև հիփոթեքի առարկա ցանկացած անշարժ գույքի գրավի և առուվաճառքի պայմանագրեր վավերացնելու իրավունքներով՝ հետագայում նախատեսելով պատասխանատվություն բանկի համար ակնհայտ կեղծ վավերացում դնելու համար՝ նոտարին բնորոշ նույն սկզբունքով։</w:t>
            </w:r>
          </w:p>
        </w:tc>
        <w:tc>
          <w:tcPr>
            <w:tcW w:w="3800" w:type="dxa"/>
            <w:tcBorders>
              <w:top w:val="single" w:sz="1" w:space="0" w:color="000000"/>
              <w:left w:val="single" w:sz="1" w:space="0" w:color="000000"/>
              <w:bottom w:val="single" w:sz="1" w:space="0" w:color="000000"/>
              <w:right w:val="single" w:sz="1" w:space="0" w:color="000000"/>
            </w:tcBorders>
          </w:tcPr>
          <w:p w:rsidR="00EB5D1C" w:rsidRDefault="00EB5D1C"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E34DD7" w:rsidP="005318D7">
            <w:pPr>
              <w:jc w:val="both"/>
              <w:rPr>
                <w:rFonts w:ascii="GHEA Mariam" w:hAnsi="GHEA Mariam"/>
                <w:sz w:val="24"/>
                <w:szCs w:val="24"/>
                <w:lang w:val="hy-AM"/>
              </w:rPr>
            </w:pPr>
            <w:r>
              <w:rPr>
                <w:rFonts w:ascii="GHEA Mariam" w:hAnsi="GHEA Mariam"/>
                <w:sz w:val="24"/>
                <w:szCs w:val="24"/>
                <w:lang w:val="hy-AM"/>
              </w:rPr>
              <w:t>Ընդունվել է ի գիտուոյթուն։</w:t>
            </w:r>
          </w:p>
          <w:p w:rsidR="00E34DD7" w:rsidRPr="00E34DD7" w:rsidRDefault="00E34DD7" w:rsidP="005318D7">
            <w:pPr>
              <w:jc w:val="both"/>
              <w:rPr>
                <w:rFonts w:ascii="GHEA Mariam" w:hAnsi="GHEA Mariam"/>
                <w:sz w:val="24"/>
                <w:szCs w:val="24"/>
                <w:lang w:val="hy-AM"/>
              </w:rPr>
            </w:pPr>
            <w:r>
              <w:rPr>
                <w:rFonts w:ascii="GHEA Mariam" w:hAnsi="GHEA Mariam"/>
                <w:sz w:val="24"/>
                <w:szCs w:val="24"/>
                <w:lang w:val="hy-AM"/>
              </w:rPr>
              <w:t xml:space="preserve">Հաշվի առնելով կարգավորման նորարա բնույթը առաջին փուլով նախատեսվում է </w:t>
            </w:r>
            <w:r>
              <w:rPr>
                <w:rFonts w:ascii="GHEA Mariam" w:hAnsi="GHEA Mariam"/>
                <w:sz w:val="24"/>
                <w:szCs w:val="24"/>
                <w:lang w:val="hy-AM"/>
              </w:rPr>
              <w:lastRenderedPageBreak/>
              <w:t>կարգավորման առարկա դարաձնել միայն անշ գույքի առաջնային շուկան։</w:t>
            </w: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Default="00BE4AC5" w:rsidP="005318D7">
            <w:pPr>
              <w:jc w:val="both"/>
              <w:rPr>
                <w:rFonts w:ascii="GHEA Mariam" w:hAnsi="GHEA Mariam"/>
                <w:sz w:val="24"/>
                <w:szCs w:val="24"/>
              </w:rPr>
            </w:pPr>
          </w:p>
          <w:p w:rsidR="00BE4AC5" w:rsidRPr="005318D7" w:rsidRDefault="00BE4AC5" w:rsidP="005318D7">
            <w:pPr>
              <w:jc w:val="both"/>
              <w:rPr>
                <w:rFonts w:ascii="GHEA Mariam" w:hAnsi="GHEA Mariam"/>
                <w:sz w:val="24"/>
                <w:szCs w:val="24"/>
              </w:rPr>
            </w:pPr>
          </w:p>
        </w:tc>
        <w:tc>
          <w:tcPr>
            <w:tcW w:w="3000" w:type="dxa"/>
            <w:tcBorders>
              <w:top w:val="single" w:sz="1" w:space="0" w:color="000000"/>
              <w:left w:val="single" w:sz="1" w:space="0" w:color="000000"/>
              <w:bottom w:val="single" w:sz="1" w:space="0" w:color="000000"/>
              <w:right w:val="single" w:sz="1" w:space="0" w:color="000000"/>
            </w:tcBorders>
          </w:tcPr>
          <w:p w:rsidR="00EB5D1C" w:rsidRPr="005318D7" w:rsidRDefault="00EB5D1C" w:rsidP="005318D7">
            <w:pPr>
              <w:jc w:val="both"/>
              <w:rPr>
                <w:rFonts w:ascii="GHEA Mariam" w:hAnsi="GHEA Mariam"/>
                <w:sz w:val="24"/>
                <w:szCs w:val="24"/>
              </w:rPr>
            </w:pPr>
          </w:p>
        </w:tc>
      </w:tr>
      <w:tr w:rsidR="00EB5D1C" w:rsidRPr="005318D7" w:rsidTr="005318D7">
        <w:trPr>
          <w:trHeight w:val="448"/>
        </w:trPr>
        <w:tc>
          <w:tcPr>
            <w:tcW w:w="5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Տիգրան Ստեփանյան</w:t>
            </w:r>
          </w:p>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24.12.2023 00:14:41</w:t>
            </w:r>
          </w:p>
        </w:tc>
        <w:tc>
          <w:tcPr>
            <w:tcW w:w="52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ind w:left="46" w:right="97"/>
              <w:jc w:val="both"/>
              <w:rPr>
                <w:rFonts w:ascii="GHEA Mariam" w:hAnsi="GHEA Mariam"/>
                <w:sz w:val="24"/>
                <w:szCs w:val="24"/>
              </w:rPr>
            </w:pPr>
            <w:r w:rsidRPr="005318D7">
              <w:rPr>
                <w:rFonts w:ascii="GHEA Mariam" w:eastAsia="GHEA Grapalat" w:hAnsi="GHEA Mariam" w:cs="GHEA Grapalat"/>
                <w:color w:val="000000"/>
                <w:sz w:val="24"/>
                <w:szCs w:val="24"/>
              </w:rPr>
              <w:t xml:space="preserve">Նախագիծը բացարձակ անընդունելի է, ի՞նչ է նշանակում &lt;&lt;առանց նոտարական վավերացման՝ բանկի կամ նման իրավասություն ունեցող վարկային կազմակերպությունների  հավաստման միջոցով, կնքել հիփոթեքի եռակողմ պայմանագիր&gt;&gt;։ Դե բանկերին ու նման այլ նախագծերի պատվիրատուներին գործարքների վավերացման լիազորություն էլ տվեք, գործարքների վավեր կամ անվավեր ճանաչելու լիազորությունն էլ </w:t>
            </w:r>
            <w:r w:rsidRPr="005318D7">
              <w:rPr>
                <w:rFonts w:ascii="GHEA Mariam" w:eastAsia="GHEA Grapalat" w:hAnsi="GHEA Mariam" w:cs="GHEA Grapalat"/>
                <w:color w:val="000000"/>
                <w:sz w:val="24"/>
                <w:szCs w:val="24"/>
              </w:rPr>
              <w:lastRenderedPageBreak/>
              <w:t>հետը</w:t>
            </w:r>
          </w:p>
        </w:tc>
        <w:tc>
          <w:tcPr>
            <w:tcW w:w="3800" w:type="dxa"/>
            <w:tcBorders>
              <w:top w:val="single" w:sz="1" w:space="0" w:color="000000"/>
              <w:left w:val="single" w:sz="1" w:space="0" w:color="000000"/>
              <w:bottom w:val="single" w:sz="1" w:space="0" w:color="000000"/>
              <w:right w:val="single" w:sz="1" w:space="0" w:color="000000"/>
            </w:tcBorders>
          </w:tcPr>
          <w:p w:rsidR="00EB5D1C" w:rsidRPr="00E34DD7" w:rsidRDefault="00E34DD7" w:rsidP="005318D7">
            <w:pPr>
              <w:jc w:val="both"/>
              <w:rPr>
                <w:rFonts w:ascii="GHEA Mariam" w:hAnsi="GHEA Mariam"/>
                <w:sz w:val="24"/>
                <w:szCs w:val="24"/>
                <w:lang w:val="hy-AM"/>
              </w:rPr>
            </w:pPr>
            <w:r>
              <w:rPr>
                <w:rFonts w:ascii="GHEA Mariam" w:hAnsi="GHEA Mariam"/>
                <w:sz w:val="24"/>
                <w:szCs w:val="24"/>
                <w:lang w:val="hy-AM"/>
              </w:rPr>
              <w:lastRenderedPageBreak/>
              <w:t>Ընդունվել է իգտություն։</w:t>
            </w:r>
          </w:p>
        </w:tc>
        <w:tc>
          <w:tcPr>
            <w:tcW w:w="3000" w:type="dxa"/>
            <w:tcBorders>
              <w:top w:val="single" w:sz="1" w:space="0" w:color="000000"/>
              <w:left w:val="single" w:sz="1" w:space="0" w:color="000000"/>
              <w:bottom w:val="single" w:sz="1" w:space="0" w:color="000000"/>
              <w:right w:val="single" w:sz="1" w:space="0" w:color="000000"/>
            </w:tcBorders>
          </w:tcPr>
          <w:p w:rsidR="00EB5D1C" w:rsidRPr="005318D7" w:rsidRDefault="00EB5D1C" w:rsidP="005318D7">
            <w:pPr>
              <w:jc w:val="both"/>
              <w:rPr>
                <w:rFonts w:ascii="GHEA Mariam" w:hAnsi="GHEA Mariam"/>
                <w:sz w:val="24"/>
                <w:szCs w:val="24"/>
              </w:rPr>
            </w:pPr>
          </w:p>
        </w:tc>
      </w:tr>
      <w:tr w:rsidR="00EB5D1C" w:rsidRPr="005318D7">
        <w:tc>
          <w:tcPr>
            <w:tcW w:w="5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Վարդան Ալոյան</w:t>
            </w:r>
          </w:p>
          <w:p w:rsidR="00EB5D1C" w:rsidRPr="005318D7" w:rsidRDefault="00DD3C0B" w:rsidP="005318D7">
            <w:pPr>
              <w:jc w:val="both"/>
              <w:rPr>
                <w:rFonts w:ascii="GHEA Mariam" w:hAnsi="GHEA Mariam"/>
                <w:sz w:val="24"/>
                <w:szCs w:val="24"/>
              </w:rPr>
            </w:pPr>
            <w:r w:rsidRPr="005318D7">
              <w:rPr>
                <w:rFonts w:ascii="GHEA Mariam" w:eastAsia="GHEA Grapalat" w:hAnsi="GHEA Mariam" w:cs="GHEA Grapalat"/>
                <w:color w:val="000000"/>
                <w:sz w:val="24"/>
                <w:szCs w:val="24"/>
              </w:rPr>
              <w:t>20.12.2023 11:25:51</w:t>
            </w:r>
          </w:p>
        </w:tc>
        <w:tc>
          <w:tcPr>
            <w:tcW w:w="5200" w:type="dxa"/>
            <w:tcBorders>
              <w:top w:val="single" w:sz="1" w:space="0" w:color="000000"/>
              <w:left w:val="single" w:sz="1" w:space="0" w:color="000000"/>
              <w:bottom w:val="single" w:sz="1" w:space="0" w:color="000000"/>
              <w:right w:val="single" w:sz="1" w:space="0" w:color="000000"/>
            </w:tcBorders>
          </w:tcPr>
          <w:p w:rsidR="00EB5D1C" w:rsidRPr="005318D7" w:rsidRDefault="00DD3C0B" w:rsidP="005318D7">
            <w:pPr>
              <w:ind w:left="46" w:right="97"/>
              <w:jc w:val="both"/>
              <w:rPr>
                <w:rFonts w:ascii="GHEA Mariam" w:hAnsi="GHEA Mariam"/>
                <w:sz w:val="24"/>
                <w:szCs w:val="24"/>
              </w:rPr>
            </w:pPr>
            <w:r w:rsidRPr="005318D7">
              <w:rPr>
                <w:rFonts w:ascii="GHEA Mariam" w:eastAsia="GHEA Grapalat" w:hAnsi="GHEA Mariam" w:cs="GHEA Grapalat"/>
                <w:color w:val="000000"/>
                <w:sz w:val="24"/>
                <w:szCs w:val="24"/>
              </w:rPr>
              <w:t xml:space="preserve">Աջառին հայցքից գործընթացը դյուրինացնող թվացող փոփոխությունը իրականում առաջացնելու է լրջագույն խնդիրների։  Ներկայումս բանկերը հիփոթեքային պայմանագրերը կնքում են իրենց կողմից հաստատված ձևանմուշներով՝ առավելապես, որոշ դեպքերում՝ բացառապես բանկի իրավուքները և շահերը պաշտպանող, հաճախ նաև բանկի իրավունքի չարաշահման հանգեցնող դրությներով, որոնք որևէ կերպ փոփոխության ենթակա չեն։ Հաշվի առնելով բնակչույթն իրավագիտակցության մակարդակը, հիփոթեքից զատ այլ տարբերակ չունենալու, ինչպես նաև եկամտային հարկի վերադարձի հնարավորությունից օգտվելու ցանկությունը, գնորդերը ստիպված համաձայնում են բանկի առաջարկած ցանկացած դրույթի, հակառկ դեպքում ուղակի չեն կարողանում գույք ձեռք բերել։  Նոտարիատի մասին օրենքի 3-րդ հոդվածի համաձայն՝ նոտարը </w:t>
            </w:r>
            <w:r w:rsidRPr="005318D7">
              <w:rPr>
                <w:rFonts w:ascii="GHEA Mariam" w:eastAsia="GHEA Grapalat" w:hAnsi="GHEA Mariam" w:cs="GHEA Grapalat"/>
                <w:color w:val="000000"/>
                <w:sz w:val="24"/>
                <w:szCs w:val="24"/>
              </w:rPr>
              <w:lastRenderedPageBreak/>
              <w:t xml:space="preserve">պայմանագիրը վավերացնելիս հաստատում է դրա օրինականությունը։ Այսինքն նոտարի ֆունկցիան միայն անձանց ու ստորագրություննների իսկություն հաստատելը չէ, այլ նաև այնպիսի պայմանագրի վավերացումը, որը բոլոր դրությներն օրինական է։ Ահա նոտարի այս լիազորությունը/պարտավորությունը ներկայումս գոնե որոշակիորեն զսպում է բանկերի ցանկությունը պայմանագրում բանկի շահերից բխող ցանկացած՝ այդ թվում ապօրինի դրությներ պարունակող կետեր ներառելու մասով։ Իսկ կադաստրի կոմիտեն պայմանագրի դրությների վերաբերյալ որևէ ուսումնասիրություն կատարելու կամ որևէ կարծիք հայտնելու իրավասություն չունի, քանի որ վերջինս միայն գրանցող մարմին է։ Արդյուքնում պայմանագրի ապօրինի կետերի հետևանքով խնդրի առաջ է կանգնելու միայն գնորդը։ Արդյունքում միանշանակ բանկերը պայմանագրերում ներառելու են կամայական ապօրինի դրույթներ։ Թվում է, թե գնորդի ընտրության հնարավորությունը </w:t>
            </w:r>
            <w:r w:rsidRPr="005318D7">
              <w:rPr>
                <w:rFonts w:ascii="GHEA Mariam" w:eastAsia="GHEA Grapalat" w:hAnsi="GHEA Mariam" w:cs="GHEA Grapalat"/>
                <w:color w:val="000000"/>
                <w:sz w:val="24"/>
                <w:szCs w:val="24"/>
              </w:rPr>
              <w:lastRenderedPageBreak/>
              <w:t>միևնույն է մնում է, և վերջինս կարող է նախընտրել նոտարական կարգով պայմանագրի վավերացումը, սկայան համոզված եմ, որ բանկերի կողմից գործընթացները կազմակերպվելու են այնպես, որ անձիք ստիպված լինեն ընտրեն առանց նոտարի վավերացման գործարքի կնքման։ Այսինքն գնորդների ընտրության հնարավորությունը կունենա լոկ ձևական բնույթ։ Բացի այդ նոտարը առցանց եղանակով ստուգում է նաև գույքը օտարող ֆիզիկական անձի ամուսնացած լինելու փաստը, ինպիսի հնարավորություն չունի բանկը, և այս մասով ևս նորից առաջանալու են այն ռիսկերը, որոնք կային նախկինում, երբ նոտարները դեռ չունեին այդ տեղեկությունը ստուգելու հնարավորությունը։ Այսինքն այս մասով հետընթաց ենք ունենալու։</w:t>
            </w:r>
          </w:p>
        </w:tc>
        <w:tc>
          <w:tcPr>
            <w:tcW w:w="3800" w:type="dxa"/>
            <w:tcBorders>
              <w:top w:val="single" w:sz="1" w:space="0" w:color="000000"/>
              <w:left w:val="single" w:sz="1" w:space="0" w:color="000000"/>
              <w:bottom w:val="single" w:sz="1" w:space="0" w:color="000000"/>
              <w:right w:val="single" w:sz="1" w:space="0" w:color="000000"/>
            </w:tcBorders>
          </w:tcPr>
          <w:p w:rsidR="00EB5D1C" w:rsidRDefault="00E34DD7" w:rsidP="005318D7">
            <w:pPr>
              <w:jc w:val="both"/>
              <w:rPr>
                <w:rFonts w:ascii="GHEA Mariam" w:hAnsi="GHEA Mariam"/>
                <w:sz w:val="24"/>
                <w:szCs w:val="24"/>
                <w:lang w:val="hy-AM"/>
              </w:rPr>
            </w:pPr>
            <w:r>
              <w:rPr>
                <w:rFonts w:ascii="GHEA Mariam" w:hAnsi="GHEA Mariam"/>
                <w:sz w:val="24"/>
                <w:szCs w:val="24"/>
                <w:lang w:val="hy-AM"/>
              </w:rPr>
              <w:lastRenderedPageBreak/>
              <w:t>Ընդունվել է ի գիտութոյուն։</w:t>
            </w:r>
          </w:p>
          <w:p w:rsidR="00E34DD7" w:rsidRPr="00E34DD7" w:rsidRDefault="00E34DD7" w:rsidP="005318D7">
            <w:pPr>
              <w:jc w:val="both"/>
              <w:rPr>
                <w:rFonts w:ascii="GHEA Mariam" w:hAnsi="GHEA Mariam"/>
                <w:sz w:val="24"/>
                <w:szCs w:val="24"/>
                <w:lang w:val="hy-AM"/>
              </w:rPr>
            </w:pPr>
          </w:p>
        </w:tc>
        <w:tc>
          <w:tcPr>
            <w:tcW w:w="3000" w:type="dxa"/>
            <w:tcBorders>
              <w:top w:val="single" w:sz="1" w:space="0" w:color="000000"/>
              <w:left w:val="single" w:sz="1" w:space="0" w:color="000000"/>
              <w:bottom w:val="single" w:sz="1" w:space="0" w:color="000000"/>
              <w:right w:val="single" w:sz="1" w:space="0" w:color="000000"/>
            </w:tcBorders>
          </w:tcPr>
          <w:p w:rsidR="00EB5D1C" w:rsidRPr="005318D7" w:rsidRDefault="00EB5D1C" w:rsidP="005318D7">
            <w:pPr>
              <w:jc w:val="both"/>
              <w:rPr>
                <w:rFonts w:ascii="GHEA Mariam" w:hAnsi="GHEA Mariam"/>
                <w:sz w:val="24"/>
                <w:szCs w:val="24"/>
              </w:rPr>
            </w:pPr>
          </w:p>
        </w:tc>
      </w:tr>
    </w:tbl>
    <w:p w:rsidR="00DD3C0B" w:rsidRPr="005318D7" w:rsidRDefault="00DD3C0B" w:rsidP="005318D7">
      <w:pPr>
        <w:jc w:val="both"/>
        <w:rPr>
          <w:rFonts w:ascii="GHEA Mariam" w:hAnsi="GHEA Mariam"/>
        </w:rPr>
      </w:pPr>
    </w:p>
    <w:sectPr w:rsidR="00DD3C0B" w:rsidRPr="005318D7">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compat>
    <w:compatSetting w:name="compatibilityMode" w:uri="http://schemas.microsoft.com/office/word" w:val="12"/>
  </w:compat>
  <w:rsids>
    <w:rsidRoot w:val="00EB5D1C"/>
    <w:rsid w:val="00120C6F"/>
    <w:rsid w:val="001B7EC6"/>
    <w:rsid w:val="003662AF"/>
    <w:rsid w:val="005318D7"/>
    <w:rsid w:val="00BE4AC5"/>
    <w:rsid w:val="00DD3C0B"/>
    <w:rsid w:val="00E34DD7"/>
    <w:rsid w:val="00EB5D1C"/>
    <w:rsid w:val="00FE0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607EEC-964D-4D4C-BFE6-EC16542E1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708</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Հայկազ Գրիգորյան</cp:lastModifiedBy>
  <cp:revision>7</cp:revision>
  <dcterms:created xsi:type="dcterms:W3CDTF">2024-01-03T06:08:00Z</dcterms:created>
  <dcterms:modified xsi:type="dcterms:W3CDTF">2024-07-12T11:23:00Z</dcterms:modified>
  <cp:category/>
</cp:coreProperties>
</file>