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4B3D" w:rsidRPr="00EC505A" w:rsidRDefault="00934B3D" w:rsidP="00934B3D">
      <w:pPr>
        <w:spacing w:after="0" w:line="360" w:lineRule="auto"/>
        <w:jc w:val="center"/>
        <w:rPr>
          <w:rFonts w:ascii="GHEA Grapalat" w:eastAsia="Times New Roman" w:hAnsi="GHEA Grapalat" w:cs="GHEA Grapalat"/>
          <w:b/>
          <w:bCs/>
          <w:i/>
          <w:sz w:val="24"/>
          <w:szCs w:val="24"/>
          <w:lang w:val="hy-AM" w:eastAsia="ru-RU"/>
        </w:rPr>
      </w:pPr>
      <w:r w:rsidRPr="00EC505A">
        <w:rPr>
          <w:rFonts w:ascii="GHEA Grapalat" w:eastAsia="Times New Roman" w:hAnsi="GHEA Grapalat" w:cs="GHEA Grapalat"/>
          <w:b/>
          <w:sz w:val="24"/>
          <w:szCs w:val="24"/>
          <w:lang w:val="hy-AM" w:eastAsia="ru-RU"/>
        </w:rPr>
        <w:t>Հ Ի Մ Ն Ա Վ Ո Ր ՈՒ Մ</w:t>
      </w:r>
    </w:p>
    <w:p w:rsidR="00934B3D" w:rsidRPr="00EC505A" w:rsidRDefault="00934B3D" w:rsidP="00934B3D">
      <w:pPr>
        <w:spacing w:after="0" w:line="360" w:lineRule="auto"/>
        <w:jc w:val="center"/>
        <w:rPr>
          <w:rFonts w:ascii="GHEA Grapalat" w:hAnsi="GHEA Grapalat"/>
          <w:b/>
          <w:i/>
          <w:sz w:val="24"/>
          <w:szCs w:val="24"/>
          <w:lang w:val="hy-AM"/>
        </w:rPr>
      </w:pPr>
      <w:r w:rsidRPr="00EC505A">
        <w:rPr>
          <w:rFonts w:ascii="GHEA Grapalat" w:hAnsi="GHEA Grapalat"/>
          <w:b/>
          <w:sz w:val="24"/>
          <w:szCs w:val="24"/>
          <w:lang w:val="hy-AM"/>
        </w:rPr>
        <w:t xml:space="preserve">«ԵՐԵՎԱՆԻ ՔԱՂԱՔԱՅԻՆ ԶԱՐԳԱՑՄԱՆ ՆԵՐԴՐՈՒՄԱՅԻՆ ԾՐԱԳՐԻ </w:t>
      </w:r>
    </w:p>
    <w:p w:rsidR="00934B3D" w:rsidRPr="00EC505A" w:rsidRDefault="00934B3D" w:rsidP="00934B3D">
      <w:pPr>
        <w:spacing w:after="0" w:line="360" w:lineRule="auto"/>
        <w:jc w:val="center"/>
        <w:rPr>
          <w:rFonts w:ascii="GHEA Grapalat" w:hAnsi="GHEA Grapalat"/>
          <w:b/>
          <w:i/>
          <w:sz w:val="24"/>
          <w:szCs w:val="24"/>
          <w:lang w:val="hy-AM"/>
        </w:rPr>
      </w:pPr>
      <w:r w:rsidRPr="00EC505A">
        <w:rPr>
          <w:rFonts w:ascii="GHEA Grapalat" w:hAnsi="GHEA Grapalat"/>
          <w:b/>
          <w:sz w:val="24"/>
          <w:szCs w:val="24"/>
          <w:lang w:val="hy-AM"/>
        </w:rPr>
        <w:t>ՀՈՂԻ ՕՏԱՐՄԱՆ ԵՎ ՏԱՐԱԲՆԱԿԵՑՄԱՆ ԾՐԱԳԻՐԸ ՀԱՍՏԱՏԵԼՈՒ ՄԱՍԻՆ»</w:t>
      </w:r>
    </w:p>
    <w:p w:rsidR="00934B3D" w:rsidRPr="00EC505A" w:rsidRDefault="00934B3D" w:rsidP="00934B3D">
      <w:pPr>
        <w:spacing w:after="240" w:line="360" w:lineRule="auto"/>
        <w:jc w:val="center"/>
        <w:rPr>
          <w:rFonts w:ascii="GHEA Grapalat" w:hAnsi="GHEA Grapalat"/>
          <w:b/>
          <w:i/>
          <w:sz w:val="24"/>
          <w:szCs w:val="24"/>
          <w:lang w:val="hy-AM"/>
        </w:rPr>
      </w:pPr>
      <w:r w:rsidRPr="00EC505A">
        <w:rPr>
          <w:rFonts w:ascii="GHEA Grapalat" w:hAnsi="GHEA Grapalat"/>
          <w:b/>
          <w:sz w:val="24"/>
          <w:szCs w:val="24"/>
          <w:lang w:val="hy-AM"/>
        </w:rPr>
        <w:t xml:space="preserve">ՀՀ ԿԱՌԱՎԱՐՈՒԹՅԱՆ ՈՐՈՇՄԱՆ ՆԱԽԱԳԾԻ ԸՆԴՈՒՆՄԱՆ  </w:t>
      </w:r>
    </w:p>
    <w:p w:rsidR="00934B3D" w:rsidRPr="00EC505A" w:rsidRDefault="00934B3D" w:rsidP="00934B3D">
      <w:pPr>
        <w:pStyle w:val="ListParagraph"/>
        <w:numPr>
          <w:ilvl w:val="0"/>
          <w:numId w:val="6"/>
        </w:numPr>
        <w:spacing w:before="120" w:after="120" w:line="360" w:lineRule="auto"/>
        <w:ind w:left="0" w:firstLine="450"/>
        <w:contextualSpacing w:val="0"/>
        <w:jc w:val="both"/>
        <w:rPr>
          <w:rFonts w:ascii="GHEA Grapalat" w:eastAsia="Batang" w:hAnsi="GHEA Grapalat" w:cs="Sylfaen"/>
          <w:b/>
          <w:bCs w:val="0"/>
          <w:i w:val="0"/>
          <w:sz w:val="24"/>
          <w:szCs w:val="24"/>
          <w:lang w:val="hy-AM" w:eastAsia="ko-KR"/>
        </w:rPr>
      </w:pPr>
      <w:r w:rsidRPr="00EC505A">
        <w:rPr>
          <w:rFonts w:ascii="GHEA Grapalat" w:eastAsia="Batang" w:hAnsi="GHEA Grapalat" w:cs="Sylfaen"/>
          <w:b/>
          <w:bCs w:val="0"/>
          <w:i w:val="0"/>
          <w:sz w:val="24"/>
          <w:szCs w:val="24"/>
          <w:lang w:val="hy-AM" w:eastAsia="ko-KR"/>
        </w:rPr>
        <w:t>Նախագծի անհրաժեշտությունը, նպատակը և ընթացիկ իրավիճակը.</w:t>
      </w:r>
    </w:p>
    <w:p w:rsidR="00934B3D" w:rsidRPr="00EC505A" w:rsidRDefault="00934B3D" w:rsidP="00934B3D">
      <w:pPr>
        <w:spacing w:before="120" w:after="120" w:line="360" w:lineRule="auto"/>
        <w:ind w:firstLine="562"/>
        <w:jc w:val="both"/>
        <w:rPr>
          <w:rFonts w:ascii="GHEA Grapalat" w:hAnsi="GHEA Grapalat"/>
          <w:color w:val="000000"/>
          <w:sz w:val="24"/>
          <w:szCs w:val="24"/>
          <w:shd w:val="clear" w:color="auto" w:fill="FFFFFF"/>
          <w:lang w:val="hy-AM"/>
        </w:rPr>
      </w:pPr>
      <w:r w:rsidRPr="00EC505A">
        <w:rPr>
          <w:rFonts w:ascii="GHEA Grapalat" w:hAnsi="GHEA Grapalat"/>
          <w:color w:val="000000"/>
          <w:sz w:val="24"/>
          <w:szCs w:val="24"/>
          <w:shd w:val="clear" w:color="auto" w:fill="FFFFFF"/>
          <w:lang w:val="hy-AM"/>
        </w:rPr>
        <w:t>ՀՀ և Ասիական զարգացման բանկի (ԱԶԲ) միջև 2023 թվականի նոյեմբերի 27-ին կնքվել է «Երևանի քաղաքային զարգացման ներդրումային ծրագիր» վարկային համաձայնագիրը, և ծրագրի փաստացի գործարկումը հայտարարվել է 2024 թվականի մայիսի 22-ին: Ծրագրի շրջանակներում նախատեսվում է կառուցել Երևանի Ծովակալ Իսակով պողոտա-Արշակունյաց պողոտա ճանապարհահատվածը, 260 մետրանոց կամուրջ, ինչպես նաև՝ վերականգնել Կոմիտասի անվան այգու մի հատվածը՝ կիրառելով բնահեն լուծումներ: Ճանապարհը կապահովի անմիջական երթուղային կապ Երևանի 3 վարչական շրջանների (Մալաթիա-Սեբաստիա, Կենտրոն և Շենգավիթ) միջև՝ նպաստելով տրանսպորտային հոսքերի վերաբաշխմանը:</w:t>
      </w:r>
    </w:p>
    <w:p w:rsidR="00934B3D" w:rsidRPr="00EC505A" w:rsidRDefault="00934B3D" w:rsidP="00934B3D">
      <w:pPr>
        <w:spacing w:before="120" w:after="120" w:line="360" w:lineRule="auto"/>
        <w:ind w:firstLine="562"/>
        <w:jc w:val="both"/>
        <w:rPr>
          <w:rFonts w:ascii="GHEA Grapalat" w:hAnsi="GHEA Grapalat"/>
          <w:i/>
          <w:color w:val="000000"/>
          <w:sz w:val="24"/>
          <w:szCs w:val="24"/>
          <w:shd w:val="clear" w:color="auto" w:fill="FFFFFF"/>
          <w:lang w:val="hy-AM"/>
        </w:rPr>
      </w:pPr>
      <w:r w:rsidRPr="00EC505A">
        <w:rPr>
          <w:rFonts w:ascii="GHEA Grapalat" w:hAnsi="GHEA Grapalat"/>
          <w:color w:val="000000"/>
          <w:sz w:val="24"/>
          <w:szCs w:val="24"/>
          <w:shd w:val="clear" w:color="auto" w:fill="FFFFFF"/>
          <w:lang w:val="hy-AM"/>
        </w:rPr>
        <w:t>Իսակով-Արշակունյաց ճանապարհի նախագիծը 13.06.2024 թ. ստացել է պետական համալիր փորձաքննական հանձնաժողովի հ 110 դրական եզրակացությունը։</w:t>
      </w:r>
      <w:bookmarkStart w:id="0" w:name="_Hlk193886759"/>
      <w:r w:rsidRPr="00EC505A">
        <w:rPr>
          <w:rFonts w:ascii="GHEA Grapalat" w:hAnsi="GHEA Grapalat"/>
          <w:color w:val="000000"/>
          <w:sz w:val="24"/>
          <w:szCs w:val="24"/>
          <w:shd w:val="clear" w:color="auto" w:fill="FFFFFF"/>
          <w:lang w:val="hy-AM"/>
        </w:rPr>
        <w:t xml:space="preserve"> Շինարարական աշխատանքների պատշաճ կազմակերպման նպատակով պետք է շինարարության հատվածն ընդգրկող տարածքներում իրականացվեն հողի օտարման և տարաբնակեցման (ՀՕՏ) աշխատանքներ:</w:t>
      </w:r>
    </w:p>
    <w:bookmarkEnd w:id="0"/>
    <w:p w:rsidR="00934B3D" w:rsidRPr="00EC505A" w:rsidRDefault="00934B3D" w:rsidP="00934B3D">
      <w:pPr>
        <w:spacing w:before="120" w:after="120" w:line="360" w:lineRule="auto"/>
        <w:ind w:firstLine="562"/>
        <w:jc w:val="both"/>
        <w:rPr>
          <w:rFonts w:ascii="GHEA Grapalat" w:hAnsi="GHEA Grapalat"/>
          <w:color w:val="000000"/>
          <w:sz w:val="24"/>
          <w:szCs w:val="24"/>
          <w:shd w:val="clear" w:color="auto" w:fill="FFFFFF"/>
          <w:lang w:val="hy-AM"/>
        </w:rPr>
      </w:pPr>
      <w:r w:rsidRPr="00EC505A">
        <w:rPr>
          <w:rFonts w:ascii="GHEA Grapalat" w:hAnsi="GHEA Grapalat"/>
          <w:color w:val="000000"/>
          <w:sz w:val="24"/>
          <w:szCs w:val="24"/>
          <w:shd w:val="clear" w:color="auto" w:fill="FFFFFF"/>
          <w:lang w:val="hy-AM"/>
        </w:rPr>
        <w:t>ՀՀ կառավարության 2023 թվականի օգոստոսի 11-ի թիվ 1357-Ն որոշմամբ ճանապարհահատվածի կառուցման արդյունքում ազդեցության ենթարկվող գույքերի նկատմամբ ճանաչվել է հանրության գերակա շահ: Նշված որոշմամբ օտարման գործընթացի մեկնարկի վերջնաժամկետ է սահմանված 2025 թվականի մայիսի 1-ը:</w:t>
      </w:r>
    </w:p>
    <w:p w:rsidR="00934B3D" w:rsidRPr="00EC505A" w:rsidRDefault="00934B3D" w:rsidP="00934B3D">
      <w:pPr>
        <w:spacing w:before="120" w:after="120" w:line="360" w:lineRule="auto"/>
        <w:ind w:firstLine="562"/>
        <w:jc w:val="both"/>
        <w:rPr>
          <w:rFonts w:ascii="GHEA Grapalat" w:hAnsi="GHEA Grapalat"/>
          <w:i/>
          <w:color w:val="000000"/>
          <w:sz w:val="24"/>
          <w:szCs w:val="24"/>
          <w:shd w:val="clear" w:color="auto" w:fill="FFFFFF"/>
          <w:lang w:val="hy-AM"/>
        </w:rPr>
      </w:pPr>
      <w:r w:rsidRPr="00EC505A">
        <w:rPr>
          <w:rFonts w:ascii="GHEA Grapalat" w:hAnsi="GHEA Grapalat"/>
          <w:color w:val="000000"/>
          <w:sz w:val="24"/>
          <w:szCs w:val="24"/>
          <w:shd w:val="clear" w:color="auto" w:fill="FFFFFF"/>
          <w:lang w:val="hy-AM"/>
        </w:rPr>
        <w:t xml:space="preserve">Համաձայն վարկային համաձայնագրի` ծրագրի ՀՕՏ աշխատանքները պետք է իրականացվեն ըստ ՀՀ վերաբերելի օրենսդրության և ԱԶԲ կանոնակարգի՝ ոչ կամավոր տարաբնակեցման քաղաքականության, ինչը նախատեսում է փոխհատուցումների և նպաստների տրամադրում այնպիսի կորուստների դիմաց, որոնք ՀՀ օրենսդրությամբ նախատեսված չեն: Հետևաբար՝ սույն որոշման նախագծի անհրաժեշտությունը բխում է </w:t>
      </w:r>
      <w:r w:rsidRPr="00EC505A">
        <w:rPr>
          <w:rFonts w:ascii="GHEA Grapalat" w:hAnsi="GHEA Grapalat"/>
          <w:color w:val="000000"/>
          <w:sz w:val="24"/>
          <w:szCs w:val="24"/>
          <w:shd w:val="clear" w:color="auto" w:fill="FFFFFF"/>
          <w:lang w:val="hy-AM"/>
        </w:rPr>
        <w:lastRenderedPageBreak/>
        <w:t>ծրագրի շրջանակներում նախատեսվող ՀՕՏ-ի՝ ՀՀ օրենսդրության և ԱԶԲ-ի ոչ կամավոր տարաբնակեցման քաղաքականության ներդաշնակեցման պահանջից՝ սահմանելու փոխհատուցման ենթակա կորուստների տեսակները և փոխհատուցման սկզբունքները:</w:t>
      </w:r>
    </w:p>
    <w:p w:rsidR="00934B3D" w:rsidRPr="00EC505A" w:rsidRDefault="00934B3D" w:rsidP="00934B3D">
      <w:pPr>
        <w:spacing w:before="120" w:after="120" w:line="360" w:lineRule="auto"/>
        <w:ind w:firstLine="562"/>
        <w:jc w:val="both"/>
        <w:rPr>
          <w:rFonts w:ascii="GHEA Grapalat" w:hAnsi="GHEA Grapalat"/>
          <w:color w:val="000000"/>
          <w:sz w:val="24"/>
          <w:szCs w:val="24"/>
          <w:shd w:val="clear" w:color="auto" w:fill="FFFFFF"/>
          <w:lang w:val="hy-AM"/>
        </w:rPr>
      </w:pPr>
      <w:r w:rsidRPr="00EC505A">
        <w:rPr>
          <w:rFonts w:ascii="GHEA Grapalat" w:hAnsi="GHEA Grapalat"/>
          <w:color w:val="000000"/>
          <w:sz w:val="24"/>
          <w:szCs w:val="24"/>
          <w:shd w:val="clear" w:color="auto" w:fill="FFFFFF"/>
          <w:lang w:val="hy-AM"/>
        </w:rPr>
        <w:t>ՀՕՏ աշխատանքներն իրականացնելու համար անհրաժեշտ է ՀՀ կառավարության կողմից Հողի օտարման և տարաբնակեցման շրջանակի (ՀՕՏՇ) և Հողի օտարման և տարաբնակեցման մանրամասն ծրագրի (ՀՕՏԾ) մասին որոշումների ընդունումը։ Նշվածներից ՀՕՏՇ-ն սահմանում է փոխհատուցման ենթակա կորուստների տեսակները և փոխհատուցման սկզբունքները, ՀՕՏԾ-ն՝ ներառում տեղեկատվություն ազդեցության ենթակա տնային տնտեսությունների և գույքերի վերաբերյալ, իրականացման գնահատված բյուջեն և ժամանակացույցը: ՀՀ կառավարության 2025 թվականի ապրիլի 23-ին ընդունվել է «Երևանի քաղաքային զարգացման ներդրումային ծրագրի` հողի օտարման և տարաբնակեցման շրջանակը հաստատելու մասին» որոշումը (ՀՕՏՇ)։</w:t>
      </w:r>
    </w:p>
    <w:p w:rsidR="00934B3D" w:rsidRPr="00EC505A" w:rsidRDefault="00934B3D" w:rsidP="00934B3D">
      <w:pPr>
        <w:spacing w:after="120" w:line="360" w:lineRule="auto"/>
        <w:ind w:firstLine="450"/>
        <w:jc w:val="both"/>
        <w:rPr>
          <w:rFonts w:ascii="GHEA Grapalat" w:hAnsi="GHEA Grapalat"/>
          <w:sz w:val="24"/>
          <w:szCs w:val="24"/>
          <w:lang w:val="hy-AM"/>
        </w:rPr>
      </w:pPr>
      <w:r w:rsidRPr="00EC505A">
        <w:rPr>
          <w:rFonts w:ascii="GHEA Grapalat" w:hAnsi="GHEA Grapalat"/>
          <w:sz w:val="24"/>
          <w:szCs w:val="24"/>
          <w:lang w:val="hy-AM"/>
        </w:rPr>
        <w:t>ՀՕՏ-ի արդյունքում ազդեցության ենթակա են 50 տնային տնտեսություններ, որոնց ընդհանուր կորուստները կկազմեն՝ 59 հողակտոր, 80 բնակելի և ոչ բնակելի շենք և շինություն, կդադարեցվի 3 ձեռնարկատիրական գործունեություն, ինչի արդյունքում 4 անձ կկորցնի մշտական աշխատանքը:</w:t>
      </w:r>
    </w:p>
    <w:p w:rsidR="00934B3D" w:rsidRPr="00EC505A" w:rsidRDefault="00934B3D" w:rsidP="00934B3D">
      <w:pPr>
        <w:spacing w:before="120" w:after="120" w:line="360" w:lineRule="auto"/>
        <w:ind w:firstLine="562"/>
        <w:jc w:val="both"/>
        <w:rPr>
          <w:rFonts w:ascii="GHEA Grapalat" w:hAnsi="GHEA Grapalat"/>
          <w:i/>
          <w:color w:val="000000"/>
          <w:sz w:val="24"/>
          <w:szCs w:val="24"/>
          <w:shd w:val="clear" w:color="auto" w:fill="FFFFFF"/>
          <w:lang w:val="hy-AM"/>
        </w:rPr>
      </w:pPr>
      <w:r w:rsidRPr="00EC505A">
        <w:rPr>
          <w:rFonts w:ascii="GHEA Grapalat" w:hAnsi="GHEA Grapalat"/>
          <w:color w:val="000000"/>
          <w:sz w:val="24"/>
          <w:szCs w:val="24"/>
          <w:shd w:val="clear" w:color="auto" w:fill="FFFFFF"/>
          <w:lang w:val="hy-AM"/>
        </w:rPr>
        <w:t>ՀՕՏԾ-ն կազմելու նպատակով իրականացվել էր միջազգային ընկերության կողմից անկախ գնահատում, և ապահովվել է դրա վերագնահատումը (ստացվել է ս.թ. մարտի 12-ին)՝ արդիական տվյալներ և փոխհատուցման շրջանակ ունենալու նպատակով: Որոշման հավելվածով սահմանվող ՀՕՏԾ-ն հաստատված է ԱԶԲ կողմից։</w:t>
      </w:r>
    </w:p>
    <w:p w:rsidR="00934B3D" w:rsidRPr="00EC505A" w:rsidRDefault="00934B3D" w:rsidP="00934B3D">
      <w:pPr>
        <w:pStyle w:val="ListParagraph"/>
        <w:numPr>
          <w:ilvl w:val="0"/>
          <w:numId w:val="6"/>
        </w:numPr>
        <w:spacing w:before="120" w:after="120" w:line="360" w:lineRule="auto"/>
        <w:ind w:left="0" w:firstLine="450"/>
        <w:contextualSpacing w:val="0"/>
        <w:jc w:val="both"/>
        <w:rPr>
          <w:rFonts w:ascii="GHEA Grapalat" w:eastAsia="Batang" w:hAnsi="GHEA Grapalat" w:cs="Sylfaen"/>
          <w:b/>
          <w:bCs w:val="0"/>
          <w:i w:val="0"/>
          <w:sz w:val="24"/>
          <w:szCs w:val="24"/>
          <w:lang w:val="hy-AM" w:eastAsia="ko-KR"/>
        </w:rPr>
      </w:pPr>
      <w:r w:rsidRPr="00EC505A">
        <w:rPr>
          <w:rFonts w:ascii="GHEA Grapalat" w:eastAsia="Batang" w:hAnsi="GHEA Grapalat" w:cs="Sylfaen"/>
          <w:b/>
          <w:bCs w:val="0"/>
          <w:i w:val="0"/>
          <w:sz w:val="24"/>
          <w:szCs w:val="24"/>
          <w:lang w:val="hy-AM" w:eastAsia="ko-KR"/>
        </w:rPr>
        <w:t>Նախագծով առաջարկվող կարգավորումների բնույթը.</w:t>
      </w:r>
    </w:p>
    <w:p w:rsidR="00934B3D" w:rsidRPr="00EC505A" w:rsidRDefault="00934B3D" w:rsidP="00934B3D">
      <w:pPr>
        <w:spacing w:before="120" w:after="120" w:line="360" w:lineRule="auto"/>
        <w:ind w:firstLine="562"/>
        <w:jc w:val="both"/>
        <w:rPr>
          <w:rFonts w:ascii="GHEA Grapalat" w:eastAsia="Batang" w:hAnsi="GHEA Grapalat" w:cs="Sylfaen"/>
          <w:sz w:val="24"/>
          <w:szCs w:val="24"/>
          <w:lang w:val="hy-AM" w:eastAsia="ko-KR"/>
        </w:rPr>
      </w:pPr>
      <w:r w:rsidRPr="00EC505A">
        <w:rPr>
          <w:rFonts w:ascii="GHEA Grapalat" w:eastAsia="Batang" w:hAnsi="GHEA Grapalat" w:cs="Sylfaen"/>
          <w:sz w:val="24"/>
          <w:szCs w:val="24"/>
          <w:lang w:val="hy-AM" w:eastAsia="ko-KR"/>
        </w:rPr>
        <w:t xml:space="preserve">Սույն նախագծով հաստատվում է Երևանի քաղաքային զարգացման ներդրումային ծրագրով Երևանում Իսակով-Արշակունյաց նոր ճանապարհի կառուցման ազդեցության ենթակա </w:t>
      </w:r>
      <w:r w:rsidRPr="00EC505A">
        <w:rPr>
          <w:rFonts w:ascii="GHEA Grapalat" w:hAnsi="GHEA Grapalat"/>
          <w:color w:val="000000"/>
          <w:sz w:val="24"/>
          <w:szCs w:val="24"/>
          <w:shd w:val="clear" w:color="auto" w:fill="FFFFFF"/>
          <w:lang w:val="hy-AM"/>
        </w:rPr>
        <w:t>տնային տնտեսությունների և գույքերի վերաբերյալ, իրականացման գնահատված ֆինանսական շրջանակը և ժամանակացույցը:</w:t>
      </w:r>
    </w:p>
    <w:p w:rsidR="00934B3D" w:rsidRPr="00EC505A" w:rsidRDefault="00934B3D" w:rsidP="00934B3D">
      <w:pPr>
        <w:pStyle w:val="ListParagraph"/>
        <w:numPr>
          <w:ilvl w:val="0"/>
          <w:numId w:val="6"/>
        </w:numPr>
        <w:spacing w:before="120" w:after="120" w:line="360" w:lineRule="auto"/>
        <w:ind w:left="0" w:firstLine="450"/>
        <w:contextualSpacing w:val="0"/>
        <w:jc w:val="both"/>
        <w:rPr>
          <w:rFonts w:ascii="GHEA Grapalat" w:eastAsia="Batang" w:hAnsi="GHEA Grapalat" w:cs="Sylfaen"/>
          <w:b/>
          <w:bCs w:val="0"/>
          <w:i w:val="0"/>
          <w:sz w:val="24"/>
          <w:szCs w:val="24"/>
          <w:lang w:val="hy-AM" w:eastAsia="ko-KR"/>
        </w:rPr>
      </w:pPr>
      <w:r w:rsidRPr="00EC505A">
        <w:rPr>
          <w:rFonts w:ascii="GHEA Grapalat" w:eastAsia="Batang" w:hAnsi="GHEA Grapalat" w:cs="Sylfaen"/>
          <w:b/>
          <w:bCs w:val="0"/>
          <w:i w:val="0"/>
          <w:sz w:val="24"/>
          <w:szCs w:val="24"/>
          <w:lang w:val="hy-AM" w:eastAsia="ko-KR"/>
        </w:rPr>
        <w:t>Պետական և տեղական ինքնակառավարման մարմինների բյուջեներում եկամուտների և ծախսերի սպասվելիք փոփոխությունները.</w:t>
      </w:r>
    </w:p>
    <w:p w:rsidR="00934B3D" w:rsidRDefault="00934B3D" w:rsidP="00934B3D">
      <w:pPr>
        <w:spacing w:before="120" w:after="120" w:line="360" w:lineRule="auto"/>
        <w:ind w:firstLine="562"/>
        <w:jc w:val="both"/>
        <w:rPr>
          <w:rFonts w:ascii="GHEA Grapalat" w:eastAsia="Batang" w:hAnsi="GHEA Grapalat" w:cs="Sylfaen"/>
          <w:sz w:val="24"/>
          <w:szCs w:val="24"/>
          <w:lang w:val="hy-AM" w:eastAsia="ko-KR"/>
        </w:rPr>
      </w:pPr>
      <w:r w:rsidRPr="00EC505A">
        <w:rPr>
          <w:rFonts w:ascii="GHEA Grapalat" w:eastAsia="Batang" w:hAnsi="GHEA Grapalat" w:cs="Sylfaen"/>
          <w:sz w:val="24"/>
          <w:szCs w:val="24"/>
          <w:lang w:val="hy-AM" w:eastAsia="ko-KR"/>
        </w:rPr>
        <w:lastRenderedPageBreak/>
        <w:t>Ծրագրի ՀՕՏ գնահատված ողջ նախնական բյուջեն կազմել է 7,304.9 մլրդ ՀՀ դրամ: ՀՕՏ ծախսերը ենթակա են ֆինանսավորման՝ մոտ 4,067.0 մլն դրամը՝ Երևանի քաղաքապետարանի, մոտ 2,</w:t>
      </w:r>
      <w:bookmarkStart w:id="1" w:name="_GoBack"/>
      <w:r w:rsidRPr="00EC505A">
        <w:rPr>
          <w:rFonts w:ascii="GHEA Grapalat" w:eastAsia="Batang" w:hAnsi="GHEA Grapalat" w:cs="Sylfaen"/>
          <w:sz w:val="24"/>
          <w:szCs w:val="24"/>
          <w:lang w:val="hy-AM" w:eastAsia="ko-KR"/>
        </w:rPr>
        <w:t>31</w:t>
      </w:r>
      <w:bookmarkEnd w:id="1"/>
      <w:r w:rsidRPr="00EC505A">
        <w:rPr>
          <w:rFonts w:ascii="GHEA Grapalat" w:eastAsia="Batang" w:hAnsi="GHEA Grapalat" w:cs="Sylfaen"/>
          <w:sz w:val="24"/>
          <w:szCs w:val="24"/>
          <w:lang w:val="hy-AM" w:eastAsia="ko-KR"/>
        </w:rPr>
        <w:t>7.1 մլն դրամը՝ ԱԶԲ վարկի, մոտ 920.9 մլն դրամը՝ պետական բյուջեի հաշվին:</w:t>
      </w:r>
    </w:p>
    <w:p w:rsidR="00934B3D" w:rsidRPr="00EC505A" w:rsidRDefault="00934B3D" w:rsidP="00934B3D">
      <w:pPr>
        <w:spacing w:before="120" w:after="120" w:line="360" w:lineRule="auto"/>
        <w:ind w:firstLine="562"/>
        <w:jc w:val="both"/>
        <w:rPr>
          <w:rFonts w:ascii="GHEA Grapalat" w:eastAsia="Batang" w:hAnsi="GHEA Grapalat" w:cs="Sylfaen"/>
          <w:sz w:val="24"/>
          <w:szCs w:val="24"/>
          <w:lang w:val="hy-AM" w:eastAsia="ko-KR"/>
        </w:rPr>
      </w:pPr>
      <w:r>
        <w:rPr>
          <w:rFonts w:ascii="GHEA Grapalat" w:eastAsia="Batang" w:hAnsi="GHEA Grapalat" w:cs="Sylfaen"/>
          <w:sz w:val="24"/>
          <w:szCs w:val="24"/>
          <w:lang w:val="hy-AM" w:eastAsia="ko-KR"/>
        </w:rPr>
        <w:t xml:space="preserve">Միաժամանակ՝ հիմք ընդունելով </w:t>
      </w:r>
      <w:r w:rsidRPr="009B4DFB">
        <w:rPr>
          <w:rFonts w:ascii="GHEA Grapalat" w:eastAsia="Times New Roman" w:hAnsi="GHEA Grapalat"/>
          <w:bCs/>
          <w:sz w:val="24"/>
          <w:szCs w:val="24"/>
          <w:lang w:val="hy-AM"/>
        </w:rPr>
        <w:t>ՀՀ քաղաքաշինության կոմիտեի նախագահի 2024 թվականի դեկտեմբերի 23-ի N 31-Ն հրաման</w:t>
      </w:r>
      <w:r>
        <w:rPr>
          <w:rFonts w:ascii="GHEA Grapalat" w:eastAsia="Times New Roman" w:hAnsi="GHEA Grapalat"/>
          <w:bCs/>
          <w:sz w:val="24"/>
          <w:szCs w:val="24"/>
          <w:lang w:val="hy-AM"/>
        </w:rPr>
        <w:t>ը</w:t>
      </w:r>
      <w:r w:rsidRPr="009B4DFB">
        <w:rPr>
          <w:rFonts w:ascii="GHEA Grapalat" w:eastAsia="Times New Roman" w:hAnsi="GHEA Grapalat"/>
          <w:bCs/>
          <w:sz w:val="24"/>
          <w:szCs w:val="24"/>
          <w:lang w:val="hy-AM"/>
        </w:rPr>
        <w:t>, որով հաստատվել են կառուցվող, հիմնանորոգվող, վերակառուցվող, վերականգնվող, ուժեղացվող, ընդլայնվող, արդիականացվող, վերազինվող, նորոգվող, քանդվող կամ ապամոնտաժվող շենքերի և շինությունների, կառուցվածքների, շինարարական աշխատանքների տեսակների արժեքի խոշորացված ցուցանիշները</w:t>
      </w:r>
      <w:r>
        <w:rPr>
          <w:rFonts w:ascii="GHEA Grapalat" w:eastAsia="Times New Roman" w:hAnsi="GHEA Grapalat"/>
          <w:bCs/>
          <w:sz w:val="24"/>
          <w:szCs w:val="24"/>
          <w:lang w:val="hy-AM"/>
        </w:rPr>
        <w:t>, իրականացվել է վերագնահատում ս.թ. փետրվարին:</w:t>
      </w:r>
    </w:p>
    <w:p w:rsidR="00934B3D" w:rsidRPr="00EC505A" w:rsidRDefault="00934B3D" w:rsidP="00934B3D">
      <w:pPr>
        <w:spacing w:before="120" w:after="120" w:line="360" w:lineRule="auto"/>
        <w:ind w:firstLine="562"/>
        <w:jc w:val="both"/>
        <w:rPr>
          <w:rFonts w:ascii="GHEA Grapalat" w:hAnsi="GHEA Grapalat"/>
          <w:color w:val="000000"/>
          <w:sz w:val="24"/>
          <w:szCs w:val="24"/>
          <w:shd w:val="clear" w:color="auto" w:fill="FFFFFF"/>
          <w:lang w:val="hy-AM"/>
        </w:rPr>
      </w:pPr>
      <w:r w:rsidRPr="00EC505A">
        <w:rPr>
          <w:rFonts w:ascii="GHEA Grapalat" w:eastAsia="Batang" w:hAnsi="GHEA Grapalat" w:cs="Sylfaen"/>
          <w:sz w:val="24"/>
          <w:szCs w:val="24"/>
          <w:lang w:val="hy-AM" w:eastAsia="ko-KR"/>
        </w:rPr>
        <w:t>Վ</w:t>
      </w:r>
      <w:r w:rsidRPr="00EC505A">
        <w:rPr>
          <w:rFonts w:ascii="GHEA Grapalat" w:hAnsi="GHEA Grapalat"/>
          <w:color w:val="000000"/>
          <w:sz w:val="24"/>
          <w:szCs w:val="24"/>
          <w:shd w:val="clear" w:color="auto" w:fill="FFFFFF"/>
          <w:lang w:val="hy-AM"/>
        </w:rPr>
        <w:t>երագնահատման արդյունքում ՀՕՏԾ իրականացման գնահատված ծախսերը նվազել են մոտ 983,1 մլն ՀՀ դրամով, այդ թվում՝ մոտ 269,0 մլն ՀՀ դրամը Երևանի համայնքային բյուջեի մասով, մոտ 675.0 մլն ՀՀ դրամը՝ ԱԶԲ վարկի մասով, մոտ 39.1 մլն ՀՀ դրամը՝ պետական բյուջեի մասով:</w:t>
      </w:r>
    </w:p>
    <w:p w:rsidR="00934B3D" w:rsidRPr="00EC505A" w:rsidRDefault="00934B3D" w:rsidP="00934B3D">
      <w:pPr>
        <w:spacing w:before="120" w:after="120" w:line="360" w:lineRule="auto"/>
        <w:ind w:firstLine="562"/>
        <w:jc w:val="both"/>
        <w:rPr>
          <w:rFonts w:ascii="GHEA Grapalat" w:eastAsia="Batang" w:hAnsi="GHEA Grapalat" w:cs="Sylfaen"/>
          <w:sz w:val="24"/>
          <w:szCs w:val="24"/>
          <w:lang w:val="hy-AM" w:eastAsia="ko-KR"/>
        </w:rPr>
      </w:pPr>
      <w:r w:rsidRPr="00EC505A">
        <w:rPr>
          <w:rFonts w:ascii="GHEA Grapalat" w:eastAsia="Batang" w:hAnsi="GHEA Grapalat" w:cs="Sylfaen"/>
          <w:sz w:val="24"/>
          <w:szCs w:val="24"/>
          <w:lang w:val="hy-AM" w:eastAsia="ko-KR"/>
        </w:rPr>
        <w:t xml:space="preserve">ՀՕՏ իրականացման համար 2025 թվականի պետական բյուջեի շրջանակներում պլանավորվել է 1.8 մլրդ ՀՀ դրամ, իսկ Երևանի համայնքային բյուջեով՝ 3.5 մլրդ ՀՀ դրամ: Ճանապարհի շինարարության կազմակերպման և վարկային ծրագրի պատշաճ իրականացման տեսանկյունից անհրաժեշտ է ընթացիկ տարում ապահովել ՀՕՏ աշխատանքների առնվազն 60-70 տոկոսը: </w:t>
      </w:r>
    </w:p>
    <w:p w:rsidR="00934B3D" w:rsidRPr="00EC505A" w:rsidRDefault="00934B3D" w:rsidP="00934B3D">
      <w:pPr>
        <w:spacing w:before="120" w:after="120" w:line="360" w:lineRule="auto"/>
        <w:ind w:firstLine="562"/>
        <w:jc w:val="both"/>
        <w:rPr>
          <w:rFonts w:ascii="GHEA Grapalat" w:eastAsia="Batang" w:hAnsi="GHEA Grapalat" w:cs="Sylfaen"/>
          <w:sz w:val="24"/>
          <w:szCs w:val="24"/>
          <w:lang w:val="hy-AM" w:eastAsia="ko-KR"/>
        </w:rPr>
      </w:pPr>
      <w:r w:rsidRPr="00EC505A">
        <w:rPr>
          <w:rFonts w:ascii="GHEA Grapalat" w:eastAsia="Batang" w:hAnsi="GHEA Grapalat" w:cs="Sylfaen"/>
          <w:sz w:val="24"/>
          <w:szCs w:val="24"/>
          <w:lang w:val="hy-AM" w:eastAsia="ko-KR"/>
        </w:rPr>
        <w:t>Հաշվի առնելով նշվածը՝ սույն որոշման ընդունմամբ և ՀՕՏԾ վերագնահատման արդյունքում 2025 թվականի պետական և Երևանի բյուջեների եկամուտներում և ծախսերում փոփոխություններ չեն առաջանում:</w:t>
      </w:r>
    </w:p>
    <w:p w:rsidR="00934B3D" w:rsidRPr="00EC505A" w:rsidRDefault="00934B3D" w:rsidP="00934B3D">
      <w:pPr>
        <w:pStyle w:val="ListParagraph"/>
        <w:numPr>
          <w:ilvl w:val="0"/>
          <w:numId w:val="6"/>
        </w:numPr>
        <w:spacing w:before="120" w:after="120" w:line="360" w:lineRule="auto"/>
        <w:ind w:left="0" w:firstLine="450"/>
        <w:contextualSpacing w:val="0"/>
        <w:jc w:val="both"/>
        <w:rPr>
          <w:rFonts w:ascii="GHEA Grapalat" w:hAnsi="GHEA Grapalat"/>
          <w:i w:val="0"/>
          <w:color w:val="000000"/>
          <w:sz w:val="24"/>
          <w:szCs w:val="24"/>
          <w:shd w:val="clear" w:color="auto" w:fill="FFFFFF"/>
          <w:lang w:val="hy-AM"/>
        </w:rPr>
      </w:pPr>
      <w:r w:rsidRPr="00EC505A">
        <w:rPr>
          <w:rFonts w:ascii="GHEA Grapalat" w:eastAsia="Batang" w:hAnsi="GHEA Grapalat" w:cs="Sylfaen"/>
          <w:b/>
          <w:bCs w:val="0"/>
          <w:i w:val="0"/>
          <w:sz w:val="24"/>
          <w:szCs w:val="24"/>
          <w:lang w:val="hy-AM" w:eastAsia="ko-KR"/>
        </w:rPr>
        <w:t>Նախագծի ընդունման առնչությամբ ընդունվելիք այլ իրավական ակտերի կամ դրանց ընդունման անհրաժեշտության մասին.</w:t>
      </w:r>
    </w:p>
    <w:p w:rsidR="00934B3D" w:rsidRPr="00EC505A" w:rsidRDefault="00934B3D" w:rsidP="00934B3D">
      <w:pPr>
        <w:spacing w:before="120" w:after="120" w:line="360" w:lineRule="auto"/>
        <w:ind w:firstLine="562"/>
        <w:jc w:val="both"/>
        <w:rPr>
          <w:rFonts w:ascii="GHEA Grapalat" w:hAnsi="GHEA Grapalat"/>
          <w:i/>
          <w:color w:val="000000"/>
          <w:sz w:val="24"/>
          <w:szCs w:val="24"/>
          <w:shd w:val="clear" w:color="auto" w:fill="FFFFFF"/>
          <w:lang w:val="hy-AM"/>
        </w:rPr>
      </w:pPr>
      <w:r w:rsidRPr="00EC505A">
        <w:rPr>
          <w:rFonts w:ascii="GHEA Grapalat" w:hAnsi="GHEA Grapalat"/>
          <w:color w:val="000000"/>
          <w:sz w:val="24"/>
          <w:szCs w:val="24"/>
          <w:shd w:val="clear" w:color="auto" w:fill="FFFFFF"/>
          <w:lang w:val="hy-AM"/>
        </w:rPr>
        <w:t>Այլ իրավական ակտերի ընդունման անհրաժեշտություն առկա չէ:</w:t>
      </w:r>
    </w:p>
    <w:p w:rsidR="00934B3D" w:rsidRPr="00EC505A" w:rsidRDefault="00934B3D" w:rsidP="00934B3D">
      <w:pPr>
        <w:pStyle w:val="ListParagraph"/>
        <w:numPr>
          <w:ilvl w:val="0"/>
          <w:numId w:val="6"/>
        </w:numPr>
        <w:spacing w:before="120" w:after="120" w:line="360" w:lineRule="auto"/>
        <w:ind w:left="0" w:firstLine="450"/>
        <w:contextualSpacing w:val="0"/>
        <w:jc w:val="both"/>
        <w:rPr>
          <w:rFonts w:ascii="GHEA Grapalat" w:hAnsi="GHEA Grapalat"/>
          <w:i w:val="0"/>
          <w:color w:val="000000"/>
          <w:sz w:val="24"/>
          <w:szCs w:val="24"/>
          <w:shd w:val="clear" w:color="auto" w:fill="FFFFFF"/>
          <w:lang w:val="hy-AM"/>
        </w:rPr>
      </w:pPr>
      <w:r w:rsidRPr="00EC505A">
        <w:rPr>
          <w:rFonts w:ascii="GHEA Grapalat" w:eastAsia="Batang" w:hAnsi="GHEA Grapalat" w:cs="Sylfaen"/>
          <w:b/>
          <w:bCs w:val="0"/>
          <w:i w:val="0"/>
          <w:sz w:val="24"/>
          <w:szCs w:val="24"/>
          <w:lang w:val="hy-AM" w:eastAsia="ko-KR"/>
        </w:rPr>
        <w:t>Նախագծի</w:t>
      </w:r>
      <w:r w:rsidRPr="00EC505A">
        <w:rPr>
          <w:rFonts w:ascii="GHEA Grapalat" w:hAnsi="GHEA Grapalat"/>
          <w:b/>
          <w:i w:val="0"/>
          <w:color w:val="000000"/>
          <w:sz w:val="24"/>
          <w:szCs w:val="24"/>
          <w:shd w:val="clear" w:color="auto" w:fill="FFFFFF"/>
          <w:lang w:val="hy-AM"/>
        </w:rPr>
        <w:t xml:space="preserve"> մշակման գործընթացում ներգրավված ինստիտուտները և անձինք.</w:t>
      </w:r>
    </w:p>
    <w:p w:rsidR="00934B3D" w:rsidRPr="00EC505A" w:rsidRDefault="00934B3D" w:rsidP="00934B3D">
      <w:pPr>
        <w:spacing w:before="120" w:after="120" w:line="360" w:lineRule="auto"/>
        <w:ind w:firstLine="540"/>
        <w:jc w:val="both"/>
        <w:rPr>
          <w:rFonts w:ascii="GHEA Grapalat" w:hAnsi="GHEA Grapalat"/>
          <w:i/>
          <w:color w:val="000000"/>
          <w:sz w:val="24"/>
          <w:szCs w:val="24"/>
          <w:shd w:val="clear" w:color="auto" w:fill="FFFFFF"/>
          <w:lang w:val="hy-AM"/>
        </w:rPr>
      </w:pPr>
      <w:r w:rsidRPr="00EC505A">
        <w:rPr>
          <w:rFonts w:ascii="GHEA Grapalat" w:hAnsi="GHEA Grapalat"/>
          <w:color w:val="000000"/>
          <w:sz w:val="24"/>
          <w:szCs w:val="24"/>
          <w:shd w:val="clear" w:color="auto" w:fill="FFFFFF"/>
          <w:lang w:val="hy-AM"/>
        </w:rPr>
        <w:t>Նախագիծը մշակվել է Երևանի քաղաքապետարանի «Երևանի կառուցապատման ներդրումային ծրագրերի իրականացման գրասենյակ» ՀՈԱԿ-ի կողմից:</w:t>
      </w:r>
    </w:p>
    <w:p w:rsidR="00934B3D" w:rsidRPr="00EC505A" w:rsidRDefault="00934B3D" w:rsidP="00934B3D">
      <w:pPr>
        <w:pStyle w:val="ListParagraph"/>
        <w:numPr>
          <w:ilvl w:val="0"/>
          <w:numId w:val="6"/>
        </w:numPr>
        <w:spacing w:before="120" w:after="120" w:line="360" w:lineRule="auto"/>
        <w:ind w:left="0" w:firstLine="450"/>
        <w:contextualSpacing w:val="0"/>
        <w:jc w:val="both"/>
        <w:rPr>
          <w:rFonts w:ascii="GHEA Grapalat" w:hAnsi="GHEA Grapalat"/>
          <w:b/>
          <w:i w:val="0"/>
          <w:color w:val="000000"/>
          <w:sz w:val="24"/>
          <w:szCs w:val="24"/>
          <w:shd w:val="clear" w:color="auto" w:fill="FFFFFF"/>
          <w:lang w:val="hy-AM"/>
        </w:rPr>
      </w:pPr>
      <w:r w:rsidRPr="00EC505A">
        <w:rPr>
          <w:rFonts w:ascii="GHEA Grapalat" w:eastAsia="Batang" w:hAnsi="GHEA Grapalat" w:cs="Sylfaen"/>
          <w:b/>
          <w:bCs w:val="0"/>
          <w:i w:val="0"/>
          <w:sz w:val="24"/>
          <w:szCs w:val="24"/>
          <w:lang w:val="hy-AM" w:eastAsia="ko-KR"/>
        </w:rPr>
        <w:lastRenderedPageBreak/>
        <w:t>Կապը</w:t>
      </w:r>
      <w:r w:rsidRPr="00EC505A">
        <w:rPr>
          <w:rFonts w:ascii="GHEA Grapalat" w:hAnsi="GHEA Grapalat"/>
          <w:b/>
          <w:i w:val="0"/>
          <w:color w:val="000000"/>
          <w:sz w:val="24"/>
          <w:szCs w:val="24"/>
          <w:shd w:val="clear" w:color="auto" w:fill="FFFFFF"/>
          <w:lang w:val="hy-AM"/>
        </w:rPr>
        <w:t xml:space="preserve"> ռազմավարական փաստաթղթերի հետ. Հայաստանի վերափոխման ռազմավարություն 2050, Կառավարության 2021-2026թթ. ծրագիր, ոլորտային և/կամ այլ ռազմավարություններ».</w:t>
      </w:r>
    </w:p>
    <w:p w:rsidR="00934B3D" w:rsidRPr="00EC505A" w:rsidRDefault="00934B3D" w:rsidP="00934B3D">
      <w:pPr>
        <w:spacing w:before="120" w:after="120" w:line="360" w:lineRule="auto"/>
        <w:ind w:firstLine="562"/>
        <w:jc w:val="both"/>
        <w:rPr>
          <w:rFonts w:ascii="GHEA Grapalat" w:hAnsi="GHEA Grapalat"/>
          <w:color w:val="000000"/>
          <w:sz w:val="24"/>
          <w:szCs w:val="24"/>
          <w:shd w:val="clear" w:color="auto" w:fill="FFFFFF"/>
          <w:lang w:val="hy-AM"/>
        </w:rPr>
      </w:pPr>
      <w:r w:rsidRPr="00EC505A">
        <w:rPr>
          <w:rFonts w:ascii="GHEA Grapalat" w:hAnsi="GHEA Grapalat"/>
          <w:color w:val="000000"/>
          <w:sz w:val="24"/>
          <w:szCs w:val="24"/>
          <w:shd w:val="clear" w:color="auto" w:fill="FFFFFF"/>
          <w:lang w:val="hy-AM"/>
        </w:rPr>
        <w:t>Նախագիծն անուղղակիորեն առնչվում է ՀՀ կառավարության 2021 թվականի օգոստոսի 18-ի № 1363-Ա որոշման հավելվածով հաստատված՝ ՀՀ կառավարության 2021-2026 թթ. Ծրագրի 3.2 կետի դրույթներին, որտեղ ճանապարհային ցանցի զարգացումը առաջնահերթություն է՝ այն դիտարկելով որպես տնտեսության աճի և սոցիալական կյանքի բարելավման կարևոր պայման։ Մոտեցումը նպաստում է ինչպես տնտեսական ներուժի, այնպես էլ՝ քաղաքացիների կենսամակարդակի բարձրացմանը։</w:t>
      </w:r>
    </w:p>
    <w:p w:rsidR="00934B3D" w:rsidRPr="00EC505A" w:rsidRDefault="00934B3D" w:rsidP="00934B3D">
      <w:pPr>
        <w:spacing w:before="120" w:after="120" w:line="360" w:lineRule="auto"/>
        <w:ind w:firstLine="562"/>
        <w:jc w:val="both"/>
        <w:rPr>
          <w:rFonts w:ascii="GHEA Grapalat" w:hAnsi="GHEA Grapalat"/>
          <w:color w:val="000000"/>
          <w:sz w:val="24"/>
          <w:szCs w:val="24"/>
          <w:shd w:val="clear" w:color="auto" w:fill="FFFFFF"/>
          <w:lang w:val="hy-AM"/>
        </w:rPr>
      </w:pPr>
      <w:r w:rsidRPr="00EC505A">
        <w:rPr>
          <w:rFonts w:ascii="GHEA Grapalat" w:hAnsi="GHEA Grapalat"/>
          <w:color w:val="000000"/>
          <w:sz w:val="24"/>
          <w:szCs w:val="24"/>
          <w:shd w:val="clear" w:color="auto" w:fill="FFFFFF"/>
          <w:lang w:val="hy-AM"/>
        </w:rPr>
        <w:t>Որոշման ընդունմամբ հիմքեր կապահովվեն Իսակով-Արշակունյաց ճանապարհահատվածի կառուցման, ինչպես նաև՝ դրա արդյունքում ազդեցության ենթակա անձանց սոցիալ-տնտեսական գնահատված կորուստների վերականգնման:</w:t>
      </w:r>
    </w:p>
    <w:p w:rsidR="001F3B58" w:rsidRPr="00934B3D" w:rsidRDefault="001F3B58" w:rsidP="00934B3D">
      <w:pPr>
        <w:rPr>
          <w:lang w:val="hy-AM"/>
        </w:rPr>
      </w:pPr>
    </w:p>
    <w:sectPr w:rsidR="001F3B58" w:rsidRPr="00934B3D" w:rsidSect="00DC7774">
      <w:pgSz w:w="11906" w:h="16838" w:code="9"/>
      <w:pgMar w:top="1008" w:right="1008" w:bottom="1008" w:left="1008" w:header="720" w:footer="720" w:gutter="0"/>
      <w:cols w:space="720"/>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6903" w:rsidRDefault="00D26903" w:rsidP="000F13D5">
      <w:pPr>
        <w:spacing w:after="0" w:line="240" w:lineRule="auto"/>
      </w:pPr>
      <w:r>
        <w:separator/>
      </w:r>
    </w:p>
  </w:endnote>
  <w:endnote w:type="continuationSeparator" w:id="0">
    <w:p w:rsidR="00D26903" w:rsidRDefault="00D26903" w:rsidP="000F1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6903" w:rsidRDefault="00D26903" w:rsidP="000F13D5">
      <w:pPr>
        <w:spacing w:after="0" w:line="240" w:lineRule="auto"/>
      </w:pPr>
      <w:r>
        <w:separator/>
      </w:r>
    </w:p>
  </w:footnote>
  <w:footnote w:type="continuationSeparator" w:id="0">
    <w:p w:rsidR="00D26903" w:rsidRDefault="00D26903" w:rsidP="000F13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A72E3"/>
    <w:multiLevelType w:val="hybridMultilevel"/>
    <w:tmpl w:val="BBEE4798"/>
    <w:lvl w:ilvl="0" w:tplc="0A967396">
      <w:start w:val="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29298A"/>
    <w:multiLevelType w:val="hybridMultilevel"/>
    <w:tmpl w:val="BBEE4798"/>
    <w:lvl w:ilvl="0" w:tplc="0A967396">
      <w:start w:val="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663EF5"/>
    <w:multiLevelType w:val="hybridMultilevel"/>
    <w:tmpl w:val="9552DEC8"/>
    <w:lvl w:ilvl="0" w:tplc="45A2ECFA">
      <w:start w:val="1"/>
      <w:numFmt w:val="decimal"/>
      <w:lvlText w:val="%1."/>
      <w:lvlJc w:val="left"/>
      <w:pPr>
        <w:ind w:left="450" w:hanging="360"/>
      </w:pPr>
      <w:rPr>
        <w:rFonts w:ascii="GHEA Grapalat" w:hAnsi="GHEA Grapalat" w:hint="default"/>
        <w:sz w:val="24"/>
        <w:szCs w:val="24"/>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 w15:restartNumberingAfterBreak="0">
    <w:nsid w:val="2A705225"/>
    <w:multiLevelType w:val="hybridMultilevel"/>
    <w:tmpl w:val="FAE6FF3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 w15:restartNumberingAfterBreak="0">
    <w:nsid w:val="3DD842D2"/>
    <w:multiLevelType w:val="hybridMultilevel"/>
    <w:tmpl w:val="9552DEC8"/>
    <w:lvl w:ilvl="0" w:tplc="45A2ECFA">
      <w:start w:val="1"/>
      <w:numFmt w:val="decimal"/>
      <w:lvlText w:val="%1."/>
      <w:lvlJc w:val="left"/>
      <w:pPr>
        <w:ind w:left="810" w:hanging="360"/>
      </w:pPr>
      <w:rPr>
        <w:rFonts w:ascii="GHEA Grapalat" w:hAnsi="GHEA Grapalat" w:hint="default"/>
        <w:sz w:val="24"/>
        <w:szCs w:val="24"/>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 w15:restartNumberingAfterBreak="0">
    <w:nsid w:val="400E1086"/>
    <w:multiLevelType w:val="hybridMultilevel"/>
    <w:tmpl w:val="00DC68E6"/>
    <w:lvl w:ilvl="0" w:tplc="5C06C8A6">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num w:numId="1">
    <w:abstractNumId w:val="4"/>
  </w:num>
  <w:num w:numId="2">
    <w:abstractNumId w:val="2"/>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597"/>
    <w:rsid w:val="00045A01"/>
    <w:rsid w:val="000611D5"/>
    <w:rsid w:val="000653ED"/>
    <w:rsid w:val="0008023F"/>
    <w:rsid w:val="000A000D"/>
    <w:rsid w:val="000B39FB"/>
    <w:rsid w:val="000E7974"/>
    <w:rsid w:val="000F13D5"/>
    <w:rsid w:val="001121A1"/>
    <w:rsid w:val="00112F60"/>
    <w:rsid w:val="00145687"/>
    <w:rsid w:val="001F3B58"/>
    <w:rsid w:val="002024D5"/>
    <w:rsid w:val="0020631B"/>
    <w:rsid w:val="00221BBC"/>
    <w:rsid w:val="00230B43"/>
    <w:rsid w:val="002940DE"/>
    <w:rsid w:val="002A0C68"/>
    <w:rsid w:val="002C5F12"/>
    <w:rsid w:val="002D3541"/>
    <w:rsid w:val="002F6412"/>
    <w:rsid w:val="00304DA4"/>
    <w:rsid w:val="003222FF"/>
    <w:rsid w:val="003402E4"/>
    <w:rsid w:val="00353646"/>
    <w:rsid w:val="003730FB"/>
    <w:rsid w:val="00390533"/>
    <w:rsid w:val="00391B4B"/>
    <w:rsid w:val="003A4238"/>
    <w:rsid w:val="003C0035"/>
    <w:rsid w:val="003D4CB7"/>
    <w:rsid w:val="00403D46"/>
    <w:rsid w:val="00407B95"/>
    <w:rsid w:val="004140A7"/>
    <w:rsid w:val="00421D59"/>
    <w:rsid w:val="00450E1C"/>
    <w:rsid w:val="00457112"/>
    <w:rsid w:val="004A042A"/>
    <w:rsid w:val="004A5AC9"/>
    <w:rsid w:val="004A6DE0"/>
    <w:rsid w:val="004B6535"/>
    <w:rsid w:val="004C14A4"/>
    <w:rsid w:val="004E576C"/>
    <w:rsid w:val="005237EF"/>
    <w:rsid w:val="00572650"/>
    <w:rsid w:val="00594F11"/>
    <w:rsid w:val="005A7597"/>
    <w:rsid w:val="005C6F9D"/>
    <w:rsid w:val="005D3AF9"/>
    <w:rsid w:val="005E27A8"/>
    <w:rsid w:val="005F2511"/>
    <w:rsid w:val="00620EE6"/>
    <w:rsid w:val="0068171A"/>
    <w:rsid w:val="0068196A"/>
    <w:rsid w:val="0068324A"/>
    <w:rsid w:val="006A2D23"/>
    <w:rsid w:val="006F6E8D"/>
    <w:rsid w:val="006F7C1C"/>
    <w:rsid w:val="00713DB2"/>
    <w:rsid w:val="00753856"/>
    <w:rsid w:val="00756BD0"/>
    <w:rsid w:val="00761491"/>
    <w:rsid w:val="00790F93"/>
    <w:rsid w:val="00794686"/>
    <w:rsid w:val="00794E50"/>
    <w:rsid w:val="007F10F9"/>
    <w:rsid w:val="00803F44"/>
    <w:rsid w:val="008148C0"/>
    <w:rsid w:val="008A78F6"/>
    <w:rsid w:val="008B15C3"/>
    <w:rsid w:val="008D7C05"/>
    <w:rsid w:val="008E477E"/>
    <w:rsid w:val="008F14F2"/>
    <w:rsid w:val="0092748F"/>
    <w:rsid w:val="00934B3D"/>
    <w:rsid w:val="0093565C"/>
    <w:rsid w:val="009503D6"/>
    <w:rsid w:val="0099193C"/>
    <w:rsid w:val="009D6A8C"/>
    <w:rsid w:val="009E37C8"/>
    <w:rsid w:val="009F7798"/>
    <w:rsid w:val="00A43F49"/>
    <w:rsid w:val="00AB332B"/>
    <w:rsid w:val="00AB6596"/>
    <w:rsid w:val="00AD3FD5"/>
    <w:rsid w:val="00AE2C89"/>
    <w:rsid w:val="00B114CB"/>
    <w:rsid w:val="00B2481C"/>
    <w:rsid w:val="00B313C5"/>
    <w:rsid w:val="00B60EF4"/>
    <w:rsid w:val="00C0188D"/>
    <w:rsid w:val="00C23FC8"/>
    <w:rsid w:val="00C25C05"/>
    <w:rsid w:val="00C95970"/>
    <w:rsid w:val="00CA672B"/>
    <w:rsid w:val="00CB7643"/>
    <w:rsid w:val="00CC0F5E"/>
    <w:rsid w:val="00CE4848"/>
    <w:rsid w:val="00D0118B"/>
    <w:rsid w:val="00D2461B"/>
    <w:rsid w:val="00D26903"/>
    <w:rsid w:val="00D277ED"/>
    <w:rsid w:val="00D6022D"/>
    <w:rsid w:val="00D6772C"/>
    <w:rsid w:val="00D75F08"/>
    <w:rsid w:val="00D804CD"/>
    <w:rsid w:val="00D960D1"/>
    <w:rsid w:val="00DA6685"/>
    <w:rsid w:val="00DC7774"/>
    <w:rsid w:val="00E17C5F"/>
    <w:rsid w:val="00E56040"/>
    <w:rsid w:val="00E733AF"/>
    <w:rsid w:val="00E80B3F"/>
    <w:rsid w:val="00E832AA"/>
    <w:rsid w:val="00EA6C55"/>
    <w:rsid w:val="00EC505A"/>
    <w:rsid w:val="00EF6DA8"/>
    <w:rsid w:val="00F00586"/>
    <w:rsid w:val="00F15840"/>
    <w:rsid w:val="00F26868"/>
    <w:rsid w:val="00F31BDE"/>
    <w:rsid w:val="00F32F9C"/>
    <w:rsid w:val="00F45F37"/>
    <w:rsid w:val="00F5239A"/>
    <w:rsid w:val="00F6683D"/>
    <w:rsid w:val="00F846A9"/>
    <w:rsid w:val="00F928FF"/>
    <w:rsid w:val="00FA3776"/>
    <w:rsid w:val="00FE5F72"/>
    <w:rsid w:val="00FF5148"/>
    <w:rsid w:val="00FF7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70C729-CC33-4096-91B7-07B217C23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000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0A000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0A000D"/>
    <w:rPr>
      <w:b/>
      <w:bCs/>
    </w:rPr>
  </w:style>
  <w:style w:type="paragraph" w:styleId="NoSpacing">
    <w:name w:val="No Spacing"/>
    <w:uiPriority w:val="1"/>
    <w:qFormat/>
    <w:rsid w:val="0068196A"/>
    <w:pPr>
      <w:jc w:val="both"/>
    </w:pPr>
    <w:rPr>
      <w:sz w:val="22"/>
      <w:szCs w:val="22"/>
      <w:lang w:val="en-GB"/>
    </w:rPr>
  </w:style>
  <w:style w:type="paragraph" w:styleId="EndnoteText">
    <w:name w:val="endnote text"/>
    <w:basedOn w:val="Normal"/>
    <w:link w:val="EndnoteTextChar"/>
    <w:uiPriority w:val="99"/>
    <w:semiHidden/>
    <w:unhideWhenUsed/>
    <w:rsid w:val="000F13D5"/>
    <w:pPr>
      <w:spacing w:after="0" w:line="240" w:lineRule="auto"/>
    </w:pPr>
    <w:rPr>
      <w:sz w:val="20"/>
      <w:szCs w:val="20"/>
    </w:rPr>
  </w:style>
  <w:style w:type="character" w:customStyle="1" w:styleId="EndnoteTextChar">
    <w:name w:val="Endnote Text Char"/>
    <w:link w:val="EndnoteText"/>
    <w:uiPriority w:val="99"/>
    <w:semiHidden/>
    <w:rsid w:val="000F13D5"/>
    <w:rPr>
      <w:rFonts w:ascii="Calibri" w:eastAsia="Calibri" w:hAnsi="Calibri" w:cs="Times New Roman"/>
      <w:sz w:val="20"/>
      <w:szCs w:val="20"/>
    </w:rPr>
  </w:style>
  <w:style w:type="character" w:styleId="EndnoteReference">
    <w:name w:val="endnote reference"/>
    <w:uiPriority w:val="99"/>
    <w:semiHidden/>
    <w:unhideWhenUsed/>
    <w:rsid w:val="000F13D5"/>
    <w:rPr>
      <w:vertAlign w:val="superscript"/>
    </w:rPr>
  </w:style>
  <w:style w:type="paragraph" w:styleId="BalloonText">
    <w:name w:val="Balloon Text"/>
    <w:basedOn w:val="Normal"/>
    <w:link w:val="BalloonTextChar"/>
    <w:uiPriority w:val="99"/>
    <w:semiHidden/>
    <w:unhideWhenUsed/>
    <w:rsid w:val="005F251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F2511"/>
    <w:rPr>
      <w:rFonts w:ascii="Tahoma" w:eastAsia="Calibri" w:hAnsi="Tahoma" w:cs="Tahoma"/>
      <w:sz w:val="16"/>
      <w:szCs w:val="16"/>
    </w:rPr>
  </w:style>
  <w:style w:type="paragraph" w:styleId="Revision">
    <w:name w:val="Revision"/>
    <w:hidden/>
    <w:uiPriority w:val="99"/>
    <w:semiHidden/>
    <w:rsid w:val="009D6A8C"/>
    <w:rPr>
      <w:sz w:val="22"/>
      <w:szCs w:val="22"/>
    </w:rPr>
  </w:style>
  <w:style w:type="paragraph" w:styleId="ListParagraph">
    <w:name w:val="List Paragraph"/>
    <w:basedOn w:val="Normal"/>
    <w:uiPriority w:val="34"/>
    <w:qFormat/>
    <w:rsid w:val="00D277ED"/>
    <w:pPr>
      <w:ind w:left="720"/>
      <w:contextualSpacing/>
    </w:pPr>
    <w:rPr>
      <w:rFonts w:ascii="ArTarumianHeghnar" w:hAnsi="ArTarumianHeghnar" w:cs="Cambria"/>
      <w:bCs/>
      <w:i/>
      <w:sz w:val="36"/>
      <w:szCs w:val="3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749035">
      <w:bodyDiv w:val="1"/>
      <w:marLeft w:val="0"/>
      <w:marRight w:val="0"/>
      <w:marTop w:val="0"/>
      <w:marBottom w:val="0"/>
      <w:divBdr>
        <w:top w:val="none" w:sz="0" w:space="0" w:color="auto"/>
        <w:left w:val="none" w:sz="0" w:space="0" w:color="auto"/>
        <w:bottom w:val="none" w:sz="0" w:space="0" w:color="auto"/>
        <w:right w:val="none" w:sz="0" w:space="0" w:color="auto"/>
      </w:divBdr>
    </w:div>
    <w:div w:id="508566363">
      <w:bodyDiv w:val="1"/>
      <w:marLeft w:val="0"/>
      <w:marRight w:val="0"/>
      <w:marTop w:val="0"/>
      <w:marBottom w:val="0"/>
      <w:divBdr>
        <w:top w:val="none" w:sz="0" w:space="0" w:color="auto"/>
        <w:left w:val="none" w:sz="0" w:space="0" w:color="auto"/>
        <w:bottom w:val="none" w:sz="0" w:space="0" w:color="auto"/>
        <w:right w:val="none" w:sz="0" w:space="0" w:color="auto"/>
      </w:divBdr>
    </w:div>
    <w:div w:id="1978146813">
      <w:bodyDiv w:val="1"/>
      <w:marLeft w:val="0"/>
      <w:marRight w:val="0"/>
      <w:marTop w:val="0"/>
      <w:marBottom w:val="0"/>
      <w:divBdr>
        <w:top w:val="none" w:sz="0" w:space="0" w:color="auto"/>
        <w:left w:val="none" w:sz="0" w:space="0" w:color="auto"/>
        <w:bottom w:val="none" w:sz="0" w:space="0" w:color="auto"/>
        <w:right w:val="none" w:sz="0" w:space="0" w:color="auto"/>
      </w:divBdr>
    </w:div>
    <w:div w:id="1990086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C14C6-6AD9-40E3-95CA-A73BAC3D1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732</Words>
  <Characters>5310</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Vardanyan</dc:creator>
  <cp:keywords>https://mul2.gov.am/tasks/1157130/oneclick?token=368f86bc16b189e54ccfb8a48a8a2fc7</cp:keywords>
  <cp:lastModifiedBy>Marina Vardanyan</cp:lastModifiedBy>
  <cp:revision>3</cp:revision>
  <cp:lastPrinted>2022-03-11T07:01:00Z</cp:lastPrinted>
  <dcterms:created xsi:type="dcterms:W3CDTF">2025-04-30T10:29:00Z</dcterms:created>
  <dcterms:modified xsi:type="dcterms:W3CDTF">2025-06-11T06:54:00Z</dcterms:modified>
</cp:coreProperties>
</file>