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C3F646" w14:textId="278DF22F" w:rsidR="006F0083" w:rsidRPr="00247EC7" w:rsidRDefault="009F26EA" w:rsidP="00F16620">
      <w:pPr>
        <w:spacing w:line="360" w:lineRule="auto"/>
        <w:jc w:val="center"/>
        <w:rPr>
          <w:rFonts w:ascii="GHEA Grapalat" w:hAnsi="GHEA Grapalat"/>
          <w:b/>
          <w:bCs/>
          <w:sz w:val="24"/>
          <w:szCs w:val="24"/>
          <w:lang w:val="hy-AM"/>
        </w:rPr>
      </w:pPr>
      <w:r w:rsidRPr="00247EC7">
        <w:rPr>
          <w:rFonts w:ascii="GHEA Grapalat" w:hAnsi="GHEA Grapalat"/>
          <w:b/>
          <w:bCs/>
          <w:sz w:val="24"/>
          <w:szCs w:val="24"/>
          <w:lang w:val="hy-AM"/>
        </w:rPr>
        <w:t>ԱՄՓՈՓԱԹԵՐ</w:t>
      </w:r>
      <w:r w:rsidR="00F16620" w:rsidRPr="00247EC7">
        <w:rPr>
          <w:rFonts w:ascii="GHEA Grapalat" w:hAnsi="GHEA Grapalat"/>
          <w:b/>
          <w:bCs/>
          <w:sz w:val="24"/>
          <w:szCs w:val="24"/>
          <w:lang w:val="hy-AM"/>
        </w:rPr>
        <w:t>Թ</w:t>
      </w:r>
    </w:p>
    <w:p w14:paraId="4231FD3B" w14:textId="63B7ED50" w:rsidR="00017AFC" w:rsidRPr="000E0BDE" w:rsidRDefault="004533DD" w:rsidP="00017AFC">
      <w:pPr>
        <w:shd w:val="clear" w:color="auto" w:fill="FFFFFF"/>
        <w:spacing w:after="0" w:line="360" w:lineRule="auto"/>
        <w:contextualSpacing/>
        <w:jc w:val="center"/>
        <w:rPr>
          <w:rFonts w:ascii="GHEA Grapalat" w:hAnsi="GHEA Grapalat" w:cs="Arial"/>
          <w:b/>
          <w:sz w:val="24"/>
          <w:szCs w:val="24"/>
          <w:lang w:val="hy-AM"/>
        </w:rPr>
      </w:pPr>
      <w:r w:rsidRPr="00590470">
        <w:rPr>
          <w:rFonts w:ascii="GHEA Grapalat" w:hAnsi="GHEA Grapalat"/>
          <w:b/>
          <w:bCs/>
          <w:sz w:val="24"/>
          <w:szCs w:val="24"/>
          <w:lang w:val="af-ZA"/>
        </w:rPr>
        <w:t>«</w:t>
      </w:r>
      <w:bookmarkStart w:id="0" w:name="_Hlk191509991"/>
      <w:r w:rsidR="00017AFC">
        <w:rPr>
          <w:rFonts w:ascii="GHEA Grapalat" w:hAnsi="GHEA Grapalat"/>
          <w:b/>
          <w:sz w:val="24"/>
          <w:szCs w:val="24"/>
          <w:lang w:val="hy-AM"/>
        </w:rPr>
        <w:t xml:space="preserve">ԴՊՐՈՑՆԵՐԻ ՎԵՐԱՆՈՐՈԳՄԱՆ/ՀԻՄՆԱՆՈՐՈԳՄԱՆ </w:t>
      </w:r>
      <w:r w:rsidR="00017AFC" w:rsidRPr="000E0BDE">
        <w:rPr>
          <w:rFonts w:ascii="GHEA Grapalat" w:hAnsi="GHEA Grapalat"/>
          <w:b/>
          <w:sz w:val="24"/>
          <w:szCs w:val="24"/>
          <w:lang w:val="hy-AM"/>
        </w:rPr>
        <w:t xml:space="preserve">ՆՊԱՏԱԿՈՎ ԿՆՔՎԱԾ </w:t>
      </w:r>
      <w:r w:rsidR="00017AFC" w:rsidRPr="000E0BDE">
        <w:rPr>
          <w:rFonts w:ascii="GHEA Grapalat" w:hAnsi="GHEA Grapalat" w:cs="Sylfaen"/>
          <w:b/>
          <w:sz w:val="24"/>
          <w:szCs w:val="24"/>
          <w:lang w:val="hy-AM"/>
        </w:rPr>
        <w:t xml:space="preserve">ԳՆՄԱՆ </w:t>
      </w:r>
      <w:r w:rsidR="00017AFC" w:rsidRPr="000E0BDE">
        <w:rPr>
          <w:rFonts w:ascii="GHEA Grapalat" w:hAnsi="GHEA Grapalat" w:cs="GHEA Grapalat"/>
          <w:b/>
          <w:color w:val="000000"/>
          <w:sz w:val="24"/>
          <w:szCs w:val="24"/>
          <w:lang w:val="hy-AM"/>
        </w:rPr>
        <w:t>ՊԱՅՄԱՆԱԳՐԵՐՈՒՄ ՓՈՓՈԽՈՒԹՅՈՒՆ</w:t>
      </w:r>
      <w:r w:rsidR="00017AFC">
        <w:rPr>
          <w:rFonts w:ascii="GHEA Grapalat" w:hAnsi="GHEA Grapalat" w:cs="GHEA Grapalat"/>
          <w:b/>
          <w:color w:val="000000"/>
          <w:sz w:val="24"/>
          <w:szCs w:val="24"/>
          <w:lang w:val="hy-AM"/>
        </w:rPr>
        <w:t>ՆԵՐ</w:t>
      </w:r>
      <w:r w:rsidR="00017AFC" w:rsidRPr="000E0BDE">
        <w:rPr>
          <w:rFonts w:ascii="GHEA Grapalat" w:hAnsi="GHEA Grapalat" w:cs="GHEA Grapalat"/>
          <w:b/>
          <w:color w:val="000000"/>
          <w:sz w:val="24"/>
          <w:szCs w:val="24"/>
          <w:lang w:val="hy-AM"/>
        </w:rPr>
        <w:t xml:space="preserve"> </w:t>
      </w:r>
      <w:r w:rsidR="00017AFC" w:rsidRPr="000E0BDE">
        <w:rPr>
          <w:rFonts w:ascii="GHEA Grapalat" w:hAnsi="GHEA Grapalat" w:cs="Arial"/>
          <w:b/>
          <w:sz w:val="24"/>
          <w:szCs w:val="24"/>
          <w:lang w:val="hy-AM"/>
        </w:rPr>
        <w:t xml:space="preserve">ԿԱՏԱՐԵԼՈՒ  </w:t>
      </w:r>
    </w:p>
    <w:p w14:paraId="2F84F90B" w14:textId="17E6823A" w:rsidR="001F16AF" w:rsidRPr="00017AFC" w:rsidRDefault="00017AFC" w:rsidP="00017AFC">
      <w:pPr>
        <w:shd w:val="clear" w:color="auto" w:fill="FFFFFF"/>
        <w:spacing w:after="0" w:line="360" w:lineRule="auto"/>
        <w:contextualSpacing/>
        <w:jc w:val="center"/>
        <w:rPr>
          <w:rFonts w:ascii="GHEA Grapalat" w:hAnsi="GHEA Grapalat" w:cs="Arial"/>
          <w:b/>
          <w:sz w:val="24"/>
          <w:szCs w:val="24"/>
          <w:lang w:val="hy-AM"/>
        </w:rPr>
      </w:pPr>
      <w:r w:rsidRPr="000E0BDE">
        <w:rPr>
          <w:rFonts w:ascii="GHEA Grapalat" w:hAnsi="GHEA Grapalat" w:cs="Arial"/>
          <w:b/>
          <w:sz w:val="24"/>
          <w:szCs w:val="24"/>
          <w:lang w:val="hy-AM"/>
        </w:rPr>
        <w:t>ԹՈՒՅԼՏՎՈՒԹՅՈՒՆ ՏԱԼՈՒ ՄԱՍԻՆ</w:t>
      </w:r>
      <w:bookmarkEnd w:id="0"/>
      <w:r w:rsidR="001F16AF" w:rsidRPr="00247EC7">
        <w:rPr>
          <w:rFonts w:ascii="GHEA Grapalat" w:hAnsi="GHEA Grapalat"/>
          <w:b/>
          <w:sz w:val="24"/>
          <w:szCs w:val="24"/>
          <w:lang w:val="hy-AM"/>
        </w:rPr>
        <w:t>» ՀՀ ԿԱՌԱՎԱՐՈՒԹՅԱՆ ՈՐՈՇՄԱՆ ՆԱԽԱԳԾԻ ՎԵՐԱԲԵՐՅԱԼ ԿԱՐԾԻՔՆԵՐԻ</w:t>
      </w:r>
    </w:p>
    <w:p w14:paraId="3DCB9CFE" w14:textId="77777777" w:rsidR="009F26EA" w:rsidRPr="00247EC7" w:rsidRDefault="009F26EA" w:rsidP="009F26EA">
      <w:pPr>
        <w:jc w:val="center"/>
        <w:rPr>
          <w:lang w:val="hy-AM"/>
        </w:rPr>
      </w:pP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3067"/>
      </w:tblGrid>
      <w:tr w:rsidR="00F35D9A" w:rsidRPr="00736666"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F35D9A" w:rsidRPr="00247EC7" w:rsidRDefault="00F35D9A" w:rsidP="00F35D9A">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ՀՀ ֆինանսների նախարարություն</w:t>
            </w:r>
          </w:p>
        </w:tc>
        <w:tc>
          <w:tcPr>
            <w:tcW w:w="3067" w:type="dxa"/>
            <w:shd w:val="clear" w:color="auto" w:fill="D9D9D9" w:themeFill="background1" w:themeFillShade="D9"/>
          </w:tcPr>
          <w:p w14:paraId="45F6CC7A" w14:textId="22EE540B" w:rsidR="00F35D9A" w:rsidRPr="00247EC7"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1F4016">
              <w:rPr>
                <w:rFonts w:ascii="GHEA Grapalat" w:eastAsia="Times New Roman" w:hAnsi="GHEA Grapalat" w:cs="Times New Roman"/>
                <w:color w:val="000000"/>
                <w:sz w:val="24"/>
                <w:szCs w:val="24"/>
                <w:lang w:val="hy-AM" w:eastAsia="ru-RU"/>
              </w:rPr>
              <w:t>22.05.2025թ</w:t>
            </w:r>
            <w:r w:rsidRPr="001F4016">
              <w:rPr>
                <w:rFonts w:ascii="Cambria Math" w:eastAsia="Times New Roman" w:hAnsi="Cambria Math" w:cs="Cambria Math"/>
                <w:color w:val="000000"/>
                <w:sz w:val="24"/>
                <w:szCs w:val="24"/>
                <w:lang w:val="hy-AM" w:eastAsia="ru-RU"/>
              </w:rPr>
              <w:t>․</w:t>
            </w:r>
          </w:p>
        </w:tc>
      </w:tr>
      <w:tr w:rsidR="00F35D9A" w:rsidRPr="00736666" w14:paraId="1A9599F1" w14:textId="77777777" w:rsidTr="003D58FA">
        <w:trPr>
          <w:trHeight w:val="416"/>
          <w:tblCellSpacing w:w="0" w:type="dxa"/>
        </w:trPr>
        <w:tc>
          <w:tcPr>
            <w:tcW w:w="7835" w:type="dxa"/>
            <w:gridSpan w:val="2"/>
            <w:vMerge/>
            <w:shd w:val="clear" w:color="auto" w:fill="D9D9D9" w:themeFill="background1" w:themeFillShade="D9"/>
            <w:hideMark/>
          </w:tcPr>
          <w:p w14:paraId="69217B7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448AC432" w14:textId="22B142F4" w:rsidR="00F35D9A" w:rsidRPr="00247EC7" w:rsidRDefault="00F35D9A" w:rsidP="00F35D9A">
            <w:pPr>
              <w:jc w:val="center"/>
              <w:rPr>
                <w:rFonts w:ascii="GHEA Grapalat" w:eastAsia="Times New Roman" w:hAnsi="GHEA Grapalat" w:cs="Times New Roman"/>
                <w:color w:val="000000"/>
                <w:sz w:val="24"/>
                <w:szCs w:val="24"/>
                <w:lang w:val="hy-AM" w:eastAsia="ru-RU"/>
              </w:rPr>
            </w:pPr>
            <w:r w:rsidRPr="001F4016">
              <w:rPr>
                <w:rFonts w:ascii="GHEA Grapalat" w:eastAsia="Times New Roman" w:hAnsi="GHEA Grapalat" w:cs="Times New Roman"/>
                <w:color w:val="000000"/>
                <w:sz w:val="24"/>
                <w:szCs w:val="24"/>
                <w:lang w:val="hy-AM" w:eastAsia="ru-RU"/>
              </w:rPr>
              <w:t>N 01/34-3/11690-2025</w:t>
            </w:r>
          </w:p>
        </w:tc>
      </w:tr>
      <w:tr w:rsidR="00AC7C5B" w:rsidRPr="00A10B15" w14:paraId="0380E19D" w14:textId="77777777" w:rsidTr="000E447D">
        <w:trPr>
          <w:trHeight w:val="416"/>
          <w:tblCellSpacing w:w="0" w:type="dxa"/>
        </w:trPr>
        <w:tc>
          <w:tcPr>
            <w:tcW w:w="5765" w:type="dxa"/>
            <w:shd w:val="clear" w:color="auto" w:fill="FFFFFF"/>
          </w:tcPr>
          <w:p w14:paraId="53095958" w14:textId="77777777" w:rsidR="00F35D9A" w:rsidRPr="00F35D9A" w:rsidRDefault="00F35D9A" w:rsidP="00F35D9A">
            <w:pPr>
              <w:spacing w:after="0"/>
              <w:ind w:left="132" w:right="214"/>
              <w:contextualSpacing/>
              <w:jc w:val="both"/>
              <w:rPr>
                <w:rFonts w:ascii="GHEA Grapalat" w:hAnsi="GHEA Grapalat"/>
                <w:sz w:val="24"/>
                <w:szCs w:val="24"/>
                <w:lang w:val="hy-AM"/>
              </w:rPr>
            </w:pPr>
            <w:r w:rsidRPr="00F35D9A">
              <w:rPr>
                <w:rFonts w:ascii="GHEA Grapalat" w:hAnsi="GHEA Grapalat"/>
                <w:sz w:val="24"/>
                <w:szCs w:val="24"/>
                <w:lang w:val="hy-AM"/>
              </w:rPr>
              <w:t>Անհրաժեշտ ենք համարում նշել նաև, որ վերոնշյալ պայմանագրերից թվով 7-ի դեպքում ավելացվող աշխատանքների ծավալները գերազանցում են պայմանագրերի գնի 100 տոկոսը, իսկ Լոռու մարզի Ագարակի միջնակարգ դպրոցի վերանորոգման/հիմնանորոգման նպատակով կնքված պայմանագրի դեպքում լրացուցիչ աշխատանքների ծավալը կազմում է պայմանագրի գնի 211.8 տոկոսը:</w:t>
            </w:r>
          </w:p>
          <w:p w14:paraId="28B5549F" w14:textId="79799482" w:rsidR="00F35D9A" w:rsidRPr="00F35D9A" w:rsidRDefault="00F35D9A" w:rsidP="00F35D9A">
            <w:pPr>
              <w:spacing w:after="0"/>
              <w:ind w:left="132" w:right="214"/>
              <w:contextualSpacing/>
              <w:jc w:val="both"/>
              <w:rPr>
                <w:rFonts w:ascii="GHEA Grapalat" w:hAnsi="GHEA Grapalat"/>
                <w:sz w:val="24"/>
                <w:szCs w:val="24"/>
                <w:lang w:val="hy-AM"/>
              </w:rPr>
            </w:pPr>
            <w:r w:rsidRPr="00F35D9A">
              <w:rPr>
                <w:rFonts w:ascii="GHEA Grapalat" w:hAnsi="GHEA Grapalat"/>
                <w:sz w:val="24"/>
                <w:szCs w:val="24"/>
                <w:lang w:val="hy-AM"/>
              </w:rPr>
              <w:t>Այս կապակցությամբ գտնում ենք, որ նշված օբյեկտների գծով նման թույլտվության տրամադրումը բովանդակային տեսակետից ենթադրում է մեկ անձից գնման ձևով աշխատանքների ձեռքբերում: Հետևաբար, առաջարկում ենք քննարկել նշված թվով 7 պայմանագրերը երկկողմ համաձայնությամբ լուծելու հնարավորությունը՝ նկատի ունենալով, որ եթե այդ աշխատանքները հրատապ են, ապա պատվիրատուն կարող է կայացնել կարիքի բավարարումը մեկ անձից գնման ձևով իրականացնելու որոշում: Եթե կարիքի բավարարումը հրատապ չէ, ապա նոր պայմանագրերը կնքվեն գնման մրցակցային ձևով (օրինակ՝ հրատապ բաց մրցույթ):</w:t>
            </w:r>
          </w:p>
          <w:p w14:paraId="4F7C0E75" w14:textId="48433371" w:rsidR="00F35D9A" w:rsidRPr="00F35D9A" w:rsidRDefault="00F35D9A" w:rsidP="00F35D9A">
            <w:pPr>
              <w:spacing w:after="0"/>
              <w:ind w:left="132" w:right="214"/>
              <w:contextualSpacing/>
              <w:jc w:val="both"/>
              <w:rPr>
                <w:rFonts w:ascii="GHEA Grapalat" w:hAnsi="GHEA Grapalat"/>
                <w:sz w:val="24"/>
                <w:szCs w:val="24"/>
                <w:lang w:val="hy-AM"/>
              </w:rPr>
            </w:pPr>
            <w:r w:rsidRPr="00F35D9A">
              <w:rPr>
                <w:rFonts w:ascii="GHEA Grapalat" w:hAnsi="GHEA Grapalat"/>
                <w:sz w:val="24"/>
                <w:szCs w:val="24"/>
                <w:lang w:val="hy-AM"/>
              </w:rPr>
              <w:tab/>
              <w:t>Նախագծի վերաբերյալ ունենք նաև հետևյալ դիտարկումը.</w:t>
            </w:r>
          </w:p>
          <w:p w14:paraId="6CA88F8F" w14:textId="65438F45" w:rsidR="00AC7C5B" w:rsidRPr="00247EC7" w:rsidRDefault="00F35D9A" w:rsidP="00F35D9A">
            <w:pPr>
              <w:spacing w:after="0"/>
              <w:ind w:left="132" w:right="214"/>
              <w:contextualSpacing/>
              <w:jc w:val="both"/>
              <w:rPr>
                <w:rFonts w:ascii="GHEA Grapalat" w:hAnsi="GHEA Grapalat"/>
                <w:sz w:val="24"/>
                <w:szCs w:val="24"/>
                <w:lang w:val="hy-AM"/>
              </w:rPr>
            </w:pPr>
            <w:r w:rsidRPr="00F35D9A">
              <w:rPr>
                <w:rFonts w:ascii="GHEA Grapalat" w:hAnsi="GHEA Grapalat"/>
                <w:sz w:val="24"/>
                <w:szCs w:val="24"/>
                <w:lang w:val="hy-AM"/>
              </w:rPr>
              <w:tab/>
              <w:t xml:space="preserve">Քանի որ աշխատանքների ծավալների </w:t>
            </w:r>
            <w:r w:rsidRPr="00F35D9A">
              <w:rPr>
                <w:rFonts w:ascii="GHEA Grapalat" w:hAnsi="GHEA Grapalat"/>
                <w:sz w:val="24"/>
                <w:szCs w:val="24"/>
                <w:lang w:val="hy-AM"/>
              </w:rPr>
              <w:lastRenderedPageBreak/>
              <w:t>ավելացման տոկոսներն էական են՝ առաջարկում ենք նախագծի հիմնավորմամբ անդրադարձ կատարել, թե ինչ տեխնիկական պահանջներ են փոփոխվել, որի արդյունքում լրացուցիչ աշխատանքների կատարման անհրաժեշտություն է առաջացել, և ում կողմից են գնահատվել և հաստատվել ինչպես նախնական, այնպես էլ լրացուցիչ աշխատանքների կատարման կարիքները:</w:t>
            </w:r>
          </w:p>
        </w:tc>
        <w:tc>
          <w:tcPr>
            <w:tcW w:w="5137" w:type="dxa"/>
            <w:gridSpan w:val="2"/>
            <w:shd w:val="clear" w:color="auto" w:fill="FFFFFF"/>
          </w:tcPr>
          <w:p w14:paraId="01460EAC" w14:textId="77777777" w:rsidR="002F4813" w:rsidRDefault="00F35D9A"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p w14:paraId="6DF5CEC1" w14:textId="0CCB87F5" w:rsidR="00F35D9A"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7 պայմանագրի մասով առաջարկը կներկայացվի ՀՀ փոխվարչապետի գրասնեյակ՝ ՖՏԿ–ին քննարկելու նպատակով։ Ներկայումս նախագիծը չի խմբագրվում։</w:t>
            </w:r>
          </w:p>
          <w:p w14:paraId="772B8776" w14:textId="033AABB8" w:rsidR="00F35D9A"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Ինչ վերաբերում է հիմնավորումներին, ապա նշվել է, որ պատվիրատուի կողմից աշխատանքների ընթացքում ուսումնասիրվել են լրացուցիչ պահանջները՝ նորոգումն ամբողջականացնելու համար, իսկ նոր տեխնիկական առաջադրանքները վերաբերում են հիմնականում պատուհանների և դռների փոխարինմանը, տանիքի նորոգմանը, ջեռուցման համակարգի և կոյուղագծերի նորոգմանը։</w:t>
            </w:r>
          </w:p>
          <w:p w14:paraId="199851A5" w14:textId="1F74311A" w:rsidR="00F35D9A" w:rsidRPr="00F35D9A"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r>
      <w:tr w:rsidR="00F35D9A" w:rsidRPr="00247EC7" w14:paraId="33F1E723" w14:textId="77777777" w:rsidTr="00D12AB7">
        <w:trPr>
          <w:trHeight w:val="416"/>
          <w:tblCellSpacing w:w="0" w:type="dxa"/>
        </w:trPr>
        <w:tc>
          <w:tcPr>
            <w:tcW w:w="7835" w:type="dxa"/>
            <w:gridSpan w:val="2"/>
            <w:vMerge w:val="restart"/>
            <w:shd w:val="clear" w:color="auto" w:fill="D9D9D9" w:themeFill="background1" w:themeFillShade="D9"/>
          </w:tcPr>
          <w:p w14:paraId="3E9C5996" w14:textId="77AD7C2D" w:rsidR="00F35D9A" w:rsidRPr="00247EC7"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247EC7">
              <w:rPr>
                <w:rFonts w:ascii="GHEA Grapalat" w:eastAsia="Times New Roman" w:hAnsi="GHEA Grapalat" w:cs="Times New Roman"/>
                <w:color w:val="000000"/>
                <w:sz w:val="24"/>
                <w:szCs w:val="24"/>
                <w:lang w:val="hy-AM" w:eastAsia="ru-RU"/>
              </w:rPr>
              <w:t>2</w:t>
            </w:r>
            <w:r w:rsidRPr="00247EC7">
              <w:rPr>
                <w:rFonts w:ascii="Cambria Math" w:eastAsia="Times New Roman" w:hAnsi="Cambria Math" w:cs="Cambria Math"/>
                <w:color w:val="000000"/>
                <w:sz w:val="24"/>
                <w:szCs w:val="24"/>
                <w:lang w:val="hy-AM" w:eastAsia="ru-RU"/>
              </w:rPr>
              <w:t>․</w:t>
            </w:r>
            <w:r w:rsidRPr="00247EC7">
              <w:rPr>
                <w:rFonts w:ascii="GHEA Grapalat" w:eastAsia="Times New Roman" w:hAnsi="GHEA Grapalat" w:cs="Times New Roman"/>
                <w:color w:val="000000"/>
                <w:sz w:val="24"/>
                <w:szCs w:val="24"/>
                <w:lang w:val="hy-AM" w:eastAsia="ru-RU"/>
              </w:rPr>
              <w:t xml:space="preserve"> </w:t>
            </w:r>
            <w:r>
              <w:rPr>
                <w:rFonts w:ascii="GHEA Grapalat" w:eastAsia="Times New Roman" w:hAnsi="GHEA Grapalat" w:cs="Times New Roman"/>
                <w:color w:val="000000"/>
                <w:sz w:val="24"/>
                <w:szCs w:val="24"/>
                <w:lang w:val="hy-AM" w:eastAsia="ru-RU"/>
              </w:rPr>
              <w:t>Հայաստանի տարածքային զարգացման հիմնադրամ</w:t>
            </w:r>
          </w:p>
        </w:tc>
        <w:tc>
          <w:tcPr>
            <w:tcW w:w="3067" w:type="dxa"/>
            <w:shd w:val="clear" w:color="auto" w:fill="D9D9D9" w:themeFill="background1" w:themeFillShade="D9"/>
          </w:tcPr>
          <w:p w14:paraId="0F25B087" w14:textId="14E2DC61" w:rsidR="00F35D9A" w:rsidRPr="00247EC7"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22.05.</w:t>
            </w:r>
            <w:r w:rsidRPr="001F4016">
              <w:rPr>
                <w:rFonts w:ascii="GHEA Grapalat" w:eastAsia="Times New Roman" w:hAnsi="GHEA Grapalat" w:cs="Times New Roman"/>
                <w:color w:val="000000"/>
                <w:sz w:val="24"/>
                <w:szCs w:val="24"/>
                <w:lang w:val="hy-AM" w:eastAsia="ru-RU"/>
              </w:rPr>
              <w:t>2025թ</w:t>
            </w:r>
            <w:r w:rsidRPr="001F4016">
              <w:rPr>
                <w:rFonts w:ascii="Cambria Math" w:eastAsia="Times New Roman" w:hAnsi="Cambria Math" w:cs="Cambria Math"/>
                <w:color w:val="000000"/>
                <w:sz w:val="24"/>
                <w:szCs w:val="24"/>
                <w:lang w:val="hy-AM" w:eastAsia="ru-RU"/>
              </w:rPr>
              <w:t>․</w:t>
            </w:r>
          </w:p>
        </w:tc>
      </w:tr>
      <w:tr w:rsidR="00F35D9A" w:rsidRPr="00247EC7" w14:paraId="6EA58383" w14:textId="77777777" w:rsidTr="00D12AB7">
        <w:trPr>
          <w:trHeight w:val="416"/>
          <w:tblCellSpacing w:w="0" w:type="dxa"/>
        </w:trPr>
        <w:tc>
          <w:tcPr>
            <w:tcW w:w="7835" w:type="dxa"/>
            <w:gridSpan w:val="2"/>
            <w:vMerge/>
            <w:shd w:val="clear" w:color="auto" w:fill="D9D9D9" w:themeFill="background1" w:themeFillShade="D9"/>
          </w:tcPr>
          <w:p w14:paraId="623CF71D"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57E105BA" w14:textId="08F51E53" w:rsidR="00F35D9A" w:rsidRPr="00247EC7"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1F4016">
              <w:rPr>
                <w:rFonts w:ascii="GHEA Grapalat" w:eastAsia="Times New Roman" w:hAnsi="GHEA Grapalat" w:cs="Times New Roman"/>
                <w:color w:val="000000"/>
                <w:sz w:val="24"/>
                <w:szCs w:val="24"/>
                <w:lang w:val="hy-AM" w:eastAsia="ru-RU"/>
              </w:rPr>
              <w:t xml:space="preserve">N </w:t>
            </w:r>
            <w:r w:rsidRPr="002803D3">
              <w:rPr>
                <w:rFonts w:ascii="GHEA Grapalat" w:eastAsia="Times New Roman" w:hAnsi="GHEA Grapalat" w:cs="Times New Roman"/>
                <w:color w:val="000000"/>
                <w:sz w:val="24"/>
                <w:szCs w:val="24"/>
                <w:lang w:val="hy-AM" w:eastAsia="ru-RU"/>
              </w:rPr>
              <w:t>Ե//1511-25</w:t>
            </w:r>
          </w:p>
        </w:tc>
      </w:tr>
      <w:tr w:rsidR="00F35D9A" w:rsidRPr="004F3CE8" w14:paraId="24AEE4BD" w14:textId="77777777" w:rsidTr="00ED165C">
        <w:trPr>
          <w:trHeight w:val="416"/>
          <w:tblCellSpacing w:w="0" w:type="dxa"/>
        </w:trPr>
        <w:tc>
          <w:tcPr>
            <w:tcW w:w="5765" w:type="dxa"/>
            <w:shd w:val="clear" w:color="auto" w:fill="FFFFFF"/>
          </w:tcPr>
          <w:p w14:paraId="5EB33BB6" w14:textId="058A18FE"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r w:rsidRPr="002803D3">
              <w:rPr>
                <w:rFonts w:ascii="GHEA Grapalat" w:eastAsia="Times New Roman" w:hAnsi="GHEA Grapalat" w:cs="Times New Roman"/>
                <w:color w:val="000000"/>
                <w:sz w:val="24"/>
                <w:szCs w:val="24"/>
                <w:lang w:val="hy-AM" w:eastAsia="ru-RU"/>
              </w:rPr>
              <w:t>Ի կատարումն ՀՀ փոխվարչապետ Տիգրան Խաչատրյանի գրասենյակի ղեկավար Արման Ադիլխանյանի թիվ 03.1/03.62/16068-2025 հանձնարարականի` հայտնում ենք, որ Հայաստանի տարածքային զարգացման հիմնադրամը դիտողություններ և առաջարկություններ չունի նույն հանձնարարականին կից ներկայացված ՀՀ կառավարության որոշումների նախագծերի առնչությամբ:</w:t>
            </w:r>
          </w:p>
        </w:tc>
        <w:tc>
          <w:tcPr>
            <w:tcW w:w="5137" w:type="dxa"/>
            <w:gridSpan w:val="2"/>
            <w:shd w:val="clear" w:color="auto" w:fill="FFFFFF"/>
          </w:tcPr>
          <w:p w14:paraId="1D06B087" w14:textId="1DED87E4" w:rsidR="00F35D9A" w:rsidRPr="00247EC7" w:rsidRDefault="00F35D9A"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F35D9A" w:rsidRPr="004F3CE8" w14:paraId="6DCF2068" w14:textId="77777777" w:rsidTr="004533DD">
        <w:trPr>
          <w:trHeight w:val="416"/>
          <w:tblCellSpacing w:w="0" w:type="dxa"/>
        </w:trPr>
        <w:tc>
          <w:tcPr>
            <w:tcW w:w="7835" w:type="dxa"/>
            <w:gridSpan w:val="2"/>
            <w:vMerge w:val="restart"/>
            <w:shd w:val="clear" w:color="auto" w:fill="D9D9D9" w:themeFill="background1" w:themeFillShade="D9"/>
          </w:tcPr>
          <w:p w14:paraId="0D15015D" w14:textId="65DA275D" w:rsidR="00F35D9A" w:rsidRPr="004533DD"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 xml:space="preserve">3. </w:t>
            </w:r>
            <w:r>
              <w:rPr>
                <w:rFonts w:ascii="GHEA Grapalat" w:eastAsia="Times New Roman" w:hAnsi="GHEA Grapalat" w:cs="Times New Roman"/>
                <w:color w:val="000000"/>
                <w:sz w:val="24"/>
                <w:szCs w:val="24"/>
                <w:lang w:val="hy-AM" w:eastAsia="ru-RU"/>
              </w:rPr>
              <w:t>ՀՀ արդարադատության նախարարություն</w:t>
            </w:r>
          </w:p>
        </w:tc>
        <w:tc>
          <w:tcPr>
            <w:tcW w:w="3067" w:type="dxa"/>
            <w:shd w:val="clear" w:color="auto" w:fill="D9D9D9" w:themeFill="background1" w:themeFillShade="D9"/>
          </w:tcPr>
          <w:p w14:paraId="79E1FDB6" w14:textId="7D24F705" w:rsidR="00F35D9A" w:rsidRPr="004533DD"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21.05.2025թ․</w:t>
            </w:r>
          </w:p>
        </w:tc>
      </w:tr>
      <w:tr w:rsidR="00F35D9A" w:rsidRPr="004F3CE8" w14:paraId="647549BD" w14:textId="77777777" w:rsidTr="004533DD">
        <w:trPr>
          <w:trHeight w:val="416"/>
          <w:tblCellSpacing w:w="0" w:type="dxa"/>
        </w:trPr>
        <w:tc>
          <w:tcPr>
            <w:tcW w:w="7835" w:type="dxa"/>
            <w:gridSpan w:val="2"/>
            <w:vMerge/>
            <w:shd w:val="clear" w:color="auto" w:fill="D9D9D9" w:themeFill="background1" w:themeFillShade="D9"/>
          </w:tcPr>
          <w:p w14:paraId="2077BFB9" w14:textId="77777777"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2D02EE1B" w14:textId="57B14009" w:rsidR="00F35D9A" w:rsidRPr="004533DD"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sidRPr="004533DD">
              <w:rPr>
                <w:rFonts w:ascii="GHEA Grapalat" w:eastAsia="Times New Roman" w:hAnsi="GHEA Grapalat" w:cs="Times New Roman"/>
                <w:color w:val="000000"/>
                <w:sz w:val="24"/>
                <w:szCs w:val="24"/>
                <w:lang w:val="en-US" w:eastAsia="ru-RU"/>
              </w:rPr>
              <w:t xml:space="preserve">N </w:t>
            </w:r>
            <w:r w:rsidRPr="004533DD">
              <w:rPr>
                <w:rFonts w:ascii="GHEA Grapalat" w:eastAsia="Times New Roman" w:hAnsi="GHEA Grapalat" w:cs="Times New Roman"/>
                <w:color w:val="000000"/>
                <w:sz w:val="24"/>
                <w:szCs w:val="24"/>
                <w:lang w:val="hy-AM" w:eastAsia="ru-RU"/>
              </w:rPr>
              <w:t>/27.4/22572-2025</w:t>
            </w:r>
          </w:p>
        </w:tc>
      </w:tr>
      <w:tr w:rsidR="00F35D9A" w:rsidRPr="00A10B15" w14:paraId="6A1D5B54" w14:textId="77777777" w:rsidTr="00ED165C">
        <w:trPr>
          <w:trHeight w:val="416"/>
          <w:tblCellSpacing w:w="0" w:type="dxa"/>
        </w:trPr>
        <w:tc>
          <w:tcPr>
            <w:tcW w:w="5765" w:type="dxa"/>
            <w:shd w:val="clear" w:color="auto" w:fill="FFFFFF"/>
          </w:tcPr>
          <w:p w14:paraId="0A43BF6B" w14:textId="77777777" w:rsidR="00F35D9A" w:rsidRPr="00061CD9"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r w:rsidRPr="00061CD9">
              <w:rPr>
                <w:rFonts w:ascii="GHEA Grapalat" w:eastAsia="Times New Roman" w:hAnsi="GHEA Grapalat" w:cs="Times New Roman"/>
                <w:color w:val="000000"/>
                <w:sz w:val="24"/>
                <w:szCs w:val="24"/>
                <w:lang w:val="hy-AM" w:eastAsia="ru-RU"/>
              </w:rPr>
              <w:t xml:space="preserve">ՀՀ կառավարության 2017 թվականի մայիսի 4-ի N 526-Ն որոշմամբ հաստատված կարգի 56-րդ կետի 2-րդ ենթակետի համաձայն՝ արգելվում է պայմանագրում, իսկ եթե պայմանագրի գինը գործոնային է, ապա նաև այդ պայմանագրին կից հաջորդող յուրաքանչյուր տարիներին կնքված համաձայնագրում կատարել այնպիսի փոփոխություններ, որոնք հանգեցնում են գնվող ապրանքների, աշխատանքների և ծառայությունների ծավալների կամ ձեռք բերվող գնման առարկաների միավորի գնի կամ պայմանագրի գնի արհեստական փոփոխման: Արհեստական են համարվում պայմանագրով նախատեսված աշխատանքների կամ ծառայությունների ծավալների ավելացումը, որը </w:t>
            </w:r>
            <w:r w:rsidRPr="00061CD9">
              <w:rPr>
                <w:rFonts w:ascii="GHEA Grapalat" w:eastAsia="Times New Roman" w:hAnsi="GHEA Grapalat" w:cs="Times New Roman"/>
                <w:color w:val="000000"/>
                <w:sz w:val="24"/>
                <w:szCs w:val="24"/>
                <w:lang w:val="hy-AM" w:eastAsia="ru-RU"/>
              </w:rPr>
              <w:lastRenderedPageBreak/>
              <w:t>գերազանցում է պայմանագրի ընդհանուր գնի տասը տոկոսը, բացառությամբ սույն կարգի 23-րդ կետի 4-րդ ենթակետով հաստատված ցանկում ներառված գնումների: Պայմանագրով նախատեսված աշխատանքների կամ ծառայությունների ծավալները կարող են ավելանալ միայն պայմանագրով աշխատանքի կատարման կամ ծառայության մատուցման համար սահմանված ժամկետում։</w:t>
            </w:r>
          </w:p>
          <w:p w14:paraId="64131874" w14:textId="77777777" w:rsidR="00F35D9A" w:rsidRPr="00061CD9"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r w:rsidRPr="00061CD9">
              <w:rPr>
                <w:rFonts w:ascii="GHEA Grapalat" w:eastAsia="Times New Roman" w:hAnsi="GHEA Grapalat" w:cs="Times New Roman"/>
                <w:color w:val="000000"/>
                <w:sz w:val="24"/>
                <w:szCs w:val="24"/>
                <w:lang w:val="hy-AM" w:eastAsia="ru-RU"/>
              </w:rPr>
              <w:t>ՀՀ կառավարության 2017 թվականի մայիսի 4-ի N 526-Ն որոշմամբ հաստատված կարգի 57.1-րդ կետի համաձայն՝ յուրաքանչյուր առանձին դեպքում, հիմնավորելով պայմանագրի կատարման և (կամ) կառավարման առանձնահատկությունը, պատվիրատուն կարող է պայմանագրով նախատեսված ապրանքի մատակարարման, աշխատանքների կատարման կամ ծառայությունների մատուցման ընթացքում դիմել Հայաստանի Հանրապետության կառավարությանը (սահմանված կարգով ներկայացնելով համապատասխան Հայաստանի Հանրապետության կառավարության որոշման նախագիծ)` հայցելով վերջինիս թույլտվությունը պայմանագրում սույն կարգի 56-րդ կետով նախատեսված պայմաններից տարբերվող պայմաններ սահմանելու կամ սահմանված պայմանները չկիրառելու համար:</w:t>
            </w:r>
          </w:p>
          <w:p w14:paraId="4B9DF6E7" w14:textId="77777777" w:rsidR="00F35D9A" w:rsidRPr="00061CD9"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r w:rsidRPr="00061CD9">
              <w:rPr>
                <w:rFonts w:ascii="GHEA Grapalat" w:eastAsia="Times New Roman" w:hAnsi="GHEA Grapalat" w:cs="Times New Roman"/>
                <w:color w:val="000000"/>
                <w:sz w:val="24"/>
                <w:szCs w:val="24"/>
                <w:lang w:val="hy-AM" w:eastAsia="ru-RU"/>
              </w:rPr>
              <w:t>Այս դեպքում, Հայաստանի Հանրապետության կառավարությունը, հաշվի առնելով պայմանագրի կատարման և (կամ) կառավարման առանձնահատկությունը, կարող է իր որոշմամբ թույլատրել սահմանել պայմանագրում սույն կարգի 56-րդ կետով նախատեսված պայմաններից տարբերվող պայմաններ կամ չկիրառել սահմանված պայմանները:</w:t>
            </w:r>
          </w:p>
          <w:p w14:paraId="0615D0D1" w14:textId="77777777" w:rsidR="00F35D9A" w:rsidRPr="00061CD9"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r w:rsidRPr="00061CD9">
              <w:rPr>
                <w:rFonts w:ascii="GHEA Grapalat" w:eastAsia="Times New Roman" w:hAnsi="GHEA Grapalat" w:cs="Times New Roman"/>
                <w:color w:val="000000"/>
                <w:sz w:val="24"/>
                <w:szCs w:val="24"/>
                <w:lang w:val="hy-AM" w:eastAsia="ru-RU"/>
              </w:rPr>
              <w:t xml:space="preserve">Նախագծերին կից ներկայացված հիմնավորումներից պարզ է դառնում, որ </w:t>
            </w:r>
            <w:r w:rsidRPr="00061CD9">
              <w:rPr>
                <w:rFonts w:ascii="GHEA Grapalat" w:eastAsia="Times New Roman" w:hAnsi="GHEA Grapalat" w:cs="Times New Roman"/>
                <w:color w:val="000000"/>
                <w:sz w:val="24"/>
                <w:szCs w:val="24"/>
                <w:lang w:val="hy-AM" w:eastAsia="ru-RU"/>
              </w:rPr>
              <w:lastRenderedPageBreak/>
              <w:t>դրանցում ներկայացված են միայն ընդհանրական և չհիմնավորված վերլուծություններ, իսկ ընդհանուր կանոնի համաձայն՝ պայմանագրով նախատեսված աշխատանքների կամ ծառայությունների ծավալների ավելացումը թույլատրվում է այն դեպքում, երբ դա չի գերազանցում  պայմանագրի ընդհանուր գնի տասը տոկոսը, իսկ այդ կանոնից կարող է սահմանվել բացառություն միայն յուրաքանչյուր առանձին դեպքում, հստակ հիմնավորելով պայմանագրի կատարման և (կամ) կառավարման առանձնահատկությունը։</w:t>
            </w:r>
          </w:p>
          <w:p w14:paraId="39A4D562" w14:textId="0DF88DB0" w:rsidR="00F35D9A" w:rsidRPr="00247EC7"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r w:rsidRPr="00061CD9">
              <w:rPr>
                <w:rFonts w:ascii="GHEA Grapalat" w:eastAsia="Times New Roman" w:hAnsi="GHEA Grapalat" w:cs="Times New Roman"/>
                <w:color w:val="000000"/>
                <w:sz w:val="24"/>
                <w:szCs w:val="24"/>
                <w:lang w:val="hy-AM" w:eastAsia="ru-RU"/>
              </w:rPr>
              <w:t>Հիմք ընդունելով վերոգրյալ իրավանորմի դրույթները՝ գտնում ենք, որ վերոնշյալ նախագծերի այն կարգավորումները, որոնցով նախատեսվում է մի շարք գնման պայմանագրերում կատարել պայմանագրով ձեռքբերվող աշխատանքների և ծառայությունների ծավալների ընդհանուր գնի մինչև 200 տոկոս ավելացում, ունի լրացուցիչ հիմնավորման և հստակեցման կարիք, մասնավորապես՝ անհրաժեշտ է յուրաքանչյուր պայմանագրի մասով հենց հիմնավորման մեջ հստակ և մանրամասն ներկայացնել այն կատարման և (կամ) կառավարման առանձնահատկությունը, որոնցով պայմանավորված Կառավարությունը պետք է թույլատրի նշված պայմանագրերում կատարել համապատասխան փոփոխությունները՝ բացառելով նաև որոշակի փաստաթղթերի, այդ թվում՝ նախահաշիվների և այլ փաստաթղթերի ներկայացումը էլեկտրոնային հղումների միջոցով, քանի որ դրանք հնարավորություն չեն տալիս շահագրգիռ անձանց ազատ հասանելիություն ունենալ անհրաժեշտ փաստաթղթերին։</w:t>
            </w:r>
          </w:p>
        </w:tc>
        <w:tc>
          <w:tcPr>
            <w:tcW w:w="5137" w:type="dxa"/>
            <w:gridSpan w:val="2"/>
            <w:shd w:val="clear" w:color="auto" w:fill="FFFFFF"/>
          </w:tcPr>
          <w:p w14:paraId="6C15DDF1" w14:textId="77777777" w:rsidR="00F35D9A" w:rsidRDefault="00F35D9A"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lastRenderedPageBreak/>
              <w:t>Ընդունվել է ի գիտություն</w:t>
            </w:r>
          </w:p>
          <w:p w14:paraId="039AF107" w14:textId="6910F18F" w:rsidR="00F35D9A" w:rsidRPr="00061CD9"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Ծավալների ավելացումը 10 տոկոսից ավել կատարելու դեպքում ՀՀ կառավարության թույլտվությունը ստանալու համար կազմված են ՀՀ քաղաքաշինության և գնումների օրենսդրությամբ պահանջվող փաստաթղթերը </w:t>
            </w:r>
            <w:r w:rsidRPr="00061CD9">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ներկայացված են նախագծին կից</w:t>
            </w:r>
            <w:r w:rsidRPr="00061CD9">
              <w:rPr>
                <w:rFonts w:ascii="GHEA Grapalat" w:eastAsia="Times New Roman" w:hAnsi="GHEA Grapalat"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 իսկ համառոտ նկարագրությունը</w:t>
            </w:r>
            <w:r>
              <w:rPr>
                <w:rFonts w:ascii="Cambria Math" w:eastAsia="Times New Roman" w:hAnsi="Cambria Math" w:cs="Times New Roman"/>
                <w:color w:val="000000"/>
                <w:sz w:val="24"/>
                <w:szCs w:val="24"/>
                <w:lang w:val="hy-AM" w:eastAsia="ru-RU"/>
              </w:rPr>
              <w:t>,</w:t>
            </w:r>
            <w:r>
              <w:rPr>
                <w:rFonts w:ascii="GHEA Grapalat" w:eastAsia="Times New Roman" w:hAnsi="GHEA Grapalat" w:cs="Times New Roman"/>
                <w:color w:val="000000"/>
                <w:sz w:val="24"/>
                <w:szCs w:val="24"/>
                <w:lang w:val="hy-AM" w:eastAsia="ru-RU"/>
              </w:rPr>
              <w:t xml:space="preserve"> թե ինչ տեսակի աշխատանքների համար են ավելացվում ծավալները, գրված է նախագծի հիմնավորման մեջ։</w:t>
            </w:r>
          </w:p>
        </w:tc>
      </w:tr>
      <w:tr w:rsidR="00F35D9A" w:rsidRPr="004F3CE8" w14:paraId="3C082897" w14:textId="77777777" w:rsidTr="008C6615">
        <w:trPr>
          <w:trHeight w:val="416"/>
          <w:tblCellSpacing w:w="0" w:type="dxa"/>
        </w:trPr>
        <w:tc>
          <w:tcPr>
            <w:tcW w:w="7835" w:type="dxa"/>
            <w:gridSpan w:val="2"/>
            <w:vMerge w:val="restart"/>
            <w:shd w:val="clear" w:color="auto" w:fill="D9D9D9" w:themeFill="background1" w:themeFillShade="D9"/>
          </w:tcPr>
          <w:p w14:paraId="608791ED" w14:textId="1DF04929" w:rsidR="00F35D9A" w:rsidRPr="008C6615"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lastRenderedPageBreak/>
              <w:t>4. ՀՀ քաղաքաշինության կոմիտե</w:t>
            </w:r>
          </w:p>
        </w:tc>
        <w:tc>
          <w:tcPr>
            <w:tcW w:w="3067" w:type="dxa"/>
            <w:shd w:val="clear" w:color="auto" w:fill="D9D9D9" w:themeFill="background1" w:themeFillShade="D9"/>
          </w:tcPr>
          <w:p w14:paraId="4BF61ECB" w14:textId="063DC24F" w:rsidR="00F35D9A" w:rsidRPr="008C6615"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21.05.2025թ․</w:t>
            </w:r>
          </w:p>
        </w:tc>
      </w:tr>
      <w:tr w:rsidR="00F35D9A" w:rsidRPr="004F3CE8" w14:paraId="56E8029D" w14:textId="77777777" w:rsidTr="008C6615">
        <w:trPr>
          <w:trHeight w:val="416"/>
          <w:tblCellSpacing w:w="0" w:type="dxa"/>
        </w:trPr>
        <w:tc>
          <w:tcPr>
            <w:tcW w:w="7835" w:type="dxa"/>
            <w:gridSpan w:val="2"/>
            <w:vMerge/>
            <w:shd w:val="clear" w:color="auto" w:fill="D9D9D9" w:themeFill="background1" w:themeFillShade="D9"/>
          </w:tcPr>
          <w:p w14:paraId="5518BD6B" w14:textId="77777777" w:rsidR="00F35D9A" w:rsidRPr="004533DD"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31279766" w14:textId="71590E04" w:rsidR="00F35D9A" w:rsidRPr="008C6615" w:rsidRDefault="00F35D9A" w:rsidP="00F35D9A">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 xml:space="preserve">N </w:t>
            </w:r>
            <w:r w:rsidRPr="008C6615">
              <w:rPr>
                <w:rFonts w:ascii="GHEA Grapalat" w:eastAsia="Times New Roman" w:hAnsi="GHEA Grapalat" w:cs="Times New Roman"/>
                <w:color w:val="000000"/>
                <w:sz w:val="24"/>
                <w:szCs w:val="24"/>
                <w:lang w:val="en-US" w:eastAsia="ru-RU"/>
              </w:rPr>
              <w:t>01/16.1/8042-2025</w:t>
            </w:r>
          </w:p>
        </w:tc>
      </w:tr>
      <w:tr w:rsidR="00F35D9A" w:rsidRPr="008C6615" w14:paraId="3866A51D" w14:textId="77777777" w:rsidTr="00ED165C">
        <w:trPr>
          <w:trHeight w:val="416"/>
          <w:tblCellSpacing w:w="0" w:type="dxa"/>
        </w:trPr>
        <w:tc>
          <w:tcPr>
            <w:tcW w:w="5765" w:type="dxa"/>
            <w:shd w:val="clear" w:color="auto" w:fill="FFFFFF"/>
          </w:tcPr>
          <w:p w14:paraId="1696D5DA" w14:textId="78B3AD79" w:rsidR="00F35D9A" w:rsidRPr="004533DD" w:rsidRDefault="00F35D9A" w:rsidP="00F35D9A">
            <w:pPr>
              <w:spacing w:after="0"/>
              <w:ind w:left="132" w:right="214"/>
              <w:contextualSpacing/>
              <w:jc w:val="both"/>
              <w:rPr>
                <w:rFonts w:ascii="GHEA Grapalat" w:eastAsia="Times New Roman" w:hAnsi="GHEA Grapalat" w:cs="Times New Roman"/>
                <w:color w:val="000000"/>
                <w:sz w:val="24"/>
                <w:szCs w:val="24"/>
                <w:lang w:val="hy-AM" w:eastAsia="ru-RU"/>
              </w:rPr>
            </w:pPr>
            <w:r w:rsidRPr="00017AFC">
              <w:rPr>
                <w:rFonts w:ascii="GHEA Grapalat" w:eastAsia="Times New Roman" w:hAnsi="GHEA Grapalat" w:cs="Times New Roman"/>
                <w:color w:val="000000"/>
                <w:sz w:val="24"/>
                <w:szCs w:val="24"/>
                <w:lang w:val="hy-AM" w:eastAsia="ru-RU"/>
              </w:rPr>
              <w:t>«Դպրոցների վերանորոգման/հիմնանորոգման նպատակով կնքված գնման պայմանագրերում փոփոխություն կատարելու թույլտվություն տալու մասին»</w:t>
            </w:r>
            <w:r>
              <w:rPr>
                <w:rFonts w:ascii="GHEA Grapalat" w:eastAsia="Times New Roman" w:hAnsi="GHEA Grapalat" w:cs="Times New Roman"/>
                <w:color w:val="000000"/>
                <w:sz w:val="24"/>
                <w:szCs w:val="24"/>
                <w:lang w:val="hy-AM" w:eastAsia="ru-RU"/>
              </w:rPr>
              <w:t xml:space="preserve"> </w:t>
            </w:r>
            <w:r w:rsidRPr="008C6615">
              <w:rPr>
                <w:rFonts w:ascii="GHEA Grapalat" w:eastAsia="Times New Roman" w:hAnsi="GHEA Grapalat" w:cs="Times New Roman"/>
                <w:color w:val="000000"/>
                <w:sz w:val="24"/>
                <w:szCs w:val="24"/>
                <w:lang w:val="hy-AM" w:eastAsia="ru-RU"/>
              </w:rPr>
              <w:t>ՀՀ կառավարության որոշման նախագծ</w:t>
            </w:r>
            <w:r>
              <w:rPr>
                <w:rFonts w:ascii="GHEA Grapalat" w:eastAsia="Times New Roman" w:hAnsi="GHEA Grapalat" w:cs="Times New Roman"/>
                <w:color w:val="000000"/>
                <w:sz w:val="24"/>
                <w:szCs w:val="24"/>
                <w:lang w:val="hy-AM" w:eastAsia="ru-RU"/>
              </w:rPr>
              <w:t xml:space="preserve">ի </w:t>
            </w:r>
            <w:r w:rsidRPr="008C6615">
              <w:rPr>
                <w:rFonts w:ascii="GHEA Grapalat" w:eastAsia="Times New Roman" w:hAnsi="GHEA Grapalat" w:cs="Times New Roman"/>
                <w:color w:val="000000"/>
                <w:sz w:val="24"/>
                <w:szCs w:val="24"/>
                <w:lang w:val="hy-AM" w:eastAsia="ru-RU"/>
              </w:rPr>
              <w:t xml:space="preserve">վերաբերյալ ՀՀ քաղաքաշինության կոմիտեն դիտողություններ և առաջարկություններ չունի:  </w:t>
            </w:r>
          </w:p>
        </w:tc>
        <w:tc>
          <w:tcPr>
            <w:tcW w:w="5137" w:type="dxa"/>
            <w:gridSpan w:val="2"/>
            <w:shd w:val="clear" w:color="auto" w:fill="FFFFFF"/>
          </w:tcPr>
          <w:p w14:paraId="3396B9E7" w14:textId="3E934368" w:rsidR="00F35D9A" w:rsidRDefault="00F35D9A"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p>
        </w:tc>
      </w:tr>
      <w:tr w:rsidR="005B1A1B" w:rsidRPr="008C6615" w14:paraId="67CA9D40" w14:textId="77777777" w:rsidTr="005B1A1B">
        <w:trPr>
          <w:trHeight w:val="416"/>
          <w:tblCellSpacing w:w="0" w:type="dxa"/>
        </w:trPr>
        <w:tc>
          <w:tcPr>
            <w:tcW w:w="7835" w:type="dxa"/>
            <w:gridSpan w:val="2"/>
            <w:vMerge w:val="restart"/>
            <w:shd w:val="clear" w:color="auto" w:fill="D9D9D9" w:themeFill="background1" w:themeFillShade="D9"/>
          </w:tcPr>
          <w:p w14:paraId="00DEAE1F" w14:textId="2DBC0C89" w:rsidR="005B1A1B" w:rsidRPr="00017AFC" w:rsidRDefault="005B1A1B" w:rsidP="005B1A1B">
            <w:pPr>
              <w:spacing w:after="0"/>
              <w:ind w:left="132" w:right="214"/>
              <w:contextualSpacing/>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5. ՀՀ վարչապետի աշխատակազմի իրավաբանական վարչություն</w:t>
            </w:r>
          </w:p>
        </w:tc>
        <w:tc>
          <w:tcPr>
            <w:tcW w:w="3067" w:type="dxa"/>
            <w:shd w:val="clear" w:color="auto" w:fill="D9D9D9" w:themeFill="background1" w:themeFillShade="D9"/>
          </w:tcPr>
          <w:p w14:paraId="79CA7A81" w14:textId="77777777" w:rsidR="005B1A1B" w:rsidRDefault="005B1A1B"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p>
        </w:tc>
      </w:tr>
      <w:tr w:rsidR="005B1A1B" w:rsidRPr="008C6615" w14:paraId="15A74DB3" w14:textId="77777777" w:rsidTr="005B1A1B">
        <w:trPr>
          <w:trHeight w:val="416"/>
          <w:tblCellSpacing w:w="0" w:type="dxa"/>
        </w:trPr>
        <w:tc>
          <w:tcPr>
            <w:tcW w:w="7835" w:type="dxa"/>
            <w:gridSpan w:val="2"/>
            <w:vMerge/>
            <w:shd w:val="clear" w:color="auto" w:fill="D9D9D9" w:themeFill="background1" w:themeFillShade="D9"/>
          </w:tcPr>
          <w:p w14:paraId="54F96F88" w14:textId="77777777" w:rsidR="005B1A1B" w:rsidRPr="00017AFC" w:rsidRDefault="005B1A1B" w:rsidP="00F35D9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0038948B" w14:textId="77777777" w:rsidR="005B1A1B" w:rsidRDefault="005B1A1B" w:rsidP="00F35D9A">
            <w:pPr>
              <w:spacing w:after="0"/>
              <w:ind w:left="132" w:right="214"/>
              <w:contextualSpacing/>
              <w:jc w:val="center"/>
              <w:rPr>
                <w:rFonts w:ascii="GHEA Grapalat" w:eastAsia="Times New Roman" w:hAnsi="GHEA Grapalat" w:cs="Times New Roman"/>
                <w:b/>
                <w:i/>
                <w:color w:val="000000"/>
                <w:sz w:val="24"/>
                <w:szCs w:val="24"/>
                <w:lang w:val="hy-AM" w:eastAsia="ru-RU"/>
              </w:rPr>
            </w:pPr>
          </w:p>
        </w:tc>
      </w:tr>
      <w:tr w:rsidR="005B1A1B" w:rsidRPr="00A10B15" w14:paraId="1670D6BA" w14:textId="77777777" w:rsidTr="00ED165C">
        <w:trPr>
          <w:trHeight w:val="416"/>
          <w:tblCellSpacing w:w="0" w:type="dxa"/>
        </w:trPr>
        <w:tc>
          <w:tcPr>
            <w:tcW w:w="5765" w:type="dxa"/>
            <w:shd w:val="clear" w:color="auto" w:fill="FFFFFF"/>
          </w:tcPr>
          <w:p w14:paraId="6183DE65" w14:textId="77777777" w:rsidR="005B1A1B" w:rsidRPr="005B1A1B" w:rsidRDefault="005B1A1B" w:rsidP="005B1A1B">
            <w:pPr>
              <w:spacing w:after="0"/>
              <w:ind w:left="132" w:right="214"/>
              <w:contextualSpacing/>
              <w:jc w:val="both"/>
              <w:rPr>
                <w:rFonts w:ascii="GHEA Grapalat" w:eastAsia="Times New Roman" w:hAnsi="GHEA Grapalat" w:cs="Times New Roman"/>
                <w:color w:val="000000"/>
                <w:sz w:val="24"/>
                <w:szCs w:val="24"/>
                <w:lang w:val="hy-AM" w:eastAsia="ru-RU"/>
              </w:rPr>
            </w:pPr>
            <w:r w:rsidRPr="005B1A1B">
              <w:rPr>
                <w:rFonts w:ascii="GHEA Grapalat" w:eastAsia="Times New Roman" w:hAnsi="GHEA Grapalat" w:cs="Times New Roman"/>
                <w:color w:val="000000"/>
                <w:sz w:val="24"/>
                <w:szCs w:val="24"/>
                <w:lang w:val="hy-AM" w:eastAsia="ru-RU"/>
              </w:rPr>
              <w:t>Ներկայացված նախագծով նախատեսվում է թույլատրել Հայաստանի տարածքային զարգացման հիմնադրամին կատարել ձեռքբերվող աշխատանքների ծավալների ավելացում՝ փոփոխություններ կատարելով մի շարք գնման պայմանագրերում՝ չկիրառելով Հայաստանի Հանրապետության կառավարության 2017 թվականի մայիսի 4-ի N 526-Ն որոշմամբ հաստատված կարգի 56-րդ կետի 2-րդ ենթակետի պահանջները: Սակայն հարկ է նկատի ունենալ, որ առաջարկվող կարգավորումը չի բխում «Գնումների մասին» օրենքի 13-րդ և 25-րդ հոդվածի դրույթներից, ըստ որի՝ արգելվում է փոփոխել պայմանագրով նախատեսված ապրանքների, աշխատանքների և ծառայությունների բնութագրերը:</w:t>
            </w:r>
          </w:p>
          <w:p w14:paraId="0E09A35A" w14:textId="681F6433" w:rsidR="005B1A1B" w:rsidRPr="00017AFC" w:rsidRDefault="005B1A1B" w:rsidP="005B1A1B">
            <w:pPr>
              <w:spacing w:after="0"/>
              <w:ind w:left="132" w:right="214"/>
              <w:contextualSpacing/>
              <w:jc w:val="both"/>
              <w:rPr>
                <w:rFonts w:ascii="GHEA Grapalat" w:eastAsia="Times New Roman" w:hAnsi="GHEA Grapalat" w:cs="Times New Roman"/>
                <w:color w:val="000000"/>
                <w:sz w:val="24"/>
                <w:szCs w:val="24"/>
                <w:lang w:val="hy-AM" w:eastAsia="ru-RU"/>
              </w:rPr>
            </w:pPr>
            <w:r w:rsidRPr="005B1A1B">
              <w:rPr>
                <w:rFonts w:ascii="GHEA Grapalat" w:eastAsia="Times New Roman" w:hAnsi="GHEA Grapalat" w:cs="Times New Roman"/>
                <w:color w:val="000000"/>
                <w:sz w:val="24"/>
                <w:szCs w:val="24"/>
                <w:lang w:val="hy-AM" w:eastAsia="ru-RU"/>
              </w:rPr>
              <w:t xml:space="preserve"> Բացի այդ հարկ է նշել նաև, որ նախագծի նախաբանում նշված ՀՀ կառավարության 2017 թվականի N526-Ն որոշման հավելվածի 57.1-ին կետը չի կարող բավարար իրավական հիմք դիտարկվել կառավարության կողմից այդպիսի թույլտվություն տրամադրելու համար, քանի որ հավելվածի 57.1-ին կետով նախատեսվում է, որ  (…) այն չի վերաբերում այն դեպքերին, երբ պայմանը սահմանված է օրենքո</w:t>
            </w:r>
            <w:r>
              <w:rPr>
                <w:rFonts w:ascii="GHEA Grapalat" w:eastAsia="Times New Roman" w:hAnsi="GHEA Grapalat" w:cs="Times New Roman"/>
                <w:color w:val="000000"/>
                <w:sz w:val="24"/>
                <w:szCs w:val="24"/>
                <w:lang w:val="hy-AM" w:eastAsia="ru-RU"/>
              </w:rPr>
              <w:t xml:space="preserve">վ կամ բխում է օրենքի պահանջից: </w:t>
            </w:r>
          </w:p>
        </w:tc>
        <w:tc>
          <w:tcPr>
            <w:tcW w:w="5137" w:type="dxa"/>
            <w:gridSpan w:val="2"/>
            <w:shd w:val="clear" w:color="auto" w:fill="FFFFFF"/>
          </w:tcPr>
          <w:p w14:paraId="61CBE1CF" w14:textId="53C962B3" w:rsidR="005B1A1B" w:rsidRDefault="00A10B15" w:rsidP="005B1A1B">
            <w:pPr>
              <w:spacing w:after="0"/>
              <w:ind w:left="132" w:right="214"/>
              <w:contextualSpacing/>
              <w:jc w:val="center"/>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b/>
                <w:i/>
                <w:color w:val="000000"/>
                <w:sz w:val="24"/>
                <w:szCs w:val="24"/>
                <w:lang w:val="hy-AM" w:eastAsia="ru-RU"/>
              </w:rPr>
              <w:t>Ընդունվել է ի գիտություն</w:t>
            </w:r>
            <w:bookmarkStart w:id="1" w:name="_GoBack"/>
            <w:bookmarkEnd w:id="1"/>
          </w:p>
          <w:p w14:paraId="2CBEFC3F" w14:textId="77777777" w:rsidR="005B1A1B" w:rsidRDefault="005B1A1B" w:rsidP="005B1A1B">
            <w:pPr>
              <w:spacing w:after="0"/>
              <w:ind w:left="132" w:right="214"/>
              <w:contextualSpacing/>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Աշխատանքների կամ ծառայությունների բնութագրերի փոփոխություն չի կատարվում և չի կարող կատարվել՝ հաշվի առնելով օրենսդրությամբ նախատեսված սահմանափակումները</w:t>
            </w:r>
            <w:r w:rsidR="00A10B15">
              <w:rPr>
                <w:rFonts w:ascii="GHEA Grapalat" w:eastAsia="Times New Roman" w:hAnsi="GHEA Grapalat" w:cs="Times New Roman"/>
                <w:color w:val="000000"/>
                <w:sz w:val="24"/>
                <w:szCs w:val="24"/>
                <w:lang w:val="hy-AM" w:eastAsia="ru-RU"/>
              </w:rPr>
              <w:t>։</w:t>
            </w:r>
          </w:p>
          <w:p w14:paraId="22CC65F9" w14:textId="3E736C01" w:rsidR="00A10B15" w:rsidRDefault="00A10B15" w:rsidP="005B1A1B">
            <w:pPr>
              <w:spacing w:after="0"/>
              <w:ind w:left="132" w:right="214"/>
              <w:contextualSpacing/>
              <w:jc w:val="both"/>
              <w:rPr>
                <w:rFonts w:ascii="GHEA Grapalat" w:eastAsia="Times New Roman" w:hAnsi="GHEA Grapalat" w:cs="Times New Roman"/>
                <w:b/>
                <w:i/>
                <w:color w:val="000000"/>
                <w:sz w:val="24"/>
                <w:szCs w:val="24"/>
                <w:lang w:val="hy-AM" w:eastAsia="ru-RU"/>
              </w:rPr>
            </w:pPr>
            <w:r>
              <w:rPr>
                <w:rFonts w:ascii="GHEA Grapalat" w:eastAsia="Times New Roman" w:hAnsi="GHEA Grapalat" w:cs="Times New Roman"/>
                <w:color w:val="000000"/>
                <w:sz w:val="24"/>
                <w:szCs w:val="24"/>
                <w:lang w:val="hy-AM" w:eastAsia="ru-RU"/>
              </w:rPr>
              <w:t>Վերոգրյալի մասին կատարվել է լրացուցիչ նշում Նախագծի հիմնավորման մեջ։</w:t>
            </w:r>
          </w:p>
        </w:tc>
      </w:tr>
    </w:tbl>
    <w:p w14:paraId="1C5A3F14" w14:textId="77777777" w:rsidR="00437ED2" w:rsidRPr="00247EC7" w:rsidRDefault="00437ED2">
      <w:pPr>
        <w:rPr>
          <w:lang w:val="hy-AM"/>
        </w:rPr>
      </w:pPr>
    </w:p>
    <w:p w14:paraId="4D32A9E6" w14:textId="77777777" w:rsidR="004F77E1" w:rsidRPr="00247EC7" w:rsidRDefault="004F77E1">
      <w:pPr>
        <w:rPr>
          <w:lang w:val="hy-AM"/>
        </w:rPr>
      </w:pPr>
    </w:p>
    <w:sectPr w:rsidR="004F77E1" w:rsidRPr="00247EC7"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BFD08C" w14:textId="77777777" w:rsidR="002E16B2" w:rsidRDefault="002E16B2" w:rsidP="009F26EA">
      <w:pPr>
        <w:spacing w:after="0" w:line="240" w:lineRule="auto"/>
      </w:pPr>
      <w:r>
        <w:separator/>
      </w:r>
    </w:p>
  </w:endnote>
  <w:endnote w:type="continuationSeparator" w:id="0">
    <w:p w14:paraId="68EF73EE" w14:textId="77777777" w:rsidR="002E16B2" w:rsidRDefault="002E16B2"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altName w:val="Arial"/>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notTrueType/>
    <w:pitch w:val="variable"/>
    <w:sig w:usb0="00C00283" w:usb1="00000000" w:usb2="00000000" w:usb3="00000000" w:csb0="0000000D"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6323D1" w14:textId="77777777" w:rsidR="002E16B2" w:rsidRDefault="002E16B2" w:rsidP="009F26EA">
      <w:pPr>
        <w:spacing w:after="0" w:line="240" w:lineRule="auto"/>
      </w:pPr>
      <w:r>
        <w:separator/>
      </w:r>
    </w:p>
  </w:footnote>
  <w:footnote w:type="continuationSeparator" w:id="0">
    <w:p w14:paraId="40391D5A" w14:textId="77777777" w:rsidR="002E16B2" w:rsidRDefault="002E16B2" w:rsidP="009F26E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4"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5"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6"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7"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8"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0"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3"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4"/>
  </w:num>
  <w:num w:numId="2">
    <w:abstractNumId w:val="9"/>
  </w:num>
  <w:num w:numId="3">
    <w:abstractNumId w:val="14"/>
  </w:num>
  <w:num w:numId="4">
    <w:abstractNumId w:val="12"/>
  </w:num>
  <w:num w:numId="5">
    <w:abstractNumId w:val="13"/>
  </w:num>
  <w:num w:numId="6">
    <w:abstractNumId w:val="3"/>
  </w:num>
  <w:num w:numId="7">
    <w:abstractNumId w:val="11"/>
  </w:num>
  <w:num w:numId="8">
    <w:abstractNumId w:val="10"/>
  </w:num>
  <w:num w:numId="9">
    <w:abstractNumId w:val="6"/>
  </w:num>
  <w:num w:numId="10">
    <w:abstractNumId w:val="7"/>
  </w:num>
  <w:num w:numId="11">
    <w:abstractNumId w:val="2"/>
  </w:num>
  <w:num w:numId="12">
    <w:abstractNumId w:val="1"/>
  </w:num>
  <w:num w:numId="13">
    <w:abstractNumId w:val="0"/>
  </w:num>
  <w:num w:numId="14">
    <w:abstractNumId w:val="5"/>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1"/>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17AFC"/>
    <w:rsid w:val="00034DB2"/>
    <w:rsid w:val="000365A3"/>
    <w:rsid w:val="00037006"/>
    <w:rsid w:val="00043135"/>
    <w:rsid w:val="00053347"/>
    <w:rsid w:val="000564B2"/>
    <w:rsid w:val="00056F54"/>
    <w:rsid w:val="000610E2"/>
    <w:rsid w:val="00061CD9"/>
    <w:rsid w:val="000645D6"/>
    <w:rsid w:val="00071F76"/>
    <w:rsid w:val="00072453"/>
    <w:rsid w:val="00085076"/>
    <w:rsid w:val="0008793D"/>
    <w:rsid w:val="00091A12"/>
    <w:rsid w:val="00091A79"/>
    <w:rsid w:val="000A0E77"/>
    <w:rsid w:val="000A43DC"/>
    <w:rsid w:val="000A4E44"/>
    <w:rsid w:val="000A50D9"/>
    <w:rsid w:val="000C0223"/>
    <w:rsid w:val="000C2447"/>
    <w:rsid w:val="000C283E"/>
    <w:rsid w:val="000D270C"/>
    <w:rsid w:val="000D7E42"/>
    <w:rsid w:val="000E447D"/>
    <w:rsid w:val="000F1D1F"/>
    <w:rsid w:val="000F3D64"/>
    <w:rsid w:val="00102B3D"/>
    <w:rsid w:val="00103D63"/>
    <w:rsid w:val="001052D7"/>
    <w:rsid w:val="00111320"/>
    <w:rsid w:val="00112C2F"/>
    <w:rsid w:val="001149B7"/>
    <w:rsid w:val="00115052"/>
    <w:rsid w:val="001163C2"/>
    <w:rsid w:val="00116B68"/>
    <w:rsid w:val="001208DA"/>
    <w:rsid w:val="00131CBF"/>
    <w:rsid w:val="001374E5"/>
    <w:rsid w:val="0016316B"/>
    <w:rsid w:val="001675D6"/>
    <w:rsid w:val="00170F0C"/>
    <w:rsid w:val="00194CC5"/>
    <w:rsid w:val="001972C7"/>
    <w:rsid w:val="001A0870"/>
    <w:rsid w:val="001A1C7F"/>
    <w:rsid w:val="001A328A"/>
    <w:rsid w:val="001A471F"/>
    <w:rsid w:val="001B1C2E"/>
    <w:rsid w:val="001B36F8"/>
    <w:rsid w:val="001C44E1"/>
    <w:rsid w:val="001C7342"/>
    <w:rsid w:val="001D0752"/>
    <w:rsid w:val="001E0D02"/>
    <w:rsid w:val="001E256A"/>
    <w:rsid w:val="001F16AF"/>
    <w:rsid w:val="001F4D1D"/>
    <w:rsid w:val="00201E73"/>
    <w:rsid w:val="002022F9"/>
    <w:rsid w:val="00202481"/>
    <w:rsid w:val="00205CF6"/>
    <w:rsid w:val="0021092A"/>
    <w:rsid w:val="00213282"/>
    <w:rsid w:val="00224034"/>
    <w:rsid w:val="00230DF7"/>
    <w:rsid w:val="00231DA1"/>
    <w:rsid w:val="00232271"/>
    <w:rsid w:val="002330F3"/>
    <w:rsid w:val="002333D5"/>
    <w:rsid w:val="00247EC7"/>
    <w:rsid w:val="0025735C"/>
    <w:rsid w:val="002621D5"/>
    <w:rsid w:val="00262E35"/>
    <w:rsid w:val="00263E92"/>
    <w:rsid w:val="00273450"/>
    <w:rsid w:val="00275EF2"/>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E16B2"/>
    <w:rsid w:val="002E1BD6"/>
    <w:rsid w:val="002E7D7D"/>
    <w:rsid w:val="002F4813"/>
    <w:rsid w:val="002F4EF6"/>
    <w:rsid w:val="00300D77"/>
    <w:rsid w:val="00300FD9"/>
    <w:rsid w:val="00305199"/>
    <w:rsid w:val="003131E8"/>
    <w:rsid w:val="003173A5"/>
    <w:rsid w:val="00321B8F"/>
    <w:rsid w:val="00322D19"/>
    <w:rsid w:val="0032365F"/>
    <w:rsid w:val="00325496"/>
    <w:rsid w:val="00330648"/>
    <w:rsid w:val="0033077F"/>
    <w:rsid w:val="0034622C"/>
    <w:rsid w:val="003472BE"/>
    <w:rsid w:val="00350CB5"/>
    <w:rsid w:val="00352BDD"/>
    <w:rsid w:val="00354039"/>
    <w:rsid w:val="00355B58"/>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C83"/>
    <w:rsid w:val="00420338"/>
    <w:rsid w:val="00422CC8"/>
    <w:rsid w:val="00437ED2"/>
    <w:rsid w:val="0045226C"/>
    <w:rsid w:val="004533DD"/>
    <w:rsid w:val="00467B82"/>
    <w:rsid w:val="0048183D"/>
    <w:rsid w:val="00482223"/>
    <w:rsid w:val="0048496A"/>
    <w:rsid w:val="004A20BA"/>
    <w:rsid w:val="004A3C0D"/>
    <w:rsid w:val="004A6C04"/>
    <w:rsid w:val="004B1F4B"/>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32780"/>
    <w:rsid w:val="00533298"/>
    <w:rsid w:val="005332CC"/>
    <w:rsid w:val="00537EA7"/>
    <w:rsid w:val="0055469D"/>
    <w:rsid w:val="00561430"/>
    <w:rsid w:val="00571A67"/>
    <w:rsid w:val="00574E58"/>
    <w:rsid w:val="00583C88"/>
    <w:rsid w:val="00591C88"/>
    <w:rsid w:val="00592CC9"/>
    <w:rsid w:val="005A135D"/>
    <w:rsid w:val="005A1C94"/>
    <w:rsid w:val="005B1A1B"/>
    <w:rsid w:val="005C0260"/>
    <w:rsid w:val="005D01DC"/>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2D0B"/>
    <w:rsid w:val="006B4B9D"/>
    <w:rsid w:val="006B724D"/>
    <w:rsid w:val="006C2771"/>
    <w:rsid w:val="006D08F2"/>
    <w:rsid w:val="006D5C8F"/>
    <w:rsid w:val="006E4F40"/>
    <w:rsid w:val="006E64C9"/>
    <w:rsid w:val="006E721D"/>
    <w:rsid w:val="006F0083"/>
    <w:rsid w:val="006F5F9D"/>
    <w:rsid w:val="00700841"/>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67E0"/>
    <w:rsid w:val="007A096C"/>
    <w:rsid w:val="007A3ADB"/>
    <w:rsid w:val="007A6CC1"/>
    <w:rsid w:val="007B10D7"/>
    <w:rsid w:val="007B5E7B"/>
    <w:rsid w:val="007D5437"/>
    <w:rsid w:val="007E30D1"/>
    <w:rsid w:val="007E7424"/>
    <w:rsid w:val="00807831"/>
    <w:rsid w:val="00810555"/>
    <w:rsid w:val="008272C5"/>
    <w:rsid w:val="00832F19"/>
    <w:rsid w:val="00833CC9"/>
    <w:rsid w:val="00840968"/>
    <w:rsid w:val="00850AF0"/>
    <w:rsid w:val="008518F2"/>
    <w:rsid w:val="008539AA"/>
    <w:rsid w:val="00861968"/>
    <w:rsid w:val="00862B3E"/>
    <w:rsid w:val="008632BE"/>
    <w:rsid w:val="00863964"/>
    <w:rsid w:val="00864567"/>
    <w:rsid w:val="00867B88"/>
    <w:rsid w:val="00867DE1"/>
    <w:rsid w:val="00873135"/>
    <w:rsid w:val="00891097"/>
    <w:rsid w:val="00893A22"/>
    <w:rsid w:val="0089798F"/>
    <w:rsid w:val="008A41BB"/>
    <w:rsid w:val="008A68A2"/>
    <w:rsid w:val="008A7755"/>
    <w:rsid w:val="008B7455"/>
    <w:rsid w:val="008C393B"/>
    <w:rsid w:val="008C6615"/>
    <w:rsid w:val="008D7F19"/>
    <w:rsid w:val="008E3367"/>
    <w:rsid w:val="008F295F"/>
    <w:rsid w:val="009026DA"/>
    <w:rsid w:val="00920CF9"/>
    <w:rsid w:val="00924509"/>
    <w:rsid w:val="00943A48"/>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0B15"/>
    <w:rsid w:val="00A153E0"/>
    <w:rsid w:val="00A24E26"/>
    <w:rsid w:val="00A27F5C"/>
    <w:rsid w:val="00A33A79"/>
    <w:rsid w:val="00A36878"/>
    <w:rsid w:val="00A368C3"/>
    <w:rsid w:val="00A53F15"/>
    <w:rsid w:val="00A60547"/>
    <w:rsid w:val="00A63C36"/>
    <w:rsid w:val="00A67DA4"/>
    <w:rsid w:val="00A83447"/>
    <w:rsid w:val="00A8395D"/>
    <w:rsid w:val="00A86320"/>
    <w:rsid w:val="00A93911"/>
    <w:rsid w:val="00A93D61"/>
    <w:rsid w:val="00AA26BC"/>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2664C"/>
    <w:rsid w:val="00B304B1"/>
    <w:rsid w:val="00B3103C"/>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D02CAC"/>
    <w:rsid w:val="00D05CEA"/>
    <w:rsid w:val="00D12629"/>
    <w:rsid w:val="00D12AB7"/>
    <w:rsid w:val="00D145F6"/>
    <w:rsid w:val="00D22B01"/>
    <w:rsid w:val="00D25936"/>
    <w:rsid w:val="00D277D9"/>
    <w:rsid w:val="00D31A87"/>
    <w:rsid w:val="00D42F4D"/>
    <w:rsid w:val="00D44F0D"/>
    <w:rsid w:val="00D4533C"/>
    <w:rsid w:val="00D45985"/>
    <w:rsid w:val="00D53441"/>
    <w:rsid w:val="00D5418E"/>
    <w:rsid w:val="00D5419C"/>
    <w:rsid w:val="00D61AA9"/>
    <w:rsid w:val="00D717C1"/>
    <w:rsid w:val="00D725F9"/>
    <w:rsid w:val="00D814BB"/>
    <w:rsid w:val="00D82DD4"/>
    <w:rsid w:val="00D93C8B"/>
    <w:rsid w:val="00D93D33"/>
    <w:rsid w:val="00D96E80"/>
    <w:rsid w:val="00DA5456"/>
    <w:rsid w:val="00DB0BAA"/>
    <w:rsid w:val="00DB5E2E"/>
    <w:rsid w:val="00DB6521"/>
    <w:rsid w:val="00DC7BCD"/>
    <w:rsid w:val="00DC7F2D"/>
    <w:rsid w:val="00DE31E1"/>
    <w:rsid w:val="00DE412C"/>
    <w:rsid w:val="00DE4793"/>
    <w:rsid w:val="00DE6F52"/>
    <w:rsid w:val="00DE7A35"/>
    <w:rsid w:val="00DF521D"/>
    <w:rsid w:val="00DF66BD"/>
    <w:rsid w:val="00E04FB0"/>
    <w:rsid w:val="00E05E79"/>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9072C"/>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76C6"/>
    <w:rsid w:val="00F11200"/>
    <w:rsid w:val="00F13EE8"/>
    <w:rsid w:val="00F159AC"/>
    <w:rsid w:val="00F16620"/>
    <w:rsid w:val="00F21F11"/>
    <w:rsid w:val="00F3465A"/>
    <w:rsid w:val="00F35D9A"/>
    <w:rsid w:val="00F36ED5"/>
    <w:rsid w:val="00F425CB"/>
    <w:rsid w:val="00F47EE2"/>
    <w:rsid w:val="00F52020"/>
    <w:rsid w:val="00F56CC5"/>
    <w:rsid w:val="00F6074C"/>
    <w:rsid w:val="00F6667F"/>
    <w:rsid w:val="00F75DD5"/>
    <w:rsid w:val="00F945F1"/>
    <w:rsid w:val="00F954EC"/>
    <w:rsid w:val="00F96479"/>
    <w:rsid w:val="00FA260A"/>
    <w:rsid w:val="00FB1372"/>
    <w:rsid w:val="00FB467E"/>
    <w:rsid w:val="00FC09DD"/>
    <w:rsid w:val="00FC3BFD"/>
    <w:rsid w:val="00FD26F8"/>
    <w:rsid w:val="00FF1334"/>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B58923-C6E2-4010-9998-ABEF5AB441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1758</TotalTime>
  <Pages>1</Pages>
  <Words>1130</Words>
  <Characters>6447</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267</cp:revision>
  <cp:lastPrinted>2022-04-22T07:01:00Z</cp:lastPrinted>
  <dcterms:created xsi:type="dcterms:W3CDTF">2021-03-05T10:37:00Z</dcterms:created>
  <dcterms:modified xsi:type="dcterms:W3CDTF">2025-06-03T16:14:00Z</dcterms:modified>
  <cp:keywords>https://mul2.gov.am/tasks/1162957/oneclick?token=f16d82bb86f7ec12db3646e7aa42d7ad</cp:keywords>
</cp:coreProperties>
</file>