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869" w:rsidRDefault="00713F72" w:rsidP="00503117">
      <w:pPr>
        <w:spacing w:after="0" w:line="360" w:lineRule="auto"/>
        <w:ind w:firstLine="426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8F6869" w:rsidRPr="00CC702B" w:rsidRDefault="00503117" w:rsidP="00503117">
      <w:pPr>
        <w:pStyle w:val="Heading3"/>
        <w:spacing w:line="360" w:lineRule="auto"/>
        <w:ind w:firstLine="426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</w:pP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>««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ՏՈՒՐՔԻ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ՕՐԵՆՔՈՒՄ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ԼՐԱՑՈՒՄ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="009E18B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ԵՎ ՓՈՓՈԽՈՒԹՅՈՒՆ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ԿԱՏԱՐԵԼՈՒ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»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ՆԱԽԱԳԾԻ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ՓԱԹԵԹԻ</w:t>
      </w:r>
      <w:r w:rsidRPr="00CC702B"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ԸՆԴՈՒՆՄԱՆ</w:t>
      </w:r>
    </w:p>
    <w:p w:rsidR="008F6869" w:rsidRDefault="00713F72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sz w:val="24"/>
          <w:szCs w:val="24"/>
        </w:rPr>
        <w:t> </w:t>
      </w:r>
    </w:p>
    <w:p w:rsidR="008F6869" w:rsidRDefault="00713F72" w:rsidP="00503117">
      <w:pPr>
        <w:spacing w:line="360" w:lineRule="auto"/>
        <w:ind w:firstLine="426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1. Ընթացիկ իրավիճակը և նախագծ</w:t>
      </w:r>
      <w:r w:rsidR="005031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ընդունման անհրաժեշտությունը.</w:t>
      </w:r>
    </w:p>
    <w:p w:rsidR="00526FB5" w:rsidRDefault="00713F72" w:rsidP="00526FB5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«Պետական տուրքի մասին» օրենքի 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>21-րդ հոդվածով սահմանվում են պետական տուրքի գծով արտոնություններ</w:t>
      </w:r>
      <w:r w:rsidR="00381014">
        <w:rPr>
          <w:rFonts w:ascii="GHEA Grapalat" w:eastAsia="GHEA Grapalat" w:hAnsi="GHEA Grapalat" w:cs="GHEA Grapalat"/>
          <w:sz w:val="24"/>
          <w:szCs w:val="24"/>
          <w:lang w:val="hy-AM"/>
        </w:rPr>
        <w:t>ի տեսակները</w:t>
      </w:r>
      <w:r w:rsidR="001B62A3">
        <w:rPr>
          <w:rFonts w:ascii="GHEA Grapalat" w:eastAsia="GHEA Grapalat" w:hAnsi="GHEA Grapalat" w:cs="GHEA Grapalat"/>
          <w:sz w:val="24"/>
          <w:szCs w:val="24"/>
          <w:lang w:val="hy-AM"/>
        </w:rPr>
        <w:t>. դրանք են՝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26FB5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պետական տուրքի վճարումից ազատում</w:t>
      </w:r>
      <w:r w:rsidR="001B62A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526FB5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պետական տուրքի նվազեցում</w:t>
      </w:r>
      <w:r w:rsidR="001B62A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526FB5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պետական տուրքի դրույքաչափի նվազեցում</w:t>
      </w:r>
      <w:r w:rsidR="001B62A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526FB5" w:rsidRPr="00D34502">
        <w:rPr>
          <w:rFonts w:ascii="GHEA Grapalat" w:eastAsia="GHEA Grapalat" w:hAnsi="GHEA Grapalat" w:cs="GHEA Grapalat"/>
          <w:sz w:val="24"/>
          <w:szCs w:val="24"/>
          <w:lang w:val="hy-AM"/>
        </w:rPr>
        <w:t>պետական տուրքի վճարման ժամկետի հետաձգում</w:t>
      </w:r>
      <w:r w:rsidR="001B62A3" w:rsidRPr="00D34502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="00526FB5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պետական տուրքը սահմանված ժամկետում բյուջե չգանձելու համար հաշվարկված տույժերի վճարումից ազատում</w:t>
      </w:r>
      <w:r w:rsidR="001B62A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526FB5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, նվազեցում</w:t>
      </w:r>
      <w:r w:rsidR="001B62A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526FB5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, դրանք վճարելու ժամկետի հետաձգում</w:t>
      </w:r>
      <w:r w:rsidR="001B62A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526FB5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526FB5" w:rsidRPr="00976F5D" w:rsidRDefault="004701ED" w:rsidP="00CC702B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Միաժամանակ, 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>«Պետական տուրքի մասին» օրենքի</w:t>
      </w:r>
      <w:r w:rsidR="00526FB5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22-րդ հոդվածով սահմանված </w:t>
      </w:r>
      <w:r w:rsidR="00976F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դատարաններում </w:t>
      </w:r>
      <w:r w:rsidR="00381014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պետական տուրքի վճարումից ազատման 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հիմքերի ուսումնասիրությունը թույլ է տալիս արձանագրել, որ դրանք մեծամասամբ կապված են կա՛մ առավել խոցելի խմբերի իրավունքների պաշտպանության, կա՛մ վտանգավորության բարձր մակարդակ կա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՛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 ծանր հետևանքներ առաջացնող խախտումների հետ: </w:t>
      </w:r>
      <w:r w:rsidR="00976F5D">
        <w:rPr>
          <w:rFonts w:ascii="GHEA Grapalat" w:eastAsia="GHEA Grapalat" w:hAnsi="GHEA Grapalat" w:cs="GHEA Grapalat"/>
          <w:sz w:val="24"/>
          <w:szCs w:val="24"/>
          <w:lang w:val="hy-AM"/>
        </w:rPr>
        <w:t>Կարող ենք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արձանագրել նաև, որ </w:t>
      </w:r>
      <w:r w:rsidR="00976F5D">
        <w:rPr>
          <w:rFonts w:ascii="GHEA Grapalat" w:eastAsia="GHEA Grapalat" w:hAnsi="GHEA Grapalat" w:cs="GHEA Grapalat"/>
          <w:sz w:val="24"/>
          <w:szCs w:val="24"/>
          <w:lang w:val="hy-AM"/>
        </w:rPr>
        <w:t>սահմանված հիմքերը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հաճախ կապվում են հենց պետության կողմից հիմնարար իրավունքների խախտման հետևանքով պատճառված վնասների հատուցման հետ, այնուամենայնիվ հիմնարար 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իրավունքների խախտման </w:t>
      </w:r>
      <w:r w:rsidR="008D13DD">
        <w:rPr>
          <w:rFonts w:ascii="GHEA Grapalat" w:eastAsia="GHEA Grapalat" w:hAnsi="GHEA Grapalat" w:cs="GHEA Grapalat"/>
          <w:sz w:val="24"/>
          <w:szCs w:val="24"/>
          <w:lang w:val="hy-AM"/>
        </w:rPr>
        <w:t>մի շարք</w:t>
      </w:r>
      <w:r w:rsidR="00EF5C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դեպքեր </w:t>
      </w:r>
      <w:r w:rsidR="008D13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կարող են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դուրս </w:t>
      </w:r>
      <w:r w:rsidR="008D13DD">
        <w:rPr>
          <w:rFonts w:ascii="GHEA Grapalat" w:eastAsia="GHEA Grapalat" w:hAnsi="GHEA Grapalat" w:cs="GHEA Grapalat"/>
          <w:sz w:val="24"/>
          <w:szCs w:val="24"/>
          <w:lang w:val="hy-AM"/>
        </w:rPr>
        <w:t>մնալ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օրենքով կանխորոշած շրջանակից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69471C" w:rsidRDefault="00976F5D" w:rsidP="0069471C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Ինչ վերաբերում է </w:t>
      </w:r>
      <w:r w:rsidRPr="00976F5D">
        <w:rPr>
          <w:rFonts w:ascii="GHEA Grapalat" w:eastAsia="GHEA Grapalat" w:hAnsi="GHEA Grapalat" w:cs="GHEA Grapalat"/>
          <w:sz w:val="24"/>
          <w:szCs w:val="24"/>
          <w:lang w:val="hy-AM"/>
        </w:rPr>
        <w:t>պետական տուրքի վճարման ժամկետի հետաձգմանը, որպես պետական տուրքի գծով արտոնության տեսակ, հ</w:t>
      </w:r>
      <w:r w:rsidR="008D13DD" w:rsidRPr="00976F5D">
        <w:rPr>
          <w:rFonts w:ascii="GHEA Grapalat" w:eastAsia="GHEA Grapalat" w:hAnsi="GHEA Grapalat" w:cs="GHEA Grapalat"/>
          <w:sz w:val="24"/>
          <w:szCs w:val="24"/>
          <w:lang w:val="hy-AM"/>
        </w:rPr>
        <w:t>արկ</w:t>
      </w:r>
      <w:r w:rsidR="008D13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նշել, որ</w:t>
      </w:r>
      <w:r w:rsidR="003810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գործող օրենսդրությամբ </w:t>
      </w:r>
      <w:r w:rsidR="00EF5C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սահմանված չեն </w:t>
      </w:r>
      <w:r w:rsidR="00381014">
        <w:rPr>
          <w:rFonts w:ascii="GHEA Grapalat" w:eastAsia="GHEA Grapalat" w:hAnsi="GHEA Grapalat" w:cs="GHEA Grapalat"/>
          <w:sz w:val="24"/>
          <w:szCs w:val="24"/>
          <w:lang w:val="hy-AM"/>
        </w:rPr>
        <w:t>պետական տուրքի վճարման ժամկետի հետաձգ</w:t>
      </w:r>
      <w:r w:rsidR="00EF5C08">
        <w:rPr>
          <w:rFonts w:ascii="GHEA Grapalat" w:eastAsia="GHEA Grapalat" w:hAnsi="GHEA Grapalat" w:cs="GHEA Grapalat"/>
          <w:sz w:val="24"/>
          <w:szCs w:val="24"/>
          <w:lang w:val="hy-AM"/>
        </w:rPr>
        <w:t>ման պարտադիր հիմքեր</w:t>
      </w:r>
      <w:r w:rsidR="008062FC">
        <w:rPr>
          <w:rFonts w:ascii="GHEA Grapalat" w:eastAsia="GHEA Grapalat" w:hAnsi="GHEA Grapalat" w:cs="GHEA Grapalat"/>
          <w:sz w:val="24"/>
          <w:szCs w:val="24"/>
          <w:lang w:val="hy-AM"/>
        </w:rPr>
        <w:t>, այդ թվում՝ մարդու հիմնարար իրավունքների խախտման արդյունքում ոչ նյութական վնասի հատուցման հայցերով պետական տուրքի վճարման ժամկետի հետաձգման</w:t>
      </w:r>
      <w:r w:rsidR="008062FC" w:rsidRPr="001272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062FC">
        <w:rPr>
          <w:rFonts w:ascii="GHEA Grapalat" w:eastAsia="GHEA Grapalat" w:hAnsi="GHEA Grapalat" w:cs="GHEA Grapalat"/>
          <w:sz w:val="24"/>
          <w:szCs w:val="24"/>
          <w:lang w:val="hy-AM"/>
        </w:rPr>
        <w:t>համար</w:t>
      </w:r>
      <w:r w:rsidR="00D34502">
        <w:rPr>
          <w:rFonts w:ascii="GHEA Grapalat" w:eastAsia="GHEA Grapalat" w:hAnsi="GHEA Grapalat" w:cs="GHEA Grapalat"/>
          <w:sz w:val="24"/>
          <w:szCs w:val="24"/>
          <w:lang w:val="hy-AM"/>
        </w:rPr>
        <w:t>: Ո</w:t>
      </w:r>
      <w:r w:rsidR="008062F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ւստի՝ </w:t>
      </w:r>
      <w:r w:rsidR="008D13DD">
        <w:rPr>
          <w:rFonts w:ascii="GHEA Grapalat" w:eastAsia="GHEA Grapalat" w:hAnsi="GHEA Grapalat" w:cs="GHEA Grapalat"/>
          <w:sz w:val="24"/>
          <w:szCs w:val="24"/>
          <w:lang w:val="hy-AM"/>
        </w:rPr>
        <w:t>հայցվորները</w:t>
      </w:r>
      <w:r w:rsidR="003810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D13DD">
        <w:rPr>
          <w:rFonts w:ascii="GHEA Grapalat" w:eastAsia="GHEA Grapalat" w:hAnsi="GHEA Grapalat" w:cs="GHEA Grapalat"/>
          <w:sz w:val="24"/>
          <w:szCs w:val="24"/>
          <w:lang w:val="hy-AM"/>
        </w:rPr>
        <w:t>պետական տուրքի</w:t>
      </w:r>
      <w:r w:rsidR="00EF5C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ժամկետի հետաձգումից </w:t>
      </w:r>
      <w:r w:rsidR="008D13DD">
        <w:rPr>
          <w:rFonts w:ascii="GHEA Grapalat" w:eastAsia="GHEA Grapalat" w:hAnsi="GHEA Grapalat" w:cs="GHEA Grapalat"/>
          <w:sz w:val="24"/>
          <w:szCs w:val="24"/>
          <w:lang w:val="hy-AM"/>
        </w:rPr>
        <w:t>կարող են օգվել</w:t>
      </w:r>
      <w:r w:rsidR="003810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միայն պետական տուրքի </w:t>
      </w:r>
      <w:r w:rsidR="00381014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վճարումը հետաձգելու վերաբերյալ </w:t>
      </w:r>
      <w:r w:rsidR="00381014">
        <w:rPr>
          <w:rFonts w:ascii="GHEA Grapalat" w:eastAsia="GHEA Grapalat" w:hAnsi="GHEA Grapalat" w:cs="GHEA Grapalat"/>
          <w:sz w:val="24"/>
          <w:szCs w:val="24"/>
          <w:lang w:val="hy-AM"/>
        </w:rPr>
        <w:t>միջնորդության բավարարման դեպքում:</w:t>
      </w:r>
      <w:r w:rsidR="006947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Այսինքն,</w:t>
      </w:r>
      <w:r w:rsidR="0069471C" w:rsidRPr="006947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պետական </w:t>
      </w:r>
      <w:r w:rsidR="0069471C" w:rsidRPr="0069471C">
        <w:rPr>
          <w:rFonts w:ascii="Cambria Math" w:eastAsia="GHEA Grapalat" w:hAnsi="Cambria Math" w:cs="Cambria Math"/>
          <w:sz w:val="24"/>
          <w:szCs w:val="24"/>
          <w:lang w:val="hy-AM"/>
        </w:rPr>
        <w:t>​​</w:t>
      </w:r>
      <w:r w:rsidR="0069471C" w:rsidRPr="006947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տուրքի հետաձգման հնարավորությունը մեծապես կախված է </w:t>
      </w:r>
      <w:r w:rsidR="0069471C">
        <w:rPr>
          <w:rFonts w:ascii="GHEA Grapalat" w:eastAsia="GHEA Grapalat" w:hAnsi="GHEA Grapalat" w:cs="GHEA Grapalat"/>
          <w:sz w:val="24"/>
          <w:szCs w:val="24"/>
          <w:lang w:val="hy-AM"/>
        </w:rPr>
        <w:t>դատարանի</w:t>
      </w:r>
      <w:r w:rsidR="0069471C" w:rsidRPr="006947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9471C" w:rsidRPr="0069471C">
        <w:rPr>
          <w:rFonts w:ascii="Cambria Math" w:eastAsia="GHEA Grapalat" w:hAnsi="Cambria Math" w:cs="Cambria Math"/>
          <w:sz w:val="24"/>
          <w:szCs w:val="24"/>
          <w:lang w:val="hy-AM"/>
        </w:rPr>
        <w:t>​​</w:t>
      </w:r>
      <w:r w:rsidR="0069471C" w:rsidRPr="006947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հայեցողությունից և </w:t>
      </w:r>
      <w:r w:rsidR="0069471C">
        <w:rPr>
          <w:rFonts w:ascii="GHEA Grapalat" w:eastAsia="GHEA Grapalat" w:hAnsi="GHEA Grapalat" w:cs="GHEA Grapalat"/>
          <w:sz w:val="24"/>
          <w:szCs w:val="24"/>
          <w:lang w:val="hy-AM"/>
        </w:rPr>
        <w:t>չի պարունակում հստակ չափանիշներ:</w:t>
      </w:r>
    </w:p>
    <w:p w:rsidR="00F862E7" w:rsidRPr="00CC702B" w:rsidRDefault="00127289" w:rsidP="00CC702B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>րդյունքում առաջանում է մի իրավիճակ, երբ անձանց համար ծանր հետևանքներ առաջացնող և հիմնարար իրավունքների խախտ</w:t>
      </w:r>
      <w:r w:rsidR="00EF5C08">
        <w:rPr>
          <w:rFonts w:ascii="GHEA Grapalat" w:eastAsia="GHEA Grapalat" w:hAnsi="GHEA Grapalat" w:cs="GHEA Grapalat"/>
          <w:sz w:val="24"/>
          <w:szCs w:val="24"/>
          <w:lang w:val="hy-AM"/>
        </w:rPr>
        <w:t>ումների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հետևանքով պատճառված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ոչ նյութական </w:t>
      </w:r>
      <w:r w:rsidR="00713F72" w:rsidRPr="00526F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վնասի հատուցման բազմաթիվ դեպքեր ներառված չեն պետական տուրքի </w:t>
      </w:r>
      <w:r w:rsidR="00526FB5">
        <w:rPr>
          <w:rFonts w:ascii="GHEA Grapalat" w:eastAsia="GHEA Grapalat" w:hAnsi="GHEA Grapalat" w:cs="GHEA Grapalat"/>
          <w:sz w:val="24"/>
          <w:szCs w:val="24"/>
          <w:lang w:val="hy-AM"/>
        </w:rPr>
        <w:t>գծով արտոնությունների</w:t>
      </w:r>
      <w:r w:rsidR="00713F72" w:rsidRPr="00CC702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օրենքով նախատեսված </w:t>
      </w:r>
      <w:r w:rsidR="003810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ազատման </w:t>
      </w:r>
      <w:r w:rsidR="00EF5C08" w:rsidRPr="00CC702B">
        <w:rPr>
          <w:rFonts w:ascii="GHEA Grapalat" w:eastAsia="GHEA Grapalat" w:hAnsi="GHEA Grapalat" w:cs="GHEA Grapalat"/>
          <w:sz w:val="24"/>
          <w:szCs w:val="24"/>
          <w:lang w:val="hy-AM"/>
        </w:rPr>
        <w:t>պարտադիր հիմքերում</w:t>
      </w:r>
      <w:r w:rsidR="00EF5C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ինչպես նաև </w:t>
      </w:r>
      <w:r w:rsidR="004701ED">
        <w:rPr>
          <w:rFonts w:ascii="GHEA Grapalat" w:eastAsia="GHEA Grapalat" w:hAnsi="GHEA Grapalat" w:cs="GHEA Grapalat"/>
          <w:sz w:val="24"/>
          <w:szCs w:val="24"/>
          <w:lang w:val="hy-AM"/>
        </w:rPr>
        <w:t>չեն</w:t>
      </w:r>
      <w:r w:rsidR="00EF5C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հանդիսանում օրենքով ուղղակիորեն ամրագրված պետական տուրքի վճարման հետաձգման հիմք</w:t>
      </w:r>
      <w:r w:rsidR="003810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713F72" w:rsidRPr="00CC702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այդ թվում՝ </w:t>
      </w:r>
      <w:r w:rsidR="00713F72" w:rsidRPr="00CC702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«Մարդու իրավունքների և հիմնարար</w:t>
      </w:r>
      <w:r w:rsidR="00713F72" w:rsidRPr="00CC702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ազատությունների պաշտպանության մասին» </w:t>
      </w:r>
      <w:r w:rsidR="00713F72" w:rsidRPr="00CC702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կոնվենցիայով սահմանված</w:t>
      </w:r>
      <w:r w:rsidR="00713F72" w:rsidRPr="00CC702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13F72" w:rsidRPr="00CC702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իրավունքների և ազատությունների խախտման հետևանքով պատճառված </w:t>
      </w:r>
      <w:r w:rsidR="0038101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ոչ նյութական </w:t>
      </w:r>
      <w:r w:rsidR="00713F72" w:rsidRPr="00CC702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վնասի պահանջի հայցերով:</w:t>
      </w:r>
    </w:p>
    <w:p w:rsidR="008F6869" w:rsidRDefault="00F862E7" w:rsidP="00B90308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Մարդու իրավունքների և հիմնարար ազատությունների խախտման հետ կապված հայցերի համար պետական </w:t>
      </w:r>
      <w:r w:rsidR="00526F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տուրքի վճարման ժամկետի հետաձգումը 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բխում է 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Մարդու իրավունքների եվրոպական կոնվենցիայից և Մարդու իրավունքների եվրոպական դատարանի նախադեպային իրավունքի</w:t>
      </w:r>
      <w:r w:rsid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ընդհանուր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տրամաբանությունից, որոնք առանցքային են համարում արդար դատաքննության իրավունքի բաղադրատարր հանդիսացող արդարադատության </w:t>
      </w:r>
      <w:r w:rsid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մատչելիության ապահովումը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 առումով, հարկ է անդրադարձ կատարել «</w:t>
      </w:r>
      <w:r w:rsidRPr="00F862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Կրեուզն</w:t>
      </w:r>
      <w:r w:rsidR="00B90308">
        <w:rPr>
          <w:rFonts w:ascii="Cambria" w:eastAsia="GHEA Grapalat" w:hAnsi="Cambria" w:cs="Cambria"/>
          <w:i/>
          <w:iCs/>
          <w:color w:val="000000"/>
          <w:sz w:val="24"/>
          <w:szCs w:val="24"/>
          <w:lang w:val="hy-AM"/>
        </w:rPr>
        <w:t xml:space="preserve"> </w:t>
      </w:r>
      <w:r w:rsidRPr="00F862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ընդդեմ</w:t>
      </w:r>
      <w:r w:rsidR="00B90308">
        <w:rPr>
          <w:rFonts w:ascii="Cambria" w:eastAsia="GHEA Grapalat" w:hAnsi="Cambria" w:cs="Cambria"/>
          <w:i/>
          <w:iCs/>
          <w:color w:val="000000"/>
          <w:sz w:val="24"/>
          <w:szCs w:val="24"/>
          <w:lang w:val="hy-AM"/>
        </w:rPr>
        <w:t xml:space="preserve"> </w:t>
      </w:r>
      <w:r w:rsidRPr="00F862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Լեհաստանի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B90308">
        <w:rPr>
          <w:rFonts w:ascii="Cambria" w:eastAsia="GHEA Grapalat" w:hAnsi="Cambria" w:cs="Cambria"/>
          <w:color w:val="000000"/>
          <w:sz w:val="24"/>
          <w:szCs w:val="24"/>
          <w:lang w:val="hy-AM"/>
        </w:rPr>
        <w:t xml:space="preserve"> 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գործով</w:t>
      </w:r>
      <w:r w:rsidR="00B90308">
        <w:rPr>
          <w:rFonts w:ascii="Cambria" w:eastAsia="GHEA Grapalat" w:hAnsi="Cambria" w:cs="Cambria"/>
          <w:color w:val="000000"/>
          <w:sz w:val="24"/>
          <w:szCs w:val="24"/>
          <w:lang w:val="hy-AM"/>
        </w:rPr>
        <w:t xml:space="preserve"> 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արդու իրավունքների եվրոպական դատարանի 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դիրքորոշմանը, որով դատարանը վճռել է, որ դիմումատուի՝ հայց ներկայացնելու համար վճարը նվազեցնելու մերժումը անհամաչափորեն սահմանափակում է </w:t>
      </w:r>
      <w:r w:rsid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վերջինիս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դատարանի մատչելիության </w:t>
      </w:r>
      <w:r w:rsid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իրավունքը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խախտելով </w:t>
      </w:r>
      <w:r w:rsidR="00D34502" w:rsidRPr="00D3450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Մարդու իրավունքների եվրոպական կոնվենցիայ</w:t>
      </w:r>
      <w:r w:rsidR="00D3450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 </w:t>
      </w:r>
      <w:r w:rsidRPr="00F862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6-րդ հոդվածը</w:t>
      </w:r>
      <w:r>
        <w:rPr>
          <w:rStyle w:val="FootnoteReference"/>
          <w:rFonts w:ascii="GHEA Grapalat" w:eastAsia="GHEA Grapalat" w:hAnsi="GHEA Grapalat" w:cs="GHEA Grapalat"/>
          <w:color w:val="000000"/>
          <w:sz w:val="24"/>
          <w:szCs w:val="24"/>
          <w:lang w:val="hy-AM"/>
        </w:rPr>
        <w:footnoteReference w:id="1"/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:rsidR="008F6869" w:rsidRPr="00E618AE" w:rsidRDefault="00713F72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Վերոգրյալով պայմանավորված և հիմք ընդունելով </w:t>
      </w:r>
      <w:r w:rsidRP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«Մարդու իրավունքների պաշտպանության ազգային ռազմավարությունը և դրանից բխող 2020-2022 թվականների և 2023-2025 թվականների գործողությունների ծրագիրը հաստատելու մասին» Կառավարության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2019 թվականի դեկտեմբերի 26-ի N 1978-Լ որոշման 3-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հավելվածով 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>հաստատված Մարդու իրավունքների պաշտպանության ազգային ռազմավարությունից բխող 2023-2025թթ. գործողությունների ծրագրի</w:t>
      </w:r>
      <w:r w:rsidR="00976F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76F5D" w:rsidRPr="00976F5D">
        <w:rPr>
          <w:rFonts w:ascii="GHEA Grapalat" w:eastAsia="GHEA Grapalat" w:hAnsi="GHEA Grapalat" w:cs="GHEA Grapalat"/>
          <w:sz w:val="24"/>
          <w:szCs w:val="24"/>
          <w:lang w:val="hy-AM"/>
        </w:rPr>
        <w:t>3.5-րդ</w:t>
      </w:r>
      <w:r w:rsidR="00976F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76F5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գործողությունը</w:t>
      </w:r>
      <w:r w:rsidRPr="00976F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(«Պետական տուրքի մասին» ՀՀ օրենքում նախատեսել արտոնություն՝ պետական տուրքի վճարումից ազատելու ձևով, հայցվորներին բոլոր հիմնարար իրավունքի խախտման հետևանքով պատճառված վնասի, այդ թվում՝ ոչ նյութական (բարոյական) վնասի փոխհատուցման պահանջի հայցերով՝ ի ապահովումն անձի իրավունքի պաշտպանության արդյունավետության)՝ 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առաջարկվել է «Պետական տուրքի մասին» օրենքի 22-րդ հոդվածում ընդլայնել պետական </w:t>
      </w:r>
      <w:r w:rsidR="00CC702B">
        <w:rPr>
          <w:rFonts w:ascii="GHEA Grapalat" w:eastAsia="GHEA Grapalat" w:hAnsi="GHEA Grapalat" w:cs="GHEA Grapalat"/>
          <w:sz w:val="24"/>
          <w:szCs w:val="24"/>
          <w:lang w:val="hy-AM"/>
        </w:rPr>
        <w:t>տուրքի</w:t>
      </w:r>
      <w:r w:rsidR="001B62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C702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արտոնությունից օգտվելու 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դեպքերը՝ ներառելով նաև </w:t>
      </w:r>
      <w:r w:rsidR="00976F5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պետության կողմից </w:t>
      </w:r>
      <w:r w:rsidR="00620179" w:rsidRPr="00620179">
        <w:rPr>
          <w:rFonts w:ascii="GHEA Grapalat" w:eastAsia="GHEA Grapalat" w:hAnsi="GHEA Grapalat" w:cs="GHEA Grapalat"/>
          <w:sz w:val="24"/>
          <w:szCs w:val="24"/>
          <w:lang w:val="hy-AM"/>
        </w:rPr>
        <w:t>հիմնարար իրավունքների խախտման հետևանքով պատճառված վնասի հատուցման</w:t>
      </w:r>
      <w:r w:rsidRPr="0062017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>հայցեր</w:t>
      </w:r>
      <w:r w:rsidR="00D3450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ով </w:t>
      </w:r>
      <w:r w:rsidR="00A565B2" w:rsidRPr="00A565B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 տուրքի վճար</w:t>
      </w:r>
      <w:r w:rsidR="00A565B2" w:rsidRPr="00A565B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ման </w:t>
      </w:r>
      <w:r w:rsidR="00A565B2">
        <w:rPr>
          <w:rFonts w:ascii="GHEA Grapalat" w:eastAsia="GHEA Grapalat" w:hAnsi="GHEA Grapalat" w:cs="GHEA Grapalat"/>
          <w:sz w:val="24"/>
          <w:szCs w:val="24"/>
          <w:lang w:val="hy-AM"/>
        </w:rPr>
        <w:t>ժամկետի հետաձգումը:</w:t>
      </w:r>
    </w:p>
    <w:p w:rsidR="008F6869" w:rsidRPr="00E618AE" w:rsidRDefault="008F6869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8F6869" w:rsidRPr="00E618AE" w:rsidRDefault="00713F72" w:rsidP="00503117">
      <w:pPr>
        <w:spacing w:line="360" w:lineRule="auto"/>
        <w:ind w:firstLine="426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618A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 Առաջարկվող կարգավորման բնույթը.</w:t>
      </w:r>
    </w:p>
    <w:p w:rsidR="008F6869" w:rsidRDefault="00713F72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222222"/>
          <w:sz w:val="24"/>
          <w:szCs w:val="24"/>
          <w:lang w:val="hy-AM"/>
        </w:rPr>
      </w:pP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«Պետական տուրքի մասին» օրենքում լրացում </w:t>
      </w:r>
      <w:r w:rsidR="001E00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</w:t>
      </w:r>
      <w:r w:rsidR="001E0098" w:rsidRP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փոփոխություն</w:t>
      </w:r>
      <w:r w:rsidR="001E00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կատարելու մասին» օրենքի նախագծով (այսուհետ՝ Նախագիծ) առաջարկվել է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«Պետական տուրքի մասին» օրենքի 22-րդ հոդվածում </w:t>
      </w:r>
      <w:r w:rsidR="00CC702B">
        <w:rPr>
          <w:rFonts w:ascii="GHEA Grapalat" w:eastAsia="GHEA Grapalat" w:hAnsi="GHEA Grapalat" w:cs="GHEA Grapalat"/>
          <w:sz w:val="24"/>
          <w:szCs w:val="24"/>
          <w:lang w:val="hy-AM"/>
        </w:rPr>
        <w:t>նախատեսել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պետական </w:t>
      </w:r>
      <w:r w:rsidR="00CC702B">
        <w:rPr>
          <w:rFonts w:ascii="GHEA Grapalat" w:eastAsia="GHEA Grapalat" w:hAnsi="GHEA Grapalat" w:cs="GHEA Grapalat"/>
          <w:sz w:val="24"/>
          <w:szCs w:val="24"/>
          <w:lang w:val="hy-AM"/>
        </w:rPr>
        <w:t>տուրքի վճարման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E616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ժամկետի </w:t>
      </w:r>
      <w:r w:rsidR="00CC702B">
        <w:rPr>
          <w:rFonts w:ascii="GHEA Grapalat" w:eastAsia="GHEA Grapalat" w:hAnsi="GHEA Grapalat" w:cs="GHEA Grapalat"/>
          <w:sz w:val="24"/>
          <w:szCs w:val="24"/>
          <w:lang w:val="hy-AM"/>
        </w:rPr>
        <w:t>հետաձգում</w:t>
      </w:r>
      <w:r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="00CC702B" w:rsidRPr="00CC702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քաղաքացիական օրենսգրքի 162.1-ին հոդվածի 2-րդ մասով նախատեսված հիմնարար իրավունքների խախտման հետևանքով պատճառված ոչ նյութական վնասի հատուցման հայցերով, եթե </w:t>
      </w:r>
      <w:r w:rsidR="00480E68" w:rsidRPr="00480E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նախաքննության մարմինը, դատախազը կամ </w:t>
      </w:r>
      <w:r w:rsidR="00480E68" w:rsidRPr="00480E6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դատարան</w:t>
      </w:r>
      <w:r w:rsidR="00480E68" w:rsidRPr="00480E6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480E6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CC702B" w:rsidRPr="00CC702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հաստատել է պետական կամ տեղական ինքնակառավարման մարմնի կամ դրա պաշտոնատար անձի որոշման, գործողության կամ անգործության հետևանքով իրավունքի խախտման փաստը</w:t>
      </w:r>
      <w:r w:rsidR="00CC702B">
        <w:rPr>
          <w:rFonts w:ascii="GHEA Grapalat" w:eastAsia="GHEA Grapalat" w:hAnsi="GHEA Grapalat" w:cs="GHEA Grapalat"/>
          <w:color w:val="222222"/>
          <w:sz w:val="24"/>
          <w:szCs w:val="24"/>
          <w:lang w:val="hy-AM"/>
        </w:rPr>
        <w:t>:</w:t>
      </w:r>
    </w:p>
    <w:p w:rsidR="009E18BC" w:rsidRPr="001E0098" w:rsidRDefault="009E18BC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E0098">
        <w:rPr>
          <w:rFonts w:ascii="GHEA Grapalat" w:eastAsia="GHEA Grapalat" w:hAnsi="GHEA Grapalat" w:cs="GHEA Grapalat"/>
          <w:sz w:val="24"/>
          <w:szCs w:val="24"/>
          <w:lang w:val="hy-AM"/>
        </w:rPr>
        <w:t>Մասնավորապես, Ն</w:t>
      </w:r>
      <w:r w:rsidR="001E0098" w:rsidRPr="001E0098">
        <w:rPr>
          <w:rFonts w:ascii="GHEA Grapalat" w:eastAsia="GHEA Grapalat" w:hAnsi="GHEA Grapalat" w:cs="GHEA Grapalat"/>
          <w:sz w:val="24"/>
          <w:szCs w:val="24"/>
          <w:lang w:val="hy-AM"/>
        </w:rPr>
        <w:t>ախ</w:t>
      </w:r>
      <w:r w:rsidRPr="001E00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ագծով </w:t>
      </w:r>
      <w:r w:rsidR="001E00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լրացուցիչ երաշխիք է նախատեսվում </w:t>
      </w:r>
      <w:r w:rsidRPr="001E00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անձի արդար դատաքննության իրավունքի </w:t>
      </w:r>
      <w:r w:rsidR="001E0098">
        <w:rPr>
          <w:rFonts w:ascii="GHEA Grapalat" w:eastAsia="GHEA Grapalat" w:hAnsi="GHEA Grapalat" w:cs="GHEA Grapalat"/>
          <w:sz w:val="24"/>
          <w:szCs w:val="24"/>
          <w:lang w:val="hy-AM"/>
        </w:rPr>
        <w:t>իրացման համար</w:t>
      </w:r>
      <w:r w:rsidRPr="001E00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հնարավորություն տալով հայց ներկայացնել՝ առանց </w:t>
      </w:r>
      <w:r w:rsidR="00976F5D">
        <w:rPr>
          <w:rFonts w:ascii="GHEA Grapalat" w:eastAsia="GHEA Grapalat" w:hAnsi="GHEA Grapalat" w:cs="GHEA Grapalat"/>
          <w:sz w:val="24"/>
          <w:szCs w:val="24"/>
          <w:lang w:val="hy-AM"/>
        </w:rPr>
        <w:t>հայց ներկայացնելու</w:t>
      </w:r>
      <w:r w:rsidRPr="001E00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պահին վճարում կատարելու կաշկանդվածության:</w:t>
      </w:r>
    </w:p>
    <w:p w:rsidR="008F6869" w:rsidRPr="00E618AE" w:rsidRDefault="008F6869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8F6869" w:rsidRPr="00E618AE" w:rsidRDefault="00713F72" w:rsidP="00503117">
      <w:pPr>
        <w:numPr>
          <w:ilvl w:val="0"/>
          <w:numId w:val="1"/>
        </w:numPr>
        <w:shd w:val="clear" w:color="auto" w:fill="FFFFFF"/>
        <w:spacing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618AE">
        <w:rPr>
          <w:color w:val="000000"/>
          <w:sz w:val="24"/>
          <w:szCs w:val="24"/>
          <w:lang w:val="hy-AM"/>
        </w:rPr>
        <w:t> </w:t>
      </w:r>
      <w:r w:rsidRPr="00E618A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8F6869" w:rsidRPr="00E618AE" w:rsidRDefault="00713F72" w:rsidP="00503117">
      <w:pP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618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Նախագիծը մշակվել է ՀՀ արդարադատության նախարարության կողմից։ </w:t>
      </w:r>
    </w:p>
    <w:p w:rsidR="008F6869" w:rsidRPr="00E618AE" w:rsidRDefault="008F6869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8F6869" w:rsidRDefault="00713F72" w:rsidP="00503117">
      <w:pPr>
        <w:numPr>
          <w:ilvl w:val="0"/>
          <w:numId w:val="2"/>
        </w:numPr>
        <w:shd w:val="clear" w:color="auto" w:fill="FFFFFF"/>
        <w:tabs>
          <w:tab w:val="left" w:pos="1276"/>
        </w:tabs>
        <w:spacing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 արդյունքը.</w:t>
      </w:r>
    </w:p>
    <w:p w:rsidR="008F6869" w:rsidRPr="00976F5D" w:rsidRDefault="00713F72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</w:rPr>
      </w:pPr>
      <w:r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Նախագծ</w:t>
      </w:r>
      <w:r w:rsidR="00976F5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ով</w:t>
      </w:r>
      <w:r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առաջարկվող կարգավորումների միջոցով հնարավոր կլինի </w:t>
      </w:r>
      <w:r w:rsidR="00976F5D"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քաղաքացիական օրենսգրքի 162.1-ին հոդվածի 2-րդ մասով նախատեսված հիմնարար իրավունքների խախտման հետևանքով պատճառված ոչ նյութական վնասի հատուցման հայցերով </w:t>
      </w:r>
      <w:r w:rsidR="00976F5D"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երաշխիքներ սահմանել արդար դատաքննության իրավունքի մաս կազմող դատարանի մատչելիության իրավունքի լիարժեք </w:t>
      </w:r>
      <w:r w:rsidR="00976F5D"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իրացման</w:t>
      </w:r>
      <w:r w:rsidR="00976F5D"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համար</w:t>
      </w:r>
      <w:r w:rsidR="00976F5D"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՝ </w:t>
      </w:r>
      <w:r w:rsidR="00976F5D"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կապված գործերի բնույթի, դիմող սուբյեկտների և պաշտպանվող իրավունքի տեսակի հետ</w:t>
      </w:r>
      <w:r w:rsidR="00976F5D" w:rsidRPr="00976F5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:rsidR="008F6869" w:rsidRDefault="008F6869" w:rsidP="0050311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8F6869" w:rsidRDefault="00713F72" w:rsidP="00503117">
      <w:pPr>
        <w:numPr>
          <w:ilvl w:val="0"/>
          <w:numId w:val="3"/>
        </w:numPr>
        <w:shd w:val="clear" w:color="auto" w:fill="FFFFFF"/>
        <w:spacing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փոփոխությունները.</w:t>
      </w:r>
    </w:p>
    <w:p w:rsidR="008F6869" w:rsidRDefault="003F1B7D" w:rsidP="00503117">
      <w:pP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</w:t>
      </w:r>
      <w:r w:rsidR="00713F7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 ընդունման դեպքում պետական կամ տեղական ինքնակառավարման մարմնի բյուջեում </w:t>
      </w:r>
      <w:r w:rsidR="00E618AE">
        <w:rPr>
          <w:rFonts w:ascii="GHEA Grapalat" w:eastAsia="GHEA Grapalat" w:hAnsi="GHEA Grapalat" w:cs="GHEA Grapalat"/>
          <w:color w:val="000000"/>
          <w:sz w:val="24"/>
          <w:szCs w:val="24"/>
        </w:rPr>
        <w:t>ծախսերի</w:t>
      </w:r>
      <w:r w:rsidR="00713F7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եկամուտների էական ավելացում կամ նվազեցում չի առաջանում:</w:t>
      </w:r>
    </w:p>
    <w:p w:rsidR="008F6869" w:rsidRPr="00D34502" w:rsidRDefault="008F6869" w:rsidP="00503117">
      <w:pP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8F6869" w:rsidRDefault="00713F72" w:rsidP="00503117">
      <w:pPr>
        <w:numPr>
          <w:ilvl w:val="0"/>
          <w:numId w:val="3"/>
        </w:numPr>
        <w:shd w:val="clear" w:color="auto" w:fill="FFFFFF"/>
        <w:spacing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Կապը ռազմավարական փաստաթղթերի հետ.</w:t>
      </w:r>
    </w:p>
    <w:p w:rsidR="008F6869" w:rsidRPr="00E151B3" w:rsidRDefault="003F1B7D" w:rsidP="00503117">
      <w:pP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Նախագծ</w:t>
      </w:r>
      <w:r w:rsidR="00713F72">
        <w:rPr>
          <w:rFonts w:ascii="GHEA Grapalat" w:eastAsia="GHEA Grapalat" w:hAnsi="GHEA Grapalat" w:cs="GHEA Grapalat"/>
          <w:color w:val="000000"/>
          <w:sz w:val="24"/>
          <w:szCs w:val="24"/>
        </w:rPr>
        <w:t>ի ընդունումը բխում է Մարդու իրավունքների պաշտպանության ազգային ռազմավարությունից բխող 2023-2025 թվականների գործողությունների ծրագրի</w:t>
      </w:r>
      <w:r w:rsidR="00CC702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C702B" w:rsidRPr="00E618AE">
        <w:rPr>
          <w:rFonts w:ascii="GHEA Grapalat" w:eastAsia="GHEA Grapalat" w:hAnsi="GHEA Grapalat" w:cs="GHEA Grapalat"/>
          <w:sz w:val="24"/>
          <w:szCs w:val="24"/>
          <w:lang w:val="hy-AM"/>
        </w:rPr>
        <w:t>3.5-րդ</w:t>
      </w:r>
      <w:r w:rsidR="00CC702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գործողությունից</w:t>
      </w:r>
      <w:r w:rsidR="00713F72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sectPr w:rsidR="008F6869" w:rsidRPr="00E151B3" w:rsidSect="001B62A3">
      <w:headerReference w:type="default" r:id="rId9"/>
      <w:footerReference w:type="default" r:id="rId10"/>
      <w:pgSz w:w="11906" w:h="16838"/>
      <w:pgMar w:top="1115" w:right="850" w:bottom="993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324" w:rsidRDefault="004A6324">
      <w:pPr>
        <w:spacing w:after="0" w:line="240" w:lineRule="auto"/>
      </w:pPr>
      <w:r>
        <w:separator/>
      </w:r>
    </w:p>
  </w:endnote>
  <w:endnote w:type="continuationSeparator" w:id="0">
    <w:p w:rsidR="004A6324" w:rsidRDefault="004A6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6A77145-DEA6-48D2-A786-E11ABCBC0F33}"/>
    <w:embedBold r:id="rId2" w:fontKey="{ED918F51-6788-4AE2-B6C3-4848195FBB59}"/>
    <w:embedItalic r:id="rId3" w:fontKey="{EBFC0929-06D5-4903-B334-3BC45D96E25C}"/>
    <w:embedBoldItalic r:id="rId4" w:fontKey="{883EE1DF-8EE2-4D47-BEAB-8D3D12C6759B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5" w:fontKey="{FA2B7984-3567-4FD8-9F9C-9689C769E6E3}"/>
    <w:embedBold r:id="rId6" w:fontKey="{CA238AD7-2FF3-48D8-B0AD-EAE8CE577D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E1FDA1D-CE12-4AE1-927D-B84237F3168F}"/>
    <w:embedBold r:id="rId8" w:fontKey="{B5AE1BA0-76CA-4ABE-9AAE-D7A4D888EFF6}"/>
    <w:embedItalic r:id="rId9" w:fontKey="{BBA1221D-15F5-4318-991D-953F7611EC4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Bold r:id="rId10" w:fontKey="{365F10E6-CF5F-491B-B8D2-C20BD09BF3C3}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  <w:embedRegular r:id="rId11" w:fontKey="{BD5A1C9D-4C12-4C3A-BC71-27EB50044FB5}"/>
    <w:embedBold r:id="rId12" w:fontKey="{A8D3B7F4-C5C4-4D42-88BA-3E706D3F952D}"/>
    <w:embedBoldItalic r:id="rId13" w:fontKey="{42247C58-915E-45B4-A16E-CF65E7F4F4EE}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14" w:fontKey="{A3BCE992-065E-4B4D-ADE9-F9584FB2110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5" w:fontKey="{C7276678-812A-4008-93DF-B27E77EC0C9F}"/>
    <w:embedBold r:id="rId16" w:fontKey="{A17F1D87-6FBB-4630-8053-C34C0FBC687C}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  <w:embedRegular r:id="rId17" w:fontKey="{1557CE22-C632-4760-ABEF-744C95632754}"/>
  </w:font>
  <w:font w:name="Helvetica Neue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8" w:fontKey="{B937F556-71CB-4BCF-8B7B-733535732B7F}"/>
    <w:embedItalic r:id="rId19" w:fontKey="{9D2A3736-26F6-40CA-8BB6-96AA0BE9C00D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0" w:fontKey="{0C31AF5D-AC5D-475B-9B41-0644DE52091C}"/>
  </w:font>
  <w:font w:name="Merriweather">
    <w:altName w:val="Times New Roman"/>
    <w:charset w:val="00"/>
    <w:family w:val="auto"/>
    <w:pitch w:val="default"/>
    <w:embedRegular r:id="rId21" w:fontKey="{CAAC6097-1B6A-4957-A874-6CA672CF6FD8}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  <w:embedRegular r:id="rId22" w:fontKey="{4A1A659E-BEF6-4844-B3D1-485B0F3D4FA7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69" w:rsidRDefault="008F6869"/>
  <w:tbl>
    <w:tblPr>
      <w:tblStyle w:val="a3"/>
      <w:tblpPr w:leftFromText="187" w:rightFromText="187" w:vertAnchor="text"/>
      <w:tblW w:w="11626" w:type="dxa"/>
      <w:tblLayout w:type="fixed"/>
      <w:tblLook w:val="0400" w:firstRow="0" w:lastRow="0" w:firstColumn="0" w:lastColumn="0" w:noHBand="0" w:noVBand="1"/>
    </w:tblPr>
    <w:tblGrid>
      <w:gridCol w:w="9759"/>
      <w:gridCol w:w="1867"/>
    </w:tblGrid>
    <w:tr w:rsidR="008F6869">
      <w:trPr>
        <w:trHeight w:val="727"/>
      </w:trPr>
      <w:tc>
        <w:tcPr>
          <w:tcW w:w="9759" w:type="dxa"/>
          <w:tcBorders>
            <w:right w:val="single" w:sz="4" w:space="0" w:color="C00000"/>
          </w:tcBorders>
        </w:tcPr>
        <w:p w:rsidR="008F6869" w:rsidRDefault="008F6869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8F6869" w:rsidRDefault="008F6869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1867" w:type="dxa"/>
          <w:tcBorders>
            <w:left w:val="single" w:sz="4" w:space="0" w:color="C00000"/>
          </w:tcBorders>
        </w:tcPr>
        <w:p w:rsidR="008F6869" w:rsidRDefault="00713F72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874A7C">
            <w:rPr>
              <w:rFonts w:ascii="Art" w:eastAsia="Art" w:hAnsi="Art" w:cs="Art"/>
              <w:noProof/>
              <w:sz w:val="16"/>
              <w:szCs w:val="16"/>
            </w:rPr>
            <w:t>5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8F6869" w:rsidRDefault="008F6869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right="360"/>
      <w:jc w:val="right"/>
      <w:rPr>
        <w:color w:val="000000"/>
        <w:sz w:val="20"/>
        <w:szCs w:val="20"/>
      </w:rPr>
    </w:pPr>
  </w:p>
  <w:p w:rsidR="008F6869" w:rsidRDefault="008F6869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color w:val="000000"/>
        <w:sz w:val="20"/>
        <w:szCs w:val="20"/>
      </w:rPr>
    </w:pPr>
  </w:p>
  <w:p w:rsidR="008F6869" w:rsidRDefault="008F6869"/>
  <w:p w:rsidR="008F6869" w:rsidRDefault="008F6869"/>
  <w:p w:rsidR="008F6869" w:rsidRDefault="008F686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324" w:rsidRDefault="004A6324">
      <w:pPr>
        <w:spacing w:after="0" w:line="240" w:lineRule="auto"/>
      </w:pPr>
      <w:r>
        <w:separator/>
      </w:r>
    </w:p>
  </w:footnote>
  <w:footnote w:type="continuationSeparator" w:id="0">
    <w:p w:rsidR="004A6324" w:rsidRDefault="004A6324">
      <w:pPr>
        <w:spacing w:after="0" w:line="240" w:lineRule="auto"/>
      </w:pPr>
      <w:r>
        <w:continuationSeparator/>
      </w:r>
    </w:p>
  </w:footnote>
  <w:footnote w:id="1">
    <w:p w:rsidR="00F862E7" w:rsidRPr="00E618AE" w:rsidRDefault="00F862E7" w:rsidP="00CC702B">
      <w:pPr>
        <w:pStyle w:val="FootnoteText"/>
        <w:jc w:val="both"/>
        <w:rPr>
          <w:rFonts w:ascii="GHEA Grapalat" w:hAnsi="GHEA Grapalat"/>
          <w:lang w:val="hy-AM"/>
        </w:rPr>
      </w:pPr>
      <w:r w:rsidRPr="00E618AE">
        <w:rPr>
          <w:rStyle w:val="FootnoteReference"/>
          <w:rFonts w:ascii="GHEA Grapalat" w:hAnsi="GHEA Grapalat"/>
        </w:rPr>
        <w:footnoteRef/>
      </w:r>
      <w:r w:rsidRPr="00E618AE">
        <w:rPr>
          <w:rFonts w:ascii="GHEA Grapalat" w:hAnsi="GHEA Grapalat"/>
        </w:rPr>
        <w:t xml:space="preserve"> </w:t>
      </w:r>
      <w:r w:rsidRPr="00E618AE">
        <w:rPr>
          <w:rFonts w:ascii="GHEA Grapalat" w:hAnsi="GHEA Grapalat"/>
          <w:lang w:val="hy-AM"/>
        </w:rPr>
        <w:t xml:space="preserve">Տե'ս </w:t>
      </w:r>
      <w:r w:rsidR="00400906" w:rsidRPr="00E618AE">
        <w:rPr>
          <w:rFonts w:ascii="GHEA Grapalat" w:eastAsia="GHEA Grapalat" w:hAnsi="GHEA Grapalat" w:cs="GHEA Grapalat"/>
          <w:lang w:val="hy-AM"/>
        </w:rPr>
        <w:t>Մարդու իրավունքների եվրոպական դատարանի</w:t>
      </w:r>
      <w:r w:rsidR="00400906" w:rsidRPr="00E618AE">
        <w:rPr>
          <w:rFonts w:ascii="GHEA Grapalat" w:hAnsi="GHEA Grapalat"/>
          <w:lang w:val="hy-AM"/>
        </w:rPr>
        <w:t xml:space="preserve"> </w:t>
      </w:r>
      <w:r w:rsidRPr="00E618AE">
        <w:rPr>
          <w:rFonts w:ascii="GHEA Grapalat" w:hAnsi="GHEA Grapalat"/>
          <w:lang w:val="hy-AM"/>
        </w:rPr>
        <w:t>«</w:t>
      </w:r>
      <w:r w:rsidRPr="00E618AE">
        <w:rPr>
          <w:rFonts w:ascii="GHEA Grapalat" w:eastAsia="GHEA Grapalat" w:hAnsi="GHEA Grapalat" w:cs="GHEA Grapalat"/>
          <w:i/>
          <w:iCs/>
          <w:lang w:val="hy-AM"/>
        </w:rPr>
        <w:t>Կրեուզն</w:t>
      </w:r>
      <w:r w:rsidRPr="00E618AE">
        <w:rPr>
          <w:rFonts w:eastAsia="GHEA Grapalat"/>
          <w:i/>
          <w:iCs/>
          <w:lang w:val="hy-AM"/>
        </w:rPr>
        <w:t> </w:t>
      </w:r>
      <w:r w:rsidRPr="00E618AE">
        <w:rPr>
          <w:rFonts w:ascii="GHEA Grapalat" w:eastAsia="GHEA Grapalat" w:hAnsi="GHEA Grapalat" w:cs="GHEA Grapalat"/>
          <w:i/>
          <w:iCs/>
          <w:lang w:val="hy-AM"/>
        </w:rPr>
        <w:t>ընդդեմ</w:t>
      </w:r>
      <w:r w:rsidRPr="00E618AE">
        <w:rPr>
          <w:rFonts w:eastAsia="GHEA Grapalat"/>
          <w:i/>
          <w:iCs/>
          <w:lang w:val="hy-AM"/>
        </w:rPr>
        <w:t> </w:t>
      </w:r>
      <w:r w:rsidRPr="00E618AE">
        <w:rPr>
          <w:rFonts w:ascii="GHEA Grapalat" w:eastAsia="GHEA Grapalat" w:hAnsi="GHEA Grapalat" w:cs="GHEA Grapalat"/>
          <w:i/>
          <w:iCs/>
          <w:lang w:val="hy-AM"/>
        </w:rPr>
        <w:t>Լեհաստանի</w:t>
      </w:r>
      <w:r w:rsidRPr="00E618AE">
        <w:rPr>
          <w:rFonts w:ascii="GHEA Grapalat" w:eastAsia="GHEA Grapalat" w:hAnsi="GHEA Grapalat" w:cs="GHEA Grapalat"/>
          <w:lang w:val="hy-AM"/>
        </w:rPr>
        <w:t>»</w:t>
      </w:r>
      <w:r w:rsidRPr="00E618AE">
        <w:rPr>
          <w:rFonts w:eastAsia="GHEA Grapalat"/>
          <w:lang w:val="hy-AM"/>
        </w:rPr>
        <w:t> </w:t>
      </w:r>
      <w:r w:rsidRPr="00E618AE">
        <w:rPr>
          <w:rFonts w:ascii="GHEA Grapalat" w:eastAsia="GHEA Grapalat" w:hAnsi="GHEA Grapalat" w:cs="GHEA Grapalat"/>
        </w:rPr>
        <w:t>(</w:t>
      </w:r>
      <w:r w:rsidRPr="00E618AE">
        <w:rPr>
          <w:rFonts w:ascii="GHEA Grapalat" w:eastAsia="GHEA Grapalat" w:hAnsi="GHEA Grapalat" w:cs="GHEA Grapalat"/>
          <w:i/>
        </w:rPr>
        <w:t>Kreuz v. Poland</w:t>
      </w:r>
      <w:r w:rsidRPr="00E618AE">
        <w:rPr>
          <w:rFonts w:ascii="GHEA Grapalat" w:eastAsia="GHEA Grapalat" w:hAnsi="GHEA Grapalat" w:cs="GHEA Grapalat"/>
        </w:rPr>
        <w:t>)</w:t>
      </w:r>
      <w:r w:rsidRPr="00E618AE">
        <w:rPr>
          <w:rFonts w:ascii="GHEA Grapalat" w:eastAsia="GHEA Grapalat" w:hAnsi="GHEA Grapalat" w:cs="GHEA Grapalat"/>
          <w:lang w:val="hy-AM"/>
        </w:rPr>
        <w:t xml:space="preserve"> գործով</w:t>
      </w:r>
      <w:r w:rsidRPr="00E618AE">
        <w:rPr>
          <w:rFonts w:eastAsia="GHEA Grapalat"/>
          <w:lang w:val="hy-AM"/>
        </w:rPr>
        <w:t> </w:t>
      </w:r>
      <w:r w:rsidRPr="00E618AE">
        <w:rPr>
          <w:rFonts w:ascii="GHEA Grapalat" w:eastAsia="GHEA Grapalat" w:hAnsi="GHEA Grapalat" w:cs="GHEA Grapalat"/>
          <w:lang w:val="hy-AM"/>
        </w:rPr>
        <w:t>վճիռը (</w:t>
      </w:r>
      <w:r w:rsidR="00E618AE">
        <w:rPr>
          <w:rFonts w:ascii="GHEA Grapalat" w:eastAsia="GHEA Grapalat" w:hAnsi="GHEA Grapalat" w:cs="GHEA Grapalat"/>
          <w:lang w:val="hy-AM"/>
        </w:rPr>
        <w:t xml:space="preserve">գանգատ թիվ </w:t>
      </w:r>
      <w:hyperlink r:id="rId1" w:anchor="{%22appno%22:[%2228249/95%22]}" w:tgtFrame="_blank" w:history="1">
        <w:r w:rsidRPr="00E618AE">
          <w:rPr>
            <w:rStyle w:val="Hyperlink"/>
            <w:rFonts w:ascii="GHEA Grapalat" w:hAnsi="GHEA Grapalat" w:cs="Arial"/>
            <w:color w:val="000000" w:themeColor="text1"/>
          </w:rPr>
          <w:t>28249/95</w:t>
        </w:r>
      </w:hyperlink>
      <w:r w:rsidRPr="00E618AE">
        <w:rPr>
          <w:rStyle w:val="sa36b60a1"/>
          <w:rFonts w:ascii="GHEA Grapalat" w:hAnsi="GHEA Grapalat" w:cs="Arial"/>
          <w:color w:val="000000" w:themeColor="text1"/>
          <w:shd w:val="clear" w:color="auto" w:fill="FFFFFF"/>
          <w:lang w:val="en-US"/>
        </w:rPr>
        <w:t>)</w:t>
      </w:r>
      <w:r w:rsidRPr="00E618AE">
        <w:rPr>
          <w:rFonts w:ascii="GHEA Grapalat" w:eastAsia="GHEA Grapalat" w:hAnsi="GHEA Grapalat" w:cs="GHEA Grapalat"/>
          <w:color w:val="000000" w:themeColor="text1"/>
          <w:lang w:val="hy-AM"/>
        </w:rPr>
        <w:t xml:space="preserve">, </w:t>
      </w:r>
      <w:r w:rsidRPr="00E618AE">
        <w:rPr>
          <w:rFonts w:ascii="GHEA Grapalat" w:eastAsia="GHEA Grapalat" w:hAnsi="GHEA Grapalat" w:cs="GHEA Grapalat"/>
        </w:rPr>
        <w:t>2001</w:t>
      </w:r>
      <w:r w:rsidRPr="00E618AE">
        <w:rPr>
          <w:rFonts w:ascii="GHEA Grapalat" w:eastAsia="GHEA Grapalat" w:hAnsi="GHEA Grapalat" w:cs="GHEA Grapalat"/>
          <w:lang w:val="hy-AM"/>
        </w:rPr>
        <w:t>թ.</w:t>
      </w:r>
      <w:r w:rsidRPr="00E618AE">
        <w:rPr>
          <w:rFonts w:ascii="GHEA Grapalat" w:eastAsia="GHEA Grapalat" w:hAnsi="GHEA Grapalat" w:cs="GHEA Grapalat"/>
        </w:rPr>
        <w:t>, § 67</w:t>
      </w:r>
      <w:r w:rsidRPr="00E618AE">
        <w:rPr>
          <w:rFonts w:ascii="GHEA Grapalat" w:eastAsia="GHEA Grapalat" w:hAnsi="GHEA Grapalat" w:cs="GHEA Grapalat"/>
          <w:lang w:val="hy-AM"/>
        </w:rPr>
        <w:t>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69" w:rsidRDefault="00713F72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844"/>
        <w:tab w:val="right" w:pos="9689"/>
        <w:tab w:val="right" w:pos="10206"/>
      </w:tabs>
      <w:spacing w:after="0" w:line="240" w:lineRule="auto"/>
      <w:ind w:left="-180"/>
      <w:rPr>
        <w:rFonts w:ascii="GHEA Grapalat" w:eastAsia="GHEA Grapalat" w:hAnsi="GHEA Grapalat" w:cs="GHEA Grapalat"/>
        <w:b/>
        <w:color w:val="FF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Ա</w:t>
    </w:r>
    <w:r>
      <w:rPr>
        <w:rFonts w:ascii="GHEA Grapalat" w:eastAsia="GHEA Grapalat" w:hAnsi="GHEA Grapalat" w:cs="GHEA Grapalat"/>
        <w:color w:val="000000"/>
        <w:sz w:val="24"/>
        <w:szCs w:val="24"/>
      </w:rPr>
      <w:t xml:space="preserve">րդարադատության </w:t>
    </w:r>
    <w:r>
      <w:rPr>
        <w:rFonts w:ascii="Merriweather" w:eastAsia="Merriweather" w:hAnsi="Merriweather" w:cs="Merriweather"/>
        <w:color w:val="000000"/>
        <w:sz w:val="20"/>
        <w:szCs w:val="20"/>
      </w:rPr>
      <w:tab/>
    </w:r>
    <w:r>
      <w:rPr>
        <w:rFonts w:ascii="Merriweather" w:eastAsia="Merriweather" w:hAnsi="Merriweather" w:cs="Merriweather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b/>
        <w:color w:val="000000"/>
        <w:sz w:val="24"/>
        <w:szCs w:val="24"/>
      </w:rPr>
      <w:t xml:space="preserve">          ՆԱԽԱԳԻԾ                                                                               </w:t>
    </w:r>
  </w:p>
  <w:p w:rsidR="008F6869" w:rsidRDefault="00713F72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-180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 xml:space="preserve">Նախարարություն </w:t>
    </w:r>
  </w:p>
  <w:p w:rsidR="008F6869" w:rsidRDefault="00713F72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</w:t>
    </w:r>
  </w:p>
  <w:p w:rsidR="008F6869" w:rsidRDefault="008F686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867F8"/>
    <w:multiLevelType w:val="multilevel"/>
    <w:tmpl w:val="D5362A06"/>
    <w:lvl w:ilvl="0">
      <w:start w:val="4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A52684C"/>
    <w:multiLevelType w:val="multilevel"/>
    <w:tmpl w:val="DC88EE9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E1A6EC2"/>
    <w:multiLevelType w:val="multilevel"/>
    <w:tmpl w:val="BED461E4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69"/>
    <w:rsid w:val="000B2E20"/>
    <w:rsid w:val="00127289"/>
    <w:rsid w:val="00165B73"/>
    <w:rsid w:val="001B62A3"/>
    <w:rsid w:val="001E0098"/>
    <w:rsid w:val="00243B4D"/>
    <w:rsid w:val="00381014"/>
    <w:rsid w:val="003B1CB0"/>
    <w:rsid w:val="003C194F"/>
    <w:rsid w:val="003F1B7D"/>
    <w:rsid w:val="00400906"/>
    <w:rsid w:val="004143C2"/>
    <w:rsid w:val="00447F13"/>
    <w:rsid w:val="004701ED"/>
    <w:rsid w:val="004774A7"/>
    <w:rsid w:val="00480E68"/>
    <w:rsid w:val="004A6324"/>
    <w:rsid w:val="00503117"/>
    <w:rsid w:val="00526FB5"/>
    <w:rsid w:val="00550B86"/>
    <w:rsid w:val="005A7F9C"/>
    <w:rsid w:val="00620179"/>
    <w:rsid w:val="0069471C"/>
    <w:rsid w:val="00713F72"/>
    <w:rsid w:val="00736DD3"/>
    <w:rsid w:val="007B5803"/>
    <w:rsid w:val="008062FC"/>
    <w:rsid w:val="00874A7C"/>
    <w:rsid w:val="008D13DD"/>
    <w:rsid w:val="008E4223"/>
    <w:rsid w:val="008F6869"/>
    <w:rsid w:val="008F7B45"/>
    <w:rsid w:val="00903931"/>
    <w:rsid w:val="009425CB"/>
    <w:rsid w:val="00976F5D"/>
    <w:rsid w:val="009E18BC"/>
    <w:rsid w:val="009F4497"/>
    <w:rsid w:val="00A42F0C"/>
    <w:rsid w:val="00A565B2"/>
    <w:rsid w:val="00B34033"/>
    <w:rsid w:val="00B90308"/>
    <w:rsid w:val="00C54813"/>
    <w:rsid w:val="00CC702B"/>
    <w:rsid w:val="00D34502"/>
    <w:rsid w:val="00D52B5A"/>
    <w:rsid w:val="00DF7082"/>
    <w:rsid w:val="00E0267D"/>
    <w:rsid w:val="00E151B3"/>
    <w:rsid w:val="00E618AE"/>
    <w:rsid w:val="00EF5C08"/>
    <w:rsid w:val="00F862E7"/>
    <w:rsid w:val="00FE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726BB"/>
  <w15:docId w15:val="{388821AA-80F2-434D-989B-0DF12018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F7E"/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1AE3"/>
    <w:pPr>
      <w:keepNext/>
      <w:widowControl w:val="0"/>
      <w:spacing w:line="312" w:lineRule="auto"/>
      <w:outlineLvl w:val="0"/>
    </w:pPr>
    <w:rPr>
      <w:rFonts w:ascii="Arial Armenian" w:hAnsi="Arial Armenian" w:cs="Arial Armenian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240A"/>
    <w:pPr>
      <w:keepNext/>
      <w:keepLines/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240A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AE3"/>
    <w:pPr>
      <w:keepNext/>
      <w:jc w:val="center"/>
      <w:outlineLvl w:val="3"/>
    </w:pPr>
    <w:rPr>
      <w:rFonts w:ascii="Arial Armenian" w:hAnsi="Arial Armenian"/>
      <w:b/>
      <w:sz w:val="23"/>
      <w:szCs w:val="20"/>
      <w:lang w:val="en-GB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1F240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4C3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4C3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4C3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4C3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771AE3"/>
    <w:rPr>
      <w:rFonts w:ascii="Arial Armenian" w:hAnsi="Arial Armenian" w:cs="Arial Armenian"/>
      <w:b/>
      <w:bCs/>
      <w:sz w:val="18"/>
      <w:szCs w:val="1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1F240A"/>
    <w:rPr>
      <w:rFonts w:ascii="Cambria" w:hAnsi="Cambria"/>
      <w:b/>
      <w:bCs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771AE3"/>
    <w:rPr>
      <w:rFonts w:ascii="Arial Armenian" w:hAnsi="Arial Armenian"/>
      <w:b/>
      <w:sz w:val="23"/>
      <w:lang w:val="en-GB"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1F240A"/>
    <w:rPr>
      <w:b/>
      <w:bCs/>
    </w:rPr>
  </w:style>
  <w:style w:type="character" w:styleId="Emphasis">
    <w:name w:val="Emphasis"/>
    <w:basedOn w:val="DefaultParagraphFont"/>
    <w:uiPriority w:val="20"/>
    <w:qFormat/>
    <w:rsid w:val="00771AE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AE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AE3"/>
    <w:rPr>
      <w:rFonts w:ascii="Times Armenian" w:hAnsi="Times Armenian" w:cs="Times Armenian"/>
      <w:b/>
      <w:bCs/>
      <w:i/>
      <w:iCs/>
      <w:color w:val="4F81BD"/>
      <w:sz w:val="24"/>
      <w:szCs w:val="24"/>
      <w:lang w:val="ru-RU" w:eastAsia="ru-RU"/>
    </w:rPr>
  </w:style>
  <w:style w:type="character" w:styleId="SubtleReference">
    <w:name w:val="Subtle Reference"/>
    <w:basedOn w:val="DefaultParagraphFont"/>
    <w:uiPriority w:val="31"/>
    <w:qFormat/>
    <w:rsid w:val="00771AE3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771AE3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71AE3"/>
    <w:rPr>
      <w:b/>
      <w:bCs/>
      <w:smallCaps/>
      <w:spacing w:val="5"/>
    </w:rPr>
  </w:style>
  <w:style w:type="paragraph" w:styleId="ListParagraph">
    <w:name w:val="List Paragraph"/>
    <w:aliases w:val="Recommendation,List Paragraph1,Akapit z listą BS,List Paragraph 1,List_Paragraph,Multilevel para_II,List Paragraph (numbered (a)),OBC Bullet,List Paragraph11,Normal numbered,List Paragraph2,List Paragraph3,Numbered List Paragraph,Liste 1"/>
    <w:basedOn w:val="Normal"/>
    <w:link w:val="ListParagraphChar"/>
    <w:uiPriority w:val="34"/>
    <w:qFormat/>
    <w:rsid w:val="00F45F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5F7E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45F7E"/>
    <w:rPr>
      <w:rFonts w:ascii="Calibri" w:eastAsia="Calibri" w:hAnsi="Calibri"/>
    </w:rPr>
  </w:style>
  <w:style w:type="paragraph" w:styleId="Footer">
    <w:name w:val="footer"/>
    <w:basedOn w:val="Normal"/>
    <w:link w:val="FooterChar"/>
    <w:uiPriority w:val="99"/>
    <w:unhideWhenUsed/>
    <w:rsid w:val="00F45F7E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45F7E"/>
    <w:rPr>
      <w:rFonts w:ascii="Calibri" w:eastAsia="Calibri" w:hAnsi="Calibri"/>
    </w:rPr>
  </w:style>
  <w:style w:type="character" w:customStyle="1" w:styleId="FontStyle12">
    <w:name w:val="Font Style12"/>
    <w:uiPriority w:val="99"/>
    <w:rsid w:val="00701062"/>
    <w:rPr>
      <w:rFonts w:ascii="Sylfaen" w:hAnsi="Sylfaen" w:cs="Sylfaen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1F240A"/>
    <w:rPr>
      <w:rFonts w:ascii="Calibri Light" w:hAnsi="Calibri Light"/>
      <w:b/>
      <w:bCs/>
      <w:sz w:val="26"/>
      <w:szCs w:val="26"/>
    </w:rPr>
  </w:style>
  <w:style w:type="character" w:styleId="PageNumber">
    <w:name w:val="page number"/>
    <w:basedOn w:val="DefaultParagraphFont"/>
    <w:rsid w:val="001F240A"/>
  </w:style>
  <w:style w:type="paragraph" w:styleId="BodyText">
    <w:name w:val="Body Text"/>
    <w:basedOn w:val="Normal"/>
    <w:link w:val="BodyTextChar"/>
    <w:rsid w:val="001F240A"/>
    <w:pPr>
      <w:spacing w:after="0" w:line="240" w:lineRule="auto"/>
      <w:jc w:val="center"/>
    </w:pPr>
    <w:rPr>
      <w:rFonts w:ascii="Times Armenian" w:eastAsia="Times New Roman" w:hAnsi="Times Armenian"/>
      <w:bCs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1F240A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1F2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">
    <w:name w:val="Абзац списка1"/>
    <w:basedOn w:val="Normal"/>
    <w:qFormat/>
    <w:rsid w:val="001F240A"/>
    <w:pPr>
      <w:spacing w:after="0" w:line="240" w:lineRule="auto"/>
      <w:ind w:left="720"/>
      <w:contextualSpacing/>
    </w:pPr>
    <w:rPr>
      <w:rFonts w:ascii="Times Armenian" w:hAnsi="Times Armeni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F240A"/>
  </w:style>
  <w:style w:type="paragraph" w:styleId="BalloonText">
    <w:name w:val="Balloon Text"/>
    <w:basedOn w:val="Normal"/>
    <w:link w:val="BalloonTextChar"/>
    <w:uiPriority w:val="99"/>
    <w:rsid w:val="001F240A"/>
    <w:pPr>
      <w:spacing w:after="0" w:line="240" w:lineRule="auto"/>
    </w:pPr>
    <w:rPr>
      <w:rFonts w:ascii="Tahoma" w:eastAsia="Times New Roman" w:hAnsi="Tahoma"/>
      <w:iCs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F240A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1F240A"/>
    <w:rPr>
      <w:b/>
      <w:bCs/>
    </w:rPr>
  </w:style>
  <w:style w:type="character" w:styleId="CommentReference">
    <w:name w:val="annotation reference"/>
    <w:uiPriority w:val="99"/>
    <w:unhideWhenUsed/>
    <w:rsid w:val="001F24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F240A"/>
    <w:pPr>
      <w:spacing w:after="0" w:line="240" w:lineRule="auto"/>
    </w:pPr>
    <w:rPr>
      <w:rFonts w:ascii="Times Armenian" w:eastAsia="Times New Roman" w:hAnsi="Times Armenian"/>
      <w:iCs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F240A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1F24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F240A"/>
    <w:rPr>
      <w:rFonts w:ascii="Times Armenian" w:hAnsi="Times Armenian"/>
      <w:b/>
      <w:bCs/>
      <w:iCs/>
    </w:rPr>
  </w:style>
  <w:style w:type="paragraph" w:customStyle="1" w:styleId="Style8">
    <w:name w:val="Style8"/>
    <w:basedOn w:val="Normal"/>
    <w:uiPriority w:val="99"/>
    <w:rsid w:val="001F240A"/>
    <w:pPr>
      <w:widowControl w:val="0"/>
      <w:autoSpaceDE w:val="0"/>
      <w:autoSpaceDN w:val="0"/>
      <w:adjustRightInd w:val="0"/>
      <w:spacing w:after="0" w:line="320" w:lineRule="exact"/>
      <w:ind w:firstLine="698"/>
      <w:jc w:val="both"/>
    </w:pPr>
    <w:rPr>
      <w:rFonts w:ascii="Sylfaen" w:eastAsia="Times New Roman" w:hAnsi="Sylfaen"/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F24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Sylfaen" w:eastAsia="Times New Roman" w:hAnsi="Sylfaen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F240A"/>
    <w:rPr>
      <w:rFonts w:ascii="Sylfaen" w:hAnsi="Sylfaen"/>
    </w:rPr>
  </w:style>
  <w:style w:type="paragraph" w:customStyle="1" w:styleId="anch">
    <w:name w:val="anch"/>
    <w:basedOn w:val="Normal"/>
    <w:rsid w:val="001F2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0">
    <w:name w:val="1"/>
    <w:basedOn w:val="Normal"/>
    <w:rsid w:val="001F2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1F240A"/>
  </w:style>
  <w:style w:type="paragraph" w:customStyle="1" w:styleId="Storagrutun1">
    <w:name w:val="Storagrutun 1"/>
    <w:basedOn w:val="Normal"/>
    <w:rsid w:val="001F240A"/>
    <w:pPr>
      <w:tabs>
        <w:tab w:val="left" w:pos="992"/>
        <w:tab w:val="left" w:pos="7655"/>
      </w:tabs>
      <w:spacing w:after="0" w:line="240" w:lineRule="auto"/>
    </w:pPr>
    <w:rPr>
      <w:rFonts w:ascii="ArTarumianTimes" w:eastAsia="Times New Roman" w:hAnsi="ArTarumianTimes"/>
      <w:bCs/>
      <w:sz w:val="24"/>
      <w:szCs w:val="24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1F240A"/>
    <w:rPr>
      <w:color w:val="0000FF"/>
      <w:u w:val="single"/>
    </w:rPr>
  </w:style>
  <w:style w:type="paragraph" w:customStyle="1" w:styleId="Normal1">
    <w:name w:val="Normal1"/>
    <w:rsid w:val="001F240A"/>
    <w:rPr>
      <w:color w:val="000000"/>
      <w:lang w:val="ru-RU" w:eastAsia="ru-RU"/>
    </w:rPr>
  </w:style>
  <w:style w:type="paragraph" w:styleId="FootnoteText">
    <w:name w:val="footnote text"/>
    <w:aliases w:val="Note de bas de page2,Footnotes,fn,footnote text,5_G,Footnote Text Char Char Char Char,Footnote Text Char Char Char,Footnote,Footnote Text Char2,Footnote Text Char1 Char,Footnote Text Char1 Char Char Char Char Char,Footnote Text Char Char1"/>
    <w:basedOn w:val="Normal"/>
    <w:link w:val="FootnoteTextChar"/>
    <w:uiPriority w:val="99"/>
    <w:unhideWhenUsed/>
    <w:qFormat/>
    <w:rsid w:val="001F240A"/>
    <w:pPr>
      <w:spacing w:after="0" w:line="240" w:lineRule="auto"/>
    </w:pPr>
    <w:rPr>
      <w:color w:val="000000"/>
      <w:sz w:val="20"/>
      <w:szCs w:val="20"/>
      <w:lang w:eastAsia="ru-RU"/>
    </w:rPr>
  </w:style>
  <w:style w:type="character" w:customStyle="1" w:styleId="FootnoteTextChar">
    <w:name w:val="Footnote Text Char"/>
    <w:aliases w:val="Note de bas de page2 Char,Footnotes Char,fn Char,footnote text Char,5_G Char,Footnote Text Char Char Char Char Char,Footnote Text Char Char Char Char1,Footnote Char,Footnote Text Char2 Char,Footnote Text Char1 Char Char"/>
    <w:basedOn w:val="DefaultParagraphFont"/>
    <w:link w:val="FootnoteText"/>
    <w:uiPriority w:val="99"/>
    <w:rsid w:val="001F240A"/>
    <w:rPr>
      <w:rFonts w:ascii="Calibri" w:eastAsia="Calibri" w:hAnsi="Calibri" w:cs="Calibri"/>
      <w:color w:val="000000"/>
      <w:lang w:val="ru-RU" w:eastAsia="ru-RU"/>
    </w:rPr>
  </w:style>
  <w:style w:type="character" w:styleId="FootnoteReference">
    <w:name w:val="footnote reference"/>
    <w:aliases w:val="Char Char,Footnote symbol,note TESI,Footnote reference number,ftref,BVI fnr,Footnote Reference Number,Footnote Reference_LVL6,Footnote Reference_LVL61,Footnote Reference_LVL62,Footnote Reference_LVL63,Footnote Reference_LVL64,16 Poin"/>
    <w:basedOn w:val="DefaultParagraphFont"/>
    <w:uiPriority w:val="99"/>
    <w:unhideWhenUsed/>
    <w:qFormat/>
    <w:rsid w:val="001F240A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F1A7D"/>
    <w:rPr>
      <w:sz w:val="24"/>
      <w:szCs w:val="24"/>
    </w:rPr>
  </w:style>
  <w:style w:type="character" w:customStyle="1" w:styleId="a">
    <w:name w:val="Основной текст_"/>
    <w:basedOn w:val="DefaultParagraphFont"/>
    <w:link w:val="a0"/>
    <w:rsid w:val="00155512"/>
    <w:rPr>
      <w:rFonts w:ascii="Tahoma" w:eastAsia="Tahoma" w:hAnsi="Tahoma" w:cs="Tahoma"/>
      <w:spacing w:val="-10"/>
      <w:sz w:val="23"/>
      <w:szCs w:val="23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155512"/>
    <w:pPr>
      <w:widowControl w:val="0"/>
      <w:shd w:val="clear" w:color="auto" w:fill="FFFFFF"/>
      <w:spacing w:after="0" w:line="313" w:lineRule="exact"/>
      <w:ind w:hanging="560"/>
    </w:pPr>
    <w:rPr>
      <w:rFonts w:ascii="Tahoma" w:eastAsia="Tahoma" w:hAnsi="Tahoma" w:cs="Tahoma"/>
      <w:spacing w:val="-10"/>
      <w:sz w:val="23"/>
      <w:szCs w:val="23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4C36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4C36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4C3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4C3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a1">
    <w:name w:val="Абзац списка"/>
    <w:basedOn w:val="Normal"/>
    <w:qFormat/>
    <w:rsid w:val="00124C36"/>
    <w:pPr>
      <w:spacing w:after="0" w:line="240" w:lineRule="auto"/>
      <w:ind w:left="720"/>
      <w:contextualSpacing/>
    </w:pPr>
    <w:rPr>
      <w:rFonts w:ascii="Times Armenian" w:hAnsi="Times Armenian"/>
      <w:sz w:val="24"/>
      <w:szCs w:val="24"/>
      <w:lang w:val="en-US"/>
    </w:rPr>
  </w:style>
  <w:style w:type="paragraph" w:customStyle="1" w:styleId="Style22">
    <w:name w:val="Style22"/>
    <w:basedOn w:val="Normal"/>
    <w:uiPriority w:val="99"/>
    <w:semiHidden/>
    <w:rsid w:val="00124C36"/>
    <w:pPr>
      <w:widowControl w:val="0"/>
      <w:autoSpaceDE w:val="0"/>
      <w:autoSpaceDN w:val="0"/>
      <w:adjustRightInd w:val="0"/>
      <w:spacing w:after="0" w:line="379" w:lineRule="exact"/>
      <w:ind w:hanging="466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customStyle="1" w:styleId="Style15">
    <w:name w:val="Style15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4">
    <w:name w:val="Font Style24"/>
    <w:basedOn w:val="DefaultParagraphFont"/>
    <w:uiPriority w:val="99"/>
    <w:rsid w:val="00124C36"/>
    <w:rPr>
      <w:rFonts w:ascii="Tahoma" w:hAnsi="Tahoma" w:cs="Tahoma"/>
      <w:sz w:val="22"/>
      <w:szCs w:val="22"/>
    </w:rPr>
  </w:style>
  <w:style w:type="paragraph" w:customStyle="1" w:styleId="Style9">
    <w:name w:val="Style9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382" w:lineRule="exact"/>
      <w:ind w:firstLine="713"/>
      <w:jc w:val="both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0">
    <w:name w:val="Style10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6">
    <w:name w:val="Style16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7">
    <w:name w:val="Font Style27"/>
    <w:basedOn w:val="DefaultParagraphFont"/>
    <w:uiPriority w:val="99"/>
    <w:rsid w:val="00124C36"/>
    <w:rPr>
      <w:rFonts w:ascii="Tahoma" w:hAnsi="Tahoma" w:cs="Tahoma"/>
      <w:b/>
      <w:bCs/>
      <w:sz w:val="22"/>
      <w:szCs w:val="22"/>
    </w:rPr>
  </w:style>
  <w:style w:type="paragraph" w:customStyle="1" w:styleId="Style11">
    <w:name w:val="Style11"/>
    <w:basedOn w:val="Normal"/>
    <w:uiPriority w:val="99"/>
    <w:rsid w:val="00124C36"/>
    <w:pPr>
      <w:widowControl w:val="0"/>
      <w:autoSpaceDE w:val="0"/>
      <w:autoSpaceDN w:val="0"/>
      <w:adjustRightInd w:val="0"/>
      <w:spacing w:after="0" w:line="326" w:lineRule="exact"/>
      <w:ind w:firstLine="850"/>
      <w:jc w:val="both"/>
    </w:pPr>
    <w:rPr>
      <w:rFonts w:ascii="Sylfaen" w:eastAsia="Times New Roman" w:hAnsi="Sylfaen"/>
      <w:sz w:val="24"/>
      <w:szCs w:val="24"/>
      <w:lang w:val="en-US"/>
    </w:rPr>
  </w:style>
  <w:style w:type="paragraph" w:customStyle="1" w:styleId="mechtex">
    <w:name w:val="mechtex"/>
    <w:basedOn w:val="Normal"/>
    <w:link w:val="mechtexChar"/>
    <w:rsid w:val="00124C36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124C36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124C36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124C36"/>
    <w:rPr>
      <w:rFonts w:ascii="Arial Armenian" w:hAnsi="Arial Armenian"/>
      <w:sz w:val="22"/>
      <w:lang w:eastAsia="ru-RU"/>
    </w:rPr>
  </w:style>
  <w:style w:type="character" w:customStyle="1" w:styleId="a2">
    <w:name w:val="Колонтитул"/>
    <w:basedOn w:val="DefaultParagraphFont"/>
    <w:rsid w:val="00124C36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y-AM" w:eastAsia="hy-AM" w:bidi="hy-AM"/>
    </w:rPr>
  </w:style>
  <w:style w:type="table" w:styleId="TableGrid">
    <w:name w:val="Table Grid"/>
    <w:basedOn w:val="TableNormal"/>
    <w:uiPriority w:val="39"/>
    <w:rsid w:val="00124C36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uiPriority w:val="99"/>
    <w:rsid w:val="00124C36"/>
  </w:style>
  <w:style w:type="paragraph" w:customStyle="1" w:styleId="Default">
    <w:name w:val="Default"/>
    <w:rsid w:val="00124C3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paragraph" w:customStyle="1" w:styleId="Char3CharCharChar">
    <w:name w:val="Char3 Char Char Char"/>
    <w:basedOn w:val="Normal"/>
    <w:next w:val="Normal"/>
    <w:semiHidden/>
    <w:rsid w:val="00124C36"/>
    <w:pPr>
      <w:spacing w:after="160" w:line="240" w:lineRule="exact"/>
      <w:jc w:val="both"/>
    </w:pPr>
    <w:rPr>
      <w:rFonts w:ascii="Arial" w:eastAsia="Times New Roman" w:hAnsi="Arial" w:cs="Arial"/>
      <w:b/>
      <w:sz w:val="20"/>
      <w:szCs w:val="20"/>
      <w:lang w:val="en-GB"/>
    </w:rPr>
  </w:style>
  <w:style w:type="paragraph" w:customStyle="1" w:styleId="Body">
    <w:name w:val="Body"/>
    <w:rsid w:val="00F03A21"/>
    <w:rPr>
      <w:rFonts w:ascii="Helvetica Neue" w:eastAsia="Arial Unicode MS" w:hAnsi="Helvetica Neue" w:cs="Arial Unicode MS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540B94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F538E"/>
    <w:rPr>
      <w:color w:val="605E5C"/>
      <w:shd w:val="clear" w:color="auto" w:fill="E1DFDD"/>
    </w:rPr>
  </w:style>
  <w:style w:type="paragraph" w:customStyle="1" w:styleId="s32563e28">
    <w:name w:val="s32563e28"/>
    <w:basedOn w:val="Normal"/>
    <w:rsid w:val="00E062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y-AM" w:eastAsia="hy-AM" w:bidi="hy-AM"/>
    </w:rPr>
  </w:style>
  <w:style w:type="character" w:customStyle="1" w:styleId="sbb9ee52a">
    <w:name w:val="sbb9ee52a"/>
    <w:basedOn w:val="DefaultParagraphFont"/>
    <w:rsid w:val="00E06208"/>
  </w:style>
  <w:style w:type="character" w:customStyle="1" w:styleId="ListParagraphChar">
    <w:name w:val="List Paragraph Char"/>
    <w:aliases w:val="Recommendation Char,List Paragraph1 Char,Akapit z listą BS Char,List Paragraph 1 Char,List_Paragraph Char,Multilevel para_II Char,List Paragraph (numbered (a)) Char,OBC Bullet Char,List Paragraph11 Char,Normal numbered Char"/>
    <w:basedOn w:val="DefaultParagraphFont"/>
    <w:link w:val="ListParagraph"/>
    <w:uiPriority w:val="34"/>
    <w:qFormat/>
    <w:locked/>
    <w:rsid w:val="004A1B7F"/>
    <w:rPr>
      <w:rFonts w:ascii="Calibri" w:eastAsia="Calibri" w:hAnsi="Calibri"/>
      <w:sz w:val="22"/>
      <w:szCs w:val="22"/>
      <w:lang w:val="ru-RU"/>
    </w:rPr>
  </w:style>
  <w:style w:type="character" w:customStyle="1" w:styleId="s29100277">
    <w:name w:val="s29100277"/>
    <w:basedOn w:val="DefaultParagraphFont"/>
    <w:rsid w:val="000178C5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651A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sa36b60a1">
    <w:name w:val="sa36b60a1"/>
    <w:basedOn w:val="DefaultParagraphFont"/>
    <w:rsid w:val="00F86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udoc.echr.coe.int/e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N7/+f6o0unxixHoLAjeVhXxd3g==">CgMxLjA4AHIhMUNRSHI0ZzFrMVQ1aEpSOER0NnpMQnpyNFdHb1c5d0Vp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9EB057A-3F78-47F9-A8EA-2581DA9FF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Galstyan</dc:creator>
  <cp:keywords>https:/mul2-moj.gov.am/tasks/948027/oneclick?token=3c172b111ae498af2bd22921dda47eb2</cp:keywords>
  <cp:lastModifiedBy>Ministry of Justice</cp:lastModifiedBy>
  <cp:revision>2</cp:revision>
  <dcterms:created xsi:type="dcterms:W3CDTF">2025-05-15T07:25:00Z</dcterms:created>
  <dcterms:modified xsi:type="dcterms:W3CDTF">2025-05-15T07:25:00Z</dcterms:modified>
</cp:coreProperties>
</file>