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3708A" w14:textId="77777777" w:rsidR="00957DEF" w:rsidRPr="002B01FF" w:rsidRDefault="00957DEF" w:rsidP="00C16A0F">
      <w:pPr>
        <w:spacing w:after="0" w:line="276" w:lineRule="auto"/>
        <w:jc w:val="center"/>
        <w:rPr>
          <w:rFonts w:ascii="GHEA Grapalat" w:eastAsia="GHEA Grapalat" w:hAnsi="GHEA Grapalat" w:cs="GHEA Grapalat"/>
          <w:b/>
          <w:bCs/>
          <w:caps/>
          <w:color w:val="000000"/>
          <w:sz w:val="24"/>
          <w:szCs w:val="24"/>
          <w:lang w:val="hy-AM"/>
        </w:rPr>
      </w:pPr>
      <w:bookmarkStart w:id="0" w:name="_GoBack"/>
      <w:bookmarkEnd w:id="0"/>
      <w:r w:rsidRPr="002B01FF">
        <w:rPr>
          <w:rFonts w:ascii="GHEA Grapalat" w:eastAsia="GHEA Grapalat" w:hAnsi="GHEA Grapalat" w:cs="GHEA Grapalat"/>
          <w:b/>
          <w:bCs/>
          <w:caps/>
          <w:color w:val="000000"/>
          <w:sz w:val="24"/>
          <w:szCs w:val="24"/>
          <w:lang w:val="hy-AM"/>
        </w:rPr>
        <w:t>ԱՄՓՈՓԱԹԵՐԹ</w:t>
      </w:r>
    </w:p>
    <w:p w14:paraId="03742995" w14:textId="767041E5" w:rsidR="00D948A4" w:rsidRPr="002B01FF" w:rsidRDefault="00957DEF" w:rsidP="00C16A0F">
      <w:pPr>
        <w:spacing w:after="0" w:line="276" w:lineRule="auto"/>
        <w:jc w:val="center"/>
        <w:rPr>
          <w:sz w:val="24"/>
          <w:szCs w:val="24"/>
          <w:lang w:val="hy-AM"/>
        </w:rPr>
      </w:pPr>
      <w:r w:rsidRPr="002B01FF">
        <w:rPr>
          <w:rFonts w:ascii="GHEA Grapalat" w:eastAsia="GHEA Grapalat" w:hAnsi="GHEA Grapalat" w:cs="GHEA Grapalat"/>
          <w:b/>
          <w:bCs/>
          <w:caps/>
          <w:color w:val="000000"/>
          <w:sz w:val="24"/>
          <w:szCs w:val="24"/>
          <w:lang w:val="hy-AM"/>
        </w:rPr>
        <w:t>«ՀԱՅԱՍՏԱՆԻ ՀԱՆՐԱՊԵՏՈՒԹՅԱՆ ՔՐԵԱԿԱՆ ԴԱՏԱՎԱՐՈՒԹՅԱՆ ՕՐԵՆՍԳՐՔՈՒՄ ՓՈՓՈԽՈՒԹՅՈՒՆՆԵՐ ԵՎ ԼՐԱՑՈՒՄՆԵՐ ԿԱՏԱՐԵԼՈՒ ՄԱՍԻՆ» ՀԱՅԱՍՏԱՆԻ ՀԱՆՐԱՊԵՏՈՒԹՅԱՆ ՕՐԵՆՔԻ ՆԱԽԱԳԾԻ</w:t>
      </w:r>
    </w:p>
    <w:p w14:paraId="1A6BDB99" w14:textId="77777777" w:rsidR="00D948A4" w:rsidRPr="002B01FF" w:rsidRDefault="00D948A4" w:rsidP="00C16A0F">
      <w:pPr>
        <w:spacing w:after="0" w:line="276" w:lineRule="auto"/>
        <w:rPr>
          <w:sz w:val="24"/>
          <w:szCs w:val="24"/>
          <w:lang w:val="hy-AM"/>
        </w:rPr>
      </w:pPr>
    </w:p>
    <w:p w14:paraId="36D44557" w14:textId="77777777" w:rsidR="00D948A4" w:rsidRPr="002B01FF" w:rsidRDefault="00D948A4" w:rsidP="00C16A0F">
      <w:pPr>
        <w:spacing w:after="0" w:line="276" w:lineRule="auto"/>
        <w:rPr>
          <w:sz w:val="24"/>
          <w:szCs w:val="24"/>
          <w:lang w:val="hy-AM"/>
        </w:rPr>
      </w:pPr>
    </w:p>
    <w:tbl>
      <w:tblPr>
        <w:tblW w:w="0" w:type="auto"/>
        <w:tblInd w:w="10" w:type="dxa"/>
        <w:tblCellMar>
          <w:left w:w="10" w:type="dxa"/>
          <w:right w:w="10" w:type="dxa"/>
        </w:tblCellMar>
        <w:tblLook w:val="04A0" w:firstRow="1" w:lastRow="0" w:firstColumn="1" w:lastColumn="0" w:noHBand="0" w:noVBand="1"/>
      </w:tblPr>
      <w:tblGrid>
        <w:gridCol w:w="461"/>
        <w:gridCol w:w="2180"/>
        <w:gridCol w:w="4867"/>
        <w:gridCol w:w="3622"/>
        <w:gridCol w:w="2815"/>
      </w:tblGrid>
      <w:tr w:rsidR="00D948A4" w:rsidRPr="002B01FF" w14:paraId="081095CD" w14:textId="77777777" w:rsidTr="002B01FF">
        <w:tc>
          <w:tcPr>
            <w:tcW w:w="461" w:type="dxa"/>
            <w:tcBorders>
              <w:top w:val="single" w:sz="1" w:space="0" w:color="000000"/>
              <w:left w:val="single" w:sz="1" w:space="0" w:color="000000"/>
              <w:bottom w:val="single" w:sz="1" w:space="0" w:color="000000"/>
              <w:right w:val="single" w:sz="1" w:space="0" w:color="000000"/>
            </w:tcBorders>
          </w:tcPr>
          <w:p w14:paraId="0874DC65"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հ/</w:t>
            </w:r>
          </w:p>
          <w:p w14:paraId="0637D49A"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հ</w:t>
            </w:r>
          </w:p>
        </w:tc>
        <w:tc>
          <w:tcPr>
            <w:tcW w:w="2180" w:type="dxa"/>
            <w:tcBorders>
              <w:top w:val="single" w:sz="1" w:space="0" w:color="000000"/>
              <w:left w:val="single" w:sz="1" w:space="0" w:color="000000"/>
              <w:bottom w:val="single" w:sz="1" w:space="0" w:color="000000"/>
              <w:right w:val="single" w:sz="1" w:space="0" w:color="000000"/>
            </w:tcBorders>
          </w:tcPr>
          <w:p w14:paraId="26E3DD7B"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4867" w:type="dxa"/>
            <w:tcBorders>
              <w:top w:val="single" w:sz="1" w:space="0" w:color="000000"/>
              <w:left w:val="single" w:sz="1" w:space="0" w:color="000000"/>
              <w:bottom w:val="single" w:sz="1" w:space="0" w:color="000000"/>
              <w:right w:val="single" w:sz="1" w:space="0" w:color="000000"/>
            </w:tcBorders>
          </w:tcPr>
          <w:p w14:paraId="0EB480BE"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Առարկության, առաջարկության բովանդակությունը</w:t>
            </w:r>
          </w:p>
        </w:tc>
        <w:tc>
          <w:tcPr>
            <w:tcW w:w="3622" w:type="dxa"/>
            <w:tcBorders>
              <w:top w:val="single" w:sz="1" w:space="0" w:color="000000"/>
              <w:left w:val="single" w:sz="1" w:space="0" w:color="000000"/>
              <w:bottom w:val="single" w:sz="1" w:space="0" w:color="000000"/>
              <w:right w:val="single" w:sz="1" w:space="0" w:color="000000"/>
            </w:tcBorders>
          </w:tcPr>
          <w:p w14:paraId="3DBBB052"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Եզրակացություն</w:t>
            </w:r>
          </w:p>
        </w:tc>
        <w:tc>
          <w:tcPr>
            <w:tcW w:w="2815" w:type="dxa"/>
            <w:tcBorders>
              <w:top w:val="single" w:sz="1" w:space="0" w:color="000000"/>
              <w:left w:val="single" w:sz="1" w:space="0" w:color="000000"/>
              <w:bottom w:val="single" w:sz="1" w:space="0" w:color="000000"/>
              <w:right w:val="single" w:sz="1" w:space="0" w:color="000000"/>
            </w:tcBorders>
          </w:tcPr>
          <w:p w14:paraId="64681593"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Կատարված փոփոխությունը</w:t>
            </w:r>
          </w:p>
        </w:tc>
      </w:tr>
      <w:tr w:rsidR="00D948A4" w:rsidRPr="002B01FF" w14:paraId="7438C005" w14:textId="77777777" w:rsidTr="002B01FF">
        <w:tc>
          <w:tcPr>
            <w:tcW w:w="461" w:type="dxa"/>
            <w:tcBorders>
              <w:top w:val="single" w:sz="1" w:space="0" w:color="000000"/>
              <w:left w:val="single" w:sz="1" w:space="0" w:color="000000"/>
              <w:bottom w:val="single" w:sz="1" w:space="0" w:color="000000"/>
              <w:right w:val="single" w:sz="1" w:space="0" w:color="000000"/>
            </w:tcBorders>
            <w:vAlign w:val="center"/>
          </w:tcPr>
          <w:p w14:paraId="7F4F9470" w14:textId="77777777" w:rsidR="00D948A4" w:rsidRPr="002B01FF" w:rsidRDefault="00D948A4" w:rsidP="00C16A0F">
            <w:pPr>
              <w:spacing w:after="0" w:line="276" w:lineRule="auto"/>
              <w:jc w:val="center"/>
              <w:rPr>
                <w:sz w:val="24"/>
                <w:szCs w:val="24"/>
                <w:lang w:val="hy-AM"/>
              </w:rPr>
            </w:pPr>
          </w:p>
        </w:tc>
        <w:tc>
          <w:tcPr>
            <w:tcW w:w="2180" w:type="dxa"/>
            <w:tcBorders>
              <w:top w:val="single" w:sz="1" w:space="0" w:color="000000"/>
              <w:left w:val="single" w:sz="1" w:space="0" w:color="000000"/>
              <w:bottom w:val="single" w:sz="1" w:space="0" w:color="000000"/>
              <w:right w:val="single" w:sz="1" w:space="0" w:color="000000"/>
            </w:tcBorders>
            <w:vAlign w:val="center"/>
          </w:tcPr>
          <w:p w14:paraId="2AFE8B05"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1</w:t>
            </w:r>
          </w:p>
        </w:tc>
        <w:tc>
          <w:tcPr>
            <w:tcW w:w="4867" w:type="dxa"/>
            <w:tcBorders>
              <w:top w:val="single" w:sz="1" w:space="0" w:color="000000"/>
              <w:left w:val="single" w:sz="1" w:space="0" w:color="000000"/>
              <w:bottom w:val="single" w:sz="1" w:space="0" w:color="000000"/>
              <w:right w:val="single" w:sz="1" w:space="0" w:color="000000"/>
            </w:tcBorders>
            <w:vAlign w:val="center"/>
          </w:tcPr>
          <w:p w14:paraId="0227FBE3"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2</w:t>
            </w:r>
          </w:p>
        </w:tc>
        <w:tc>
          <w:tcPr>
            <w:tcW w:w="3622" w:type="dxa"/>
            <w:tcBorders>
              <w:top w:val="single" w:sz="1" w:space="0" w:color="000000"/>
              <w:left w:val="single" w:sz="1" w:space="0" w:color="000000"/>
              <w:bottom w:val="single" w:sz="1" w:space="0" w:color="000000"/>
              <w:right w:val="single" w:sz="1" w:space="0" w:color="000000"/>
            </w:tcBorders>
            <w:vAlign w:val="center"/>
          </w:tcPr>
          <w:p w14:paraId="52F6E85D"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3</w:t>
            </w:r>
          </w:p>
        </w:tc>
        <w:tc>
          <w:tcPr>
            <w:tcW w:w="2815" w:type="dxa"/>
            <w:tcBorders>
              <w:top w:val="single" w:sz="1" w:space="0" w:color="000000"/>
              <w:left w:val="single" w:sz="1" w:space="0" w:color="000000"/>
              <w:bottom w:val="single" w:sz="1" w:space="0" w:color="000000"/>
              <w:right w:val="single" w:sz="1" w:space="0" w:color="000000"/>
            </w:tcBorders>
            <w:vAlign w:val="center"/>
          </w:tcPr>
          <w:p w14:paraId="653D1AC4"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4</w:t>
            </w:r>
          </w:p>
        </w:tc>
      </w:tr>
      <w:tr w:rsidR="00D948A4" w:rsidRPr="002A5307" w14:paraId="4016AC7B" w14:textId="77777777" w:rsidTr="002B01FF">
        <w:tc>
          <w:tcPr>
            <w:tcW w:w="461" w:type="dxa"/>
            <w:tcBorders>
              <w:top w:val="single" w:sz="1" w:space="0" w:color="000000"/>
              <w:left w:val="single" w:sz="1" w:space="0" w:color="000000"/>
              <w:bottom w:val="single" w:sz="1" w:space="0" w:color="000000"/>
              <w:right w:val="single" w:sz="1" w:space="0" w:color="000000"/>
            </w:tcBorders>
          </w:tcPr>
          <w:p w14:paraId="402B7275"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1</w:t>
            </w:r>
          </w:p>
        </w:tc>
        <w:tc>
          <w:tcPr>
            <w:tcW w:w="2180" w:type="dxa"/>
            <w:tcBorders>
              <w:top w:val="single" w:sz="1" w:space="0" w:color="000000"/>
              <w:left w:val="single" w:sz="1" w:space="0" w:color="000000"/>
              <w:bottom w:val="single" w:sz="1" w:space="0" w:color="000000"/>
              <w:right w:val="single" w:sz="1" w:space="0" w:color="000000"/>
            </w:tcBorders>
          </w:tcPr>
          <w:p w14:paraId="59579AB0" w14:textId="77777777" w:rsidR="00957DEF" w:rsidRPr="002B01FF" w:rsidRDefault="00957DEF" w:rsidP="00C16A0F">
            <w:pPr>
              <w:spacing w:after="0" w:line="276" w:lineRule="auto"/>
              <w:jc w:val="center"/>
              <w:rPr>
                <w:rFonts w:ascii="GHEA Grapalat" w:eastAsia="GHEA Grapalat" w:hAnsi="GHEA Grapalat" w:cs="GHEA Grapalat"/>
                <w:color w:val="000000"/>
                <w:sz w:val="24"/>
                <w:szCs w:val="24"/>
              </w:rPr>
            </w:pPr>
            <w:proofErr w:type="spellStart"/>
            <w:r w:rsidRPr="002B01FF">
              <w:rPr>
                <w:rFonts w:ascii="GHEA Grapalat" w:eastAsia="GHEA Grapalat" w:hAnsi="GHEA Grapalat" w:cs="GHEA Grapalat"/>
                <w:color w:val="000000"/>
                <w:sz w:val="24"/>
                <w:szCs w:val="24"/>
              </w:rPr>
              <w:t>Սամվել</w:t>
            </w:r>
            <w:proofErr w:type="spellEnd"/>
            <w:r w:rsidRPr="002B01FF">
              <w:rPr>
                <w:rFonts w:ascii="GHEA Grapalat" w:eastAsia="GHEA Grapalat" w:hAnsi="GHEA Grapalat" w:cs="GHEA Grapalat"/>
                <w:color w:val="000000"/>
                <w:sz w:val="24"/>
                <w:szCs w:val="24"/>
              </w:rPr>
              <w:t xml:space="preserve"> </w:t>
            </w:r>
            <w:proofErr w:type="spellStart"/>
            <w:r w:rsidRPr="002B01FF">
              <w:rPr>
                <w:rFonts w:ascii="GHEA Grapalat" w:eastAsia="GHEA Grapalat" w:hAnsi="GHEA Grapalat" w:cs="GHEA Grapalat"/>
                <w:color w:val="000000"/>
                <w:sz w:val="24"/>
                <w:szCs w:val="24"/>
              </w:rPr>
              <w:t>Հակոբյան</w:t>
            </w:r>
            <w:proofErr w:type="spellEnd"/>
          </w:p>
          <w:p w14:paraId="7A77A354" w14:textId="71475A14" w:rsidR="00D948A4" w:rsidRPr="002B01FF" w:rsidRDefault="00957DEF"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rPr>
              <w:t>16.02.2025 02:28:20</w:t>
            </w:r>
          </w:p>
        </w:tc>
        <w:tc>
          <w:tcPr>
            <w:tcW w:w="4867" w:type="dxa"/>
            <w:tcBorders>
              <w:top w:val="single" w:sz="1" w:space="0" w:color="000000"/>
              <w:left w:val="single" w:sz="1" w:space="0" w:color="000000"/>
              <w:bottom w:val="single" w:sz="1" w:space="0" w:color="000000"/>
              <w:right w:val="single" w:sz="1" w:space="0" w:color="000000"/>
            </w:tcBorders>
          </w:tcPr>
          <w:p w14:paraId="426D27E2" w14:textId="7098DBFF" w:rsidR="002B01FF" w:rsidRPr="002B01FF" w:rsidRDefault="00957DEF" w:rsidP="00C16A0F">
            <w:pPr>
              <w:spacing w:after="0" w:line="276" w:lineRule="auto"/>
              <w:jc w:val="center"/>
              <w:rPr>
                <w:rFonts w:ascii="GHEA Grapalat" w:eastAsia="GHEA Grapalat" w:hAnsi="GHEA Grapalat" w:cs="GHEA Grapalat"/>
                <w:color w:val="000000"/>
                <w:sz w:val="24"/>
                <w:szCs w:val="24"/>
                <w:lang w:val="hy-AM"/>
              </w:rPr>
            </w:pPr>
            <w:r w:rsidRPr="002B01FF">
              <w:rPr>
                <w:rFonts w:ascii="GHEA Grapalat" w:eastAsia="GHEA Grapalat" w:hAnsi="GHEA Grapalat" w:cs="GHEA Grapalat"/>
                <w:color w:val="000000"/>
                <w:sz w:val="24"/>
                <w:szCs w:val="24"/>
                <w:lang w:val="hy-AM"/>
              </w:rPr>
              <w:t>Առաջարկվող փոփոխությունն ուղիղ հակադրության մեջ է գտնվում ինչպես ՄԻԵԴ իրավաբանության, Վճռաբեկ դատարանի նախադեպային իրավունքի, այնպես էլ իրավական դոկտրինի հետ։</w:t>
            </w:r>
          </w:p>
          <w:p w14:paraId="71956646" w14:textId="333CB9A1" w:rsidR="002B01FF" w:rsidRPr="002B01FF" w:rsidRDefault="00957DEF" w:rsidP="00C16A0F">
            <w:pPr>
              <w:spacing w:after="0" w:line="276" w:lineRule="auto"/>
              <w:jc w:val="center"/>
              <w:rPr>
                <w:rFonts w:ascii="GHEA Grapalat" w:eastAsia="GHEA Grapalat" w:hAnsi="GHEA Grapalat" w:cs="GHEA Grapalat"/>
                <w:color w:val="000000"/>
                <w:sz w:val="24"/>
                <w:szCs w:val="24"/>
                <w:lang w:val="hy-AM"/>
              </w:rPr>
            </w:pPr>
            <w:r w:rsidRPr="002B01FF">
              <w:rPr>
                <w:rFonts w:ascii="GHEA Grapalat" w:eastAsia="GHEA Grapalat" w:hAnsi="GHEA Grapalat" w:cs="GHEA Grapalat"/>
                <w:color w:val="000000"/>
                <w:sz w:val="24"/>
                <w:szCs w:val="24"/>
                <w:lang w:val="hy-AM"/>
              </w:rPr>
              <w:t xml:space="preserve">Մասնավորապես, վերաքննության կարգով բողոքարկված դատական ակտերի՝ գրավոր կարգով քննության ընթացակարգն ի զորու չէ ապահովելու ինչպես արդար դատաքննության, այնպես էլ դատական պաշտպանության իրավունքների ԱՐԴՅՈՒՆԱՎԵՏ իրացումը։ Այսպես, թիվ ԵԴ/0188/11/18 գործով Վճռաբեկ </w:t>
            </w:r>
            <w:r w:rsidRPr="002B01FF">
              <w:rPr>
                <w:rFonts w:ascii="GHEA Grapalat" w:eastAsia="GHEA Grapalat" w:hAnsi="GHEA Grapalat" w:cs="GHEA Grapalat"/>
                <w:color w:val="000000"/>
                <w:sz w:val="24"/>
                <w:szCs w:val="24"/>
                <w:lang w:val="hy-AM"/>
              </w:rPr>
              <w:lastRenderedPageBreak/>
              <w:t xml:space="preserve">դատարանը 2021 թվականի ապրիլի 21-ի որոշմամբ արձանագրել է, «Վճռաբեկ դատարանը կրկնում է, որ մրցակցության սկզբունքն արդար դատաքննության հիմնարար իրավունքի բաղկացուցիչ տարր է։ Այդ սկզբունքի իմաստով դատաքննության ժամանակ և՛ մեղադրանքի, և՛ պաշտպանության կողմերի համար պետք է հավասարապես երաշխավորվի ողջամիտ հնարավորություն` իր գործը ներկայացնելու այնպիսի պայմաններում, որը նվազ բարենպաստ չի լինի, քան այն հնարավորությունը, որը տրամադրվում է մրցակից կողմին։ Այսինքն` մրցակցության սկզբունքն անհրաժեշտ է դիտարկել կողմերի հավասարության հիմնարար պահանջի հետ միասնության մեջ, ինչը, ի թիվս այլոց, ենթադրում է, որ կողմը պետք է հնարավորություն ունենա պաշտպանելու իր իրավունքներն ու օրինական շահերը, ծանոթանալու մյուս կողմի ներկայացրած փաստարկներին և ապացույցներին։ Նշվածն արդար </w:t>
            </w:r>
            <w:r w:rsidRPr="002B01FF">
              <w:rPr>
                <w:rFonts w:ascii="GHEA Grapalat" w:eastAsia="GHEA Grapalat" w:hAnsi="GHEA Grapalat" w:cs="GHEA Grapalat"/>
                <w:color w:val="000000"/>
                <w:sz w:val="24"/>
                <w:szCs w:val="24"/>
                <w:lang w:val="hy-AM"/>
              </w:rPr>
              <w:lastRenderedPageBreak/>
              <w:t xml:space="preserve">դատական քննության իրավունքի ապահովման կարևորագույն նախապայման է, քանի որ քննության իրականացումն առանց կողմերի հավասար տեղեկացվածության նշանակում է մրցակցության և կողմերի հավասարության հիմնարար դրույթների անհամաչափ ձևականացում և առարկայազրկում։ Այլ խոսքով` ինչպես առաջին ատյանի դատարանը, այնպես էլ նշյալ դատարանի կայացրած դատական ակտի օրինականությունն ու հիմնավորվածությունը դատական ստուգման ենթարկելիս Վերաքննիչ դատարանը պարտավոր են միջոցներ ձեռնարկել կողմերի հավասարության և մրցակցային դատավարության ապահովման ուղղությամբ։ Այսպիսով, դատական քննությանը մասնակցելը կողմերի` քրեադատավարական օրենքով երաշխավորված իրավունքն է, իսկ նշված իրավունքի ապահովման պարտականությունը կրում է դատարանը: </w:t>
            </w:r>
            <w:r w:rsidRPr="002B01FF">
              <w:rPr>
                <w:rFonts w:ascii="GHEA Grapalat" w:eastAsia="GHEA Grapalat" w:hAnsi="GHEA Grapalat" w:cs="GHEA Grapalat"/>
                <w:color w:val="000000"/>
                <w:sz w:val="24"/>
                <w:szCs w:val="24"/>
                <w:lang w:val="hy-AM"/>
              </w:rPr>
              <w:lastRenderedPageBreak/>
              <w:t xml:space="preserve">Վճռաբեկ դատարանն արձանագրում է, որ արդար դատական քննություն իրականացնելու պահանջը ՀՀ ներպետական իրավունքի իմաստով ևս հավասարապես վերաբերելի է մինչդատական վարույթի նկատմամբ դատական վերահսկողության շրջանակներում անցկացվող դատական քննությանը»։ Վերը ներկայացված որոշմամբ արված եզրահանգումներն ուղիղ հակասում են ներկայացված նախագծի բովանդակությանը, քանի որ վերանայման գրավոր ընթացակարգը ՕԲՅԵԿՏԻՎՈՐԵՆ ՉԻ ԿԱՐՈՂ ապահովել այն երաշխիքները, որոնք կադող են կենսագործվել բանավոր վերանայման ընթացքում։ Դեռ ավելին՝ նոր քրեական դատավարության օրենսգրքով սահմանվել է հատուկ վերանայման (օրինակ՝ կալանքը որկես խափանման միջոց կիրառելու մասին որոշում) գրավոր ընթացակարգ, ինչը նույնպես հակասում է Վճռաբեկ դատարանի՝ վերը ներկայացված դիրքորոշմանը։ Հատկանշական է, որ </w:t>
            </w:r>
            <w:r w:rsidRPr="002B01FF">
              <w:rPr>
                <w:rFonts w:ascii="GHEA Grapalat" w:eastAsia="GHEA Grapalat" w:hAnsi="GHEA Grapalat" w:cs="GHEA Grapalat"/>
                <w:color w:val="000000"/>
                <w:sz w:val="24"/>
                <w:szCs w:val="24"/>
                <w:lang w:val="hy-AM"/>
              </w:rPr>
              <w:lastRenderedPageBreak/>
              <w:t xml:space="preserve">ՄԻԵԴ իրավաբանությունը նույնպես հիմնված է՝ ստուգման (վերանայման) ընթացքում այն նույն պայմաններն ու երաշխիքները ապահովվելու տրամաբանության վրա, ինչը որ ապահովված է եղել առաջին ատյանի դատարանում՝ գործն ըստ էության քննելիս։ Առաջարկվող մոտեցումը քննադատվել է նաև հայկական գրականության մեջ։ Մասնավորապես, եթե կարդաք Ա.Ղազարյանի «ՄԱՅՐՑԱՄԱՔԱՅԻՆ ԽԱՌԸ ՏԻՊԻ ՔՐԵԱԿԱՆ ԴԱՏԱՎԱՐՈՒԹՅՈՒՆՈՒՄ ՄԵՂԱԴՐՅԱԼԻ ՍՈՒԲՅԵԿՏԱՅՆԱՑՄԱՆ ՀԱՄԸՆԴՀԱՆՈՒՐ ՄԻՏՈՒՄԸ ԵՎ ԴՐԱՆ ՀԱԿԱՌԱԿ ԸՆԹԱՑՈՂ ՀԱՅԿԱԿԱՆ ՕՐԵՆՍԴՐԱԿԱՆ ԶԱՐԳԱՑՈՒՄՆԵՐԸ (ՎԵՐԱՔՆՆԻՉ ԴԱՏԱՐԱՆՈՒՄ ԳՐԱՎՈՐ ԸՆԹԱՑԱԿԱՐԳՈՎ ԿԱԼԱՆՔԻ (ԴՐԱ ԵՐԿԱՐԱՁԳՄԱՆ)» (2023) գիտական հոդվածը, ապա կհասկանաք ներկայացված առաջարկի </w:t>
            </w:r>
            <w:r w:rsidRPr="002B01FF">
              <w:rPr>
                <w:rFonts w:ascii="GHEA Grapalat" w:eastAsia="GHEA Grapalat" w:hAnsi="GHEA Grapalat" w:cs="GHEA Grapalat"/>
                <w:color w:val="000000"/>
                <w:sz w:val="24"/>
                <w:szCs w:val="24"/>
                <w:lang w:val="hy-AM"/>
              </w:rPr>
              <w:lastRenderedPageBreak/>
              <w:t>անթույլատրելիության ամբողջ գաղափարախոսությունը։</w:t>
            </w:r>
          </w:p>
          <w:p w14:paraId="5AC1C2C7" w14:textId="4356BCCA" w:rsidR="00D948A4" w:rsidRPr="002B01FF" w:rsidRDefault="00957DEF"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Սա անթույլատրելի փոփոխություններ ենթադրող նախագիծ է։ Վերաքննության կարգով վերանայումը ՉԻ ԿԱՐՈՂ ԻՐԱԿԱՆԱՑՎԵԼ ԳՐԱՎՈՐ ԸՆԹԱՑԱԿԱՐԳԻ շրջանակներում, դա անթույլատրելի է մարդու և քաղաքացու հիմնարար իրավունքներն ԱՐԴՅՈՒՆԱՎԵՏ իրացնելու համատեքստում։</w:t>
            </w:r>
          </w:p>
        </w:tc>
        <w:tc>
          <w:tcPr>
            <w:tcW w:w="3622" w:type="dxa"/>
            <w:tcBorders>
              <w:top w:val="single" w:sz="1" w:space="0" w:color="000000"/>
              <w:left w:val="single" w:sz="1" w:space="0" w:color="000000"/>
              <w:bottom w:val="single" w:sz="1" w:space="0" w:color="000000"/>
              <w:right w:val="single" w:sz="1" w:space="0" w:color="000000"/>
            </w:tcBorders>
          </w:tcPr>
          <w:p w14:paraId="444738C7" w14:textId="77777777" w:rsidR="002B01FF" w:rsidRPr="002B01FF" w:rsidRDefault="00D948A4" w:rsidP="00C16A0F">
            <w:pPr>
              <w:spacing w:after="0" w:line="276" w:lineRule="auto"/>
              <w:jc w:val="center"/>
              <w:rPr>
                <w:rFonts w:ascii="GHEA Grapalat" w:eastAsia="GHEA Grapalat" w:hAnsi="GHEA Grapalat" w:cs="GHEA Grapalat"/>
                <w:b/>
                <w:bCs/>
                <w:color w:val="000000"/>
                <w:sz w:val="24"/>
                <w:szCs w:val="24"/>
                <w:lang w:val="hy-AM"/>
              </w:rPr>
            </w:pPr>
            <w:r w:rsidRPr="002B01FF">
              <w:rPr>
                <w:rFonts w:ascii="GHEA Grapalat" w:eastAsia="GHEA Grapalat" w:hAnsi="GHEA Grapalat" w:cs="GHEA Grapalat"/>
                <w:b/>
                <w:bCs/>
                <w:color w:val="000000"/>
                <w:sz w:val="24"/>
                <w:szCs w:val="24"/>
                <w:lang w:val="hy-AM"/>
              </w:rPr>
              <w:lastRenderedPageBreak/>
              <w:t>Չի ընդունվել</w:t>
            </w:r>
            <w:r w:rsidR="002B01FF" w:rsidRPr="002B01FF">
              <w:rPr>
                <w:rFonts w:ascii="GHEA Grapalat" w:eastAsia="GHEA Grapalat" w:hAnsi="GHEA Grapalat" w:cs="GHEA Grapalat"/>
                <w:b/>
                <w:bCs/>
                <w:color w:val="000000"/>
                <w:sz w:val="24"/>
                <w:szCs w:val="24"/>
                <w:lang w:val="hy-AM"/>
              </w:rPr>
              <w:t>։</w:t>
            </w:r>
          </w:p>
          <w:p w14:paraId="565A3079" w14:textId="0242741A" w:rsidR="002B01FF" w:rsidRPr="002B01FF" w:rsidRDefault="002A5307" w:rsidP="00C16A0F">
            <w:pPr>
              <w:spacing w:after="0" w:line="276" w:lineRule="auto"/>
              <w:jc w:val="center"/>
              <w:rPr>
                <w:rFonts w:ascii="GHEA Grapalat" w:hAnsi="GHEA Grapalat"/>
                <w:sz w:val="24"/>
                <w:szCs w:val="24"/>
                <w:lang w:val="hy-AM"/>
              </w:rPr>
            </w:pPr>
            <w:r>
              <w:rPr>
                <w:rFonts w:ascii="GHEA Grapalat" w:eastAsia="Calibri" w:hAnsi="GHEA Grapalat" w:cs="Calibri"/>
                <w:sz w:val="24"/>
                <w:szCs w:val="24"/>
                <w:lang w:val="hy-AM"/>
              </w:rPr>
              <w:t>Ա</w:t>
            </w:r>
            <w:r w:rsidR="002B01FF">
              <w:rPr>
                <w:rFonts w:ascii="GHEA Grapalat" w:eastAsia="Calibri" w:hAnsi="GHEA Grapalat" w:cs="Calibri"/>
                <w:sz w:val="24"/>
                <w:szCs w:val="24"/>
                <w:lang w:val="hy-AM"/>
              </w:rPr>
              <w:t>նհրաժեշտ է ելակետ ընդունել այն կարևոր հանգամանքը, որ Նախագծով առաջարկվող կարգավորումները, ի թիվս այլնի</w:t>
            </w:r>
            <w:r w:rsidR="002B01FF">
              <w:rPr>
                <w:rFonts w:ascii="MS Mincho" w:eastAsia="MS Mincho" w:hAnsi="MS Mincho" w:cs="MS Mincho"/>
                <w:sz w:val="24"/>
                <w:szCs w:val="24"/>
                <w:lang w:val="hy-AM"/>
              </w:rPr>
              <w:t>,</w:t>
            </w:r>
            <w:r w:rsidR="002B01FF">
              <w:rPr>
                <w:rFonts w:ascii="GHEA Grapalat" w:eastAsia="Calibri" w:hAnsi="GHEA Grapalat" w:cs="Calibri"/>
                <w:sz w:val="24"/>
                <w:szCs w:val="24"/>
                <w:lang w:val="hy-AM"/>
              </w:rPr>
              <w:t xml:space="preserve"> ուղղված են հենց արդար դատաքննության իրավունքի, դատական պաշտպանության արդյունավետության երաշխավորմանը: Մասնավորապես, Նախագծով առաջարկվում է վերաքննիչ </w:t>
            </w:r>
            <w:r w:rsidR="002B01FF">
              <w:rPr>
                <w:rFonts w:ascii="GHEA Grapalat" w:eastAsia="Calibri" w:hAnsi="GHEA Grapalat" w:cs="Calibri"/>
                <w:sz w:val="24"/>
                <w:szCs w:val="24"/>
                <w:lang w:val="hy-AM"/>
              </w:rPr>
              <w:lastRenderedPageBreak/>
              <w:t xml:space="preserve">բողոքների քննության գրավոր ընթացակարգ կիրառելու կանխավարկած, եթե դատարանը սեփական նախաձեռնությամբ կամ  դատավարության մասնակիցների, այդ թվում՝ դատավարության պրոֆեսիոնալ մասնակիցների միջնորդությամբ չի գալիս այն եզրահանգմանը, որ գործի քննությունն անհրաժեշտ է իրականացնել բանավոր ընթացակարգով: Նման պայմանններում, Նախագծով առաջարկվող բողոքների գրավոր քննությունը և դրան զուգահեռ վերաքննիչ բողոքների քննության հստակ ժամկետների սահմանումը հանդիսանում են անհրաժեշտ և բավարար գործիքակազմ գործերի ողջամիտ </w:t>
            </w:r>
            <w:r w:rsidR="002B01FF">
              <w:rPr>
                <w:rFonts w:ascii="GHEA Grapalat" w:eastAsia="Calibri" w:hAnsi="GHEA Grapalat" w:cs="Calibri"/>
                <w:sz w:val="24"/>
                <w:szCs w:val="24"/>
                <w:lang w:val="hy-AM"/>
              </w:rPr>
              <w:lastRenderedPageBreak/>
              <w:t>ժամկետներում քննության և արդարադատության արդյունավետության բարձրացման համար՝ նպաստելով առաջին հերթին արդար դատաքննության իրավունքի պատշաճ երաշխավորմանը: Ընդ որում, Նախագծի հիմնավորոմամբ վկայակոչվել են ինչպես ներպետական, այնպես էլ՝ Մարդու իրավունքների եվրոպական դատարանի նախադեպային իրավունքում ձևավորված առանցքային մեկնաբանությունները, որոն</w:t>
            </w:r>
            <w:r w:rsidR="00A515B1">
              <w:rPr>
                <w:rFonts w:ascii="GHEA Grapalat" w:eastAsia="Calibri" w:hAnsi="GHEA Grapalat" w:cs="Calibri"/>
                <w:sz w:val="24"/>
                <w:szCs w:val="24"/>
                <w:lang w:val="hy-AM"/>
              </w:rPr>
              <w:t>ցով</w:t>
            </w:r>
            <w:r w:rsidR="002B01FF">
              <w:rPr>
                <w:rFonts w:ascii="GHEA Grapalat" w:eastAsia="Calibri" w:hAnsi="GHEA Grapalat" w:cs="Calibri"/>
                <w:sz w:val="24"/>
                <w:szCs w:val="24"/>
                <w:lang w:val="hy-AM"/>
              </w:rPr>
              <w:t xml:space="preserve"> </w:t>
            </w:r>
            <w:r w:rsidR="00A515B1">
              <w:rPr>
                <w:rFonts w:ascii="GHEA Grapalat" w:eastAsia="Calibri" w:hAnsi="GHEA Grapalat" w:cs="Calibri"/>
                <w:sz w:val="24"/>
                <w:szCs w:val="24"/>
                <w:lang w:val="hy-AM"/>
              </w:rPr>
              <w:t>սկզբունքորեն ընդունվում են</w:t>
            </w:r>
            <w:r w:rsidR="002B01FF">
              <w:rPr>
                <w:rFonts w:ascii="GHEA Grapalat" w:eastAsia="Calibri" w:hAnsi="GHEA Grapalat" w:cs="Calibri"/>
                <w:sz w:val="24"/>
                <w:szCs w:val="24"/>
                <w:lang w:val="hy-AM"/>
              </w:rPr>
              <w:t xml:space="preserve"> վերաքննիչ ատյաններում բողոքների քննությունը գրավոր ընթացակարգով իրականացնելու </w:t>
            </w:r>
            <w:r w:rsidR="00A515B1">
              <w:rPr>
                <w:rFonts w:ascii="GHEA Grapalat" w:eastAsia="Calibri" w:hAnsi="GHEA Grapalat" w:cs="Calibri"/>
                <w:sz w:val="24"/>
                <w:szCs w:val="24"/>
                <w:lang w:val="hy-AM"/>
              </w:rPr>
              <w:t xml:space="preserve">կարգավորումները։ </w:t>
            </w:r>
            <w:r w:rsidR="00A515B1" w:rsidRPr="002B01FF">
              <w:rPr>
                <w:rFonts w:ascii="GHEA Grapalat" w:eastAsia="GHEA Grapalat" w:hAnsi="GHEA Grapalat" w:cs="GHEA Grapalat"/>
                <w:color w:val="000000"/>
                <w:sz w:val="24"/>
                <w:szCs w:val="24"/>
                <w:lang w:val="hy-AM"/>
              </w:rPr>
              <w:t>Վճռաբեկ դատարան</w:t>
            </w:r>
            <w:r w:rsidR="00A515B1">
              <w:rPr>
                <w:rFonts w:ascii="GHEA Grapalat" w:eastAsia="GHEA Grapalat" w:hAnsi="GHEA Grapalat" w:cs="GHEA Grapalat"/>
                <w:color w:val="000000"/>
                <w:sz w:val="24"/>
                <w:szCs w:val="24"/>
                <w:lang w:val="hy-AM"/>
              </w:rPr>
              <w:t xml:space="preserve">ի վկայակոչած </w:t>
            </w:r>
            <w:r w:rsidR="00A515B1">
              <w:rPr>
                <w:rFonts w:ascii="GHEA Grapalat" w:eastAsia="GHEA Grapalat" w:hAnsi="GHEA Grapalat" w:cs="GHEA Grapalat"/>
                <w:color w:val="000000"/>
                <w:sz w:val="24"/>
                <w:szCs w:val="24"/>
                <w:lang w:val="hy-AM"/>
              </w:rPr>
              <w:lastRenderedPageBreak/>
              <w:t>որոշումն առ այն,</w:t>
            </w:r>
            <w:r w:rsidR="00A515B1" w:rsidRPr="002B01FF">
              <w:rPr>
                <w:rFonts w:ascii="GHEA Grapalat" w:eastAsia="GHEA Grapalat" w:hAnsi="GHEA Grapalat" w:cs="GHEA Grapalat"/>
                <w:color w:val="000000"/>
                <w:sz w:val="24"/>
                <w:szCs w:val="24"/>
                <w:lang w:val="hy-AM"/>
              </w:rPr>
              <w:t xml:space="preserve"> որ </w:t>
            </w:r>
            <w:r w:rsidR="00A515B1" w:rsidRPr="00A515B1">
              <w:rPr>
                <w:rFonts w:ascii="GHEA Grapalat" w:eastAsia="GHEA Grapalat" w:hAnsi="GHEA Grapalat" w:cs="GHEA Grapalat"/>
                <w:i/>
                <w:iCs/>
                <w:color w:val="000000"/>
                <w:sz w:val="24"/>
                <w:szCs w:val="24"/>
                <w:lang w:val="hy-AM"/>
              </w:rPr>
              <w:t>արդար դատական քննություն իրականացնելու պահանջը ՀՀ ներպետական իրավունքի իմաստով ևս հավասարապես վերաբերելի է մինչդատական վարույթի նկատմամբ դատական վերահսկողության շրջանակներում անցկացվող դատական քննությանը</w:t>
            </w:r>
            <w:r w:rsidR="00A515B1" w:rsidRPr="002B01FF">
              <w:rPr>
                <w:rFonts w:ascii="GHEA Grapalat" w:eastAsia="GHEA Grapalat" w:hAnsi="GHEA Grapalat" w:cs="GHEA Grapalat"/>
                <w:color w:val="000000"/>
                <w:sz w:val="24"/>
                <w:szCs w:val="24"/>
                <w:lang w:val="hy-AM"/>
              </w:rPr>
              <w:t>»</w:t>
            </w:r>
            <w:r w:rsidR="00A515B1">
              <w:rPr>
                <w:rFonts w:ascii="GHEA Grapalat" w:eastAsia="GHEA Grapalat" w:hAnsi="GHEA Grapalat" w:cs="GHEA Grapalat"/>
                <w:color w:val="000000"/>
                <w:sz w:val="24"/>
                <w:szCs w:val="24"/>
                <w:lang w:val="hy-AM"/>
              </w:rPr>
              <w:t>, հարկ է նկատել, որ Նախագծով կարգավորվում է գործն ըստ էության լուծող դատական ակտերի դեմ ներկայացված վերաքննիչ բողոքները գրավոր ընթացակարգով քննելու ու լուծելու հետ կապված հարաբերությունները։</w:t>
            </w:r>
          </w:p>
        </w:tc>
        <w:tc>
          <w:tcPr>
            <w:tcW w:w="2815" w:type="dxa"/>
            <w:tcBorders>
              <w:top w:val="single" w:sz="1" w:space="0" w:color="000000"/>
              <w:left w:val="single" w:sz="1" w:space="0" w:color="000000"/>
              <w:bottom w:val="single" w:sz="1" w:space="0" w:color="000000"/>
              <w:right w:val="single" w:sz="1" w:space="0" w:color="000000"/>
            </w:tcBorders>
          </w:tcPr>
          <w:p w14:paraId="5D02662D" w14:textId="77777777" w:rsidR="00D948A4" w:rsidRPr="002B01FF" w:rsidRDefault="00D948A4" w:rsidP="00C16A0F">
            <w:pPr>
              <w:spacing w:after="0" w:line="276" w:lineRule="auto"/>
              <w:jc w:val="center"/>
              <w:rPr>
                <w:sz w:val="24"/>
                <w:szCs w:val="24"/>
                <w:lang w:val="hy-AM"/>
              </w:rPr>
            </w:pPr>
          </w:p>
        </w:tc>
      </w:tr>
      <w:tr w:rsidR="00D948A4" w:rsidRPr="002A5307" w14:paraId="02395CE3" w14:textId="77777777" w:rsidTr="002B01FF">
        <w:tc>
          <w:tcPr>
            <w:tcW w:w="461" w:type="dxa"/>
            <w:tcBorders>
              <w:top w:val="single" w:sz="1" w:space="0" w:color="000000"/>
              <w:left w:val="single" w:sz="1" w:space="0" w:color="000000"/>
              <w:bottom w:val="single" w:sz="1" w:space="0" w:color="000000"/>
              <w:right w:val="single" w:sz="1" w:space="0" w:color="000000"/>
            </w:tcBorders>
          </w:tcPr>
          <w:p w14:paraId="40E3C63F" w14:textId="48C9D9B9" w:rsidR="00D948A4" w:rsidRPr="00C16A0F" w:rsidRDefault="00D948A4" w:rsidP="00C16A0F">
            <w:pPr>
              <w:spacing w:after="0" w:line="276" w:lineRule="auto"/>
              <w:jc w:val="center"/>
              <w:rPr>
                <w:rFonts w:ascii="Microsoft JhengHei" w:eastAsia="Microsoft JhengHei" w:hAnsi="Microsoft JhengHei" w:cs="Microsoft JhengHei"/>
                <w:sz w:val="24"/>
                <w:szCs w:val="24"/>
                <w:lang w:val="hy-AM"/>
              </w:rPr>
            </w:pPr>
            <w:r w:rsidRPr="002B01FF">
              <w:rPr>
                <w:rFonts w:ascii="GHEA Grapalat" w:eastAsia="GHEA Grapalat" w:hAnsi="GHEA Grapalat" w:cs="GHEA Grapalat"/>
                <w:color w:val="000000"/>
                <w:sz w:val="24"/>
                <w:szCs w:val="24"/>
                <w:lang w:val="hy-AM"/>
              </w:rPr>
              <w:lastRenderedPageBreak/>
              <w:t>2</w:t>
            </w:r>
            <w:r w:rsidR="00C16A0F">
              <w:rPr>
                <w:rFonts w:ascii="Microsoft JhengHei" w:eastAsia="Microsoft JhengHei" w:hAnsi="Microsoft JhengHei" w:cs="Microsoft JhengHei"/>
                <w:color w:val="000000"/>
                <w:sz w:val="24"/>
                <w:szCs w:val="24"/>
                <w:lang w:val="hy-AM"/>
              </w:rPr>
              <w:t>․</w:t>
            </w:r>
          </w:p>
        </w:tc>
        <w:tc>
          <w:tcPr>
            <w:tcW w:w="2180" w:type="dxa"/>
            <w:tcBorders>
              <w:top w:val="single" w:sz="1" w:space="0" w:color="000000"/>
              <w:left w:val="single" w:sz="1" w:space="0" w:color="000000"/>
              <w:bottom w:val="single" w:sz="1" w:space="0" w:color="000000"/>
              <w:right w:val="single" w:sz="1" w:space="0" w:color="000000"/>
            </w:tcBorders>
          </w:tcPr>
          <w:p w14:paraId="51E8623A" w14:textId="77777777" w:rsidR="00A515B1" w:rsidRDefault="00A515B1" w:rsidP="00C16A0F">
            <w:pPr>
              <w:spacing w:after="0" w:line="276" w:lineRule="auto"/>
              <w:jc w:val="center"/>
              <w:rPr>
                <w:rFonts w:ascii="GHEA Grapalat" w:eastAsia="GHEA Grapalat" w:hAnsi="GHEA Grapalat" w:cs="GHEA Grapalat"/>
                <w:color w:val="000000"/>
                <w:sz w:val="24"/>
                <w:szCs w:val="24"/>
              </w:rPr>
            </w:pPr>
            <w:proofErr w:type="spellStart"/>
            <w:r w:rsidRPr="00A515B1">
              <w:rPr>
                <w:rFonts w:ascii="GHEA Grapalat" w:eastAsia="GHEA Grapalat" w:hAnsi="GHEA Grapalat" w:cs="GHEA Grapalat"/>
                <w:color w:val="000000"/>
                <w:sz w:val="24"/>
                <w:szCs w:val="24"/>
              </w:rPr>
              <w:t>Մարտիկ</w:t>
            </w:r>
            <w:proofErr w:type="spellEnd"/>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Մարտիրոսյան</w:t>
            </w:r>
            <w:proofErr w:type="spellEnd"/>
          </w:p>
          <w:p w14:paraId="170E4B93" w14:textId="7C7C918A" w:rsidR="00D948A4" w:rsidRPr="002B01FF" w:rsidRDefault="00A515B1" w:rsidP="00C16A0F">
            <w:pPr>
              <w:spacing w:after="0" w:line="276" w:lineRule="auto"/>
              <w:jc w:val="center"/>
              <w:rPr>
                <w:sz w:val="24"/>
                <w:szCs w:val="24"/>
                <w:lang w:val="hy-AM"/>
              </w:rPr>
            </w:pPr>
            <w:r w:rsidRPr="00A515B1">
              <w:rPr>
                <w:rFonts w:ascii="GHEA Grapalat" w:eastAsia="GHEA Grapalat" w:hAnsi="GHEA Grapalat" w:cs="GHEA Grapalat"/>
                <w:color w:val="000000"/>
                <w:sz w:val="24"/>
                <w:szCs w:val="24"/>
              </w:rPr>
              <w:t>26.02.2025 20:51:43</w:t>
            </w:r>
          </w:p>
        </w:tc>
        <w:tc>
          <w:tcPr>
            <w:tcW w:w="4867" w:type="dxa"/>
            <w:tcBorders>
              <w:top w:val="single" w:sz="1" w:space="0" w:color="000000"/>
              <w:left w:val="single" w:sz="1" w:space="0" w:color="000000"/>
              <w:bottom w:val="single" w:sz="1" w:space="0" w:color="000000"/>
              <w:right w:val="single" w:sz="1" w:space="0" w:color="000000"/>
            </w:tcBorders>
          </w:tcPr>
          <w:p w14:paraId="1A75F6E2" w14:textId="15C3B986" w:rsidR="00D948A4" w:rsidRPr="002B01FF" w:rsidRDefault="00A515B1" w:rsidP="00C16A0F">
            <w:pPr>
              <w:spacing w:after="0" w:line="276" w:lineRule="auto"/>
              <w:jc w:val="center"/>
              <w:rPr>
                <w:sz w:val="24"/>
                <w:szCs w:val="24"/>
                <w:lang w:val="hy-AM"/>
              </w:rPr>
            </w:pPr>
            <w:r w:rsidRPr="00A515B1">
              <w:rPr>
                <w:rFonts w:ascii="GHEA Grapalat" w:eastAsia="GHEA Grapalat" w:hAnsi="GHEA Grapalat" w:cs="GHEA Grapalat"/>
                <w:color w:val="000000"/>
                <w:sz w:val="24"/>
                <w:szCs w:val="24"/>
                <w:lang w:val="hy-AM"/>
              </w:rPr>
              <w:t xml:space="preserve">Ներկայում գործերի քննությունը, այդ թվում՝ վերաքննիչ ատյանում դանդաղում է հիմնականում այն պատճառով, որ կալանավորվածներին դատարան չեն տեղափոխում։ Պատճառն այն է, որ Ոստիկանության ուղեկցող գումարտակի ծառայողների հաստիքները թափուր են։ Արդյունքում ստացվում է, որ պետությունը չի կարողանում լուծել կալանավորված անձանց դատարան տեղափոխելու հարցը և դրա փոխարեն զրկում է նրանց վերաքննիչ դատարան ներկայանալու հնարավորությունից։ Եթե Ոստիկանության </w:t>
            </w:r>
            <w:r w:rsidRPr="00A515B1">
              <w:rPr>
                <w:rFonts w:ascii="GHEA Grapalat" w:eastAsia="GHEA Grapalat" w:hAnsi="GHEA Grapalat" w:cs="GHEA Grapalat"/>
                <w:color w:val="000000"/>
                <w:sz w:val="24"/>
                <w:szCs w:val="24"/>
                <w:lang w:val="hy-AM"/>
              </w:rPr>
              <w:lastRenderedPageBreak/>
              <w:t xml:space="preserve">ուղեկցող գումարտակի հաստիքները համալրվեն, ապա բավականին կարագանա գործերի քննությունը։ </w:t>
            </w:r>
            <w:proofErr w:type="spellStart"/>
            <w:r w:rsidRPr="00A515B1">
              <w:rPr>
                <w:rFonts w:ascii="GHEA Grapalat" w:eastAsia="GHEA Grapalat" w:hAnsi="GHEA Grapalat" w:cs="GHEA Grapalat"/>
                <w:color w:val="000000"/>
                <w:sz w:val="24"/>
                <w:szCs w:val="24"/>
              </w:rPr>
              <w:t>Ուստի</w:t>
            </w:r>
            <w:proofErr w:type="spellEnd"/>
            <w:r>
              <w:rPr>
                <w:rFonts w:ascii="GHEA Grapalat" w:eastAsia="GHEA Grapalat" w:hAnsi="GHEA Grapalat" w:cs="GHEA Grapalat"/>
                <w:color w:val="000000"/>
                <w:sz w:val="24"/>
                <w:szCs w:val="24"/>
              </w:rPr>
              <w:t>,</w:t>
            </w:r>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առաջարկում</w:t>
            </w:r>
            <w:proofErr w:type="spellEnd"/>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եմ</w:t>
            </w:r>
            <w:proofErr w:type="spellEnd"/>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այս</w:t>
            </w:r>
            <w:proofErr w:type="spellEnd"/>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նախագիծը</w:t>
            </w:r>
            <w:proofErr w:type="spellEnd"/>
            <w:r w:rsidRPr="00A515B1">
              <w:rPr>
                <w:rFonts w:ascii="GHEA Grapalat" w:eastAsia="GHEA Grapalat" w:hAnsi="GHEA Grapalat" w:cs="GHEA Grapalat"/>
                <w:color w:val="000000"/>
                <w:sz w:val="24"/>
                <w:szCs w:val="24"/>
              </w:rPr>
              <w:t xml:space="preserve"> </w:t>
            </w:r>
            <w:proofErr w:type="spellStart"/>
            <w:r w:rsidRPr="00A515B1">
              <w:rPr>
                <w:rFonts w:ascii="GHEA Grapalat" w:eastAsia="GHEA Grapalat" w:hAnsi="GHEA Grapalat" w:cs="GHEA Grapalat"/>
                <w:color w:val="000000"/>
                <w:sz w:val="24"/>
                <w:szCs w:val="24"/>
              </w:rPr>
              <w:t>չեղարկել</w:t>
            </w:r>
            <w:proofErr w:type="spellEnd"/>
            <w:r w:rsidRPr="00A515B1">
              <w:rPr>
                <w:rFonts w:ascii="GHEA Grapalat" w:eastAsia="GHEA Grapalat" w:hAnsi="GHEA Grapalat" w:cs="GHEA Grapalat"/>
                <w:color w:val="000000"/>
                <w:sz w:val="24"/>
                <w:szCs w:val="24"/>
              </w:rPr>
              <w:t>։</w:t>
            </w:r>
          </w:p>
        </w:tc>
        <w:tc>
          <w:tcPr>
            <w:tcW w:w="3622" w:type="dxa"/>
            <w:tcBorders>
              <w:top w:val="single" w:sz="1" w:space="0" w:color="000000"/>
              <w:left w:val="single" w:sz="1" w:space="0" w:color="000000"/>
              <w:bottom w:val="single" w:sz="1" w:space="0" w:color="000000"/>
              <w:right w:val="single" w:sz="1" w:space="0" w:color="000000"/>
            </w:tcBorders>
          </w:tcPr>
          <w:p w14:paraId="67063052" w14:textId="77777777" w:rsidR="00D948A4" w:rsidRPr="006149E9" w:rsidRDefault="00D948A4" w:rsidP="00C16A0F">
            <w:pPr>
              <w:spacing w:after="0" w:line="276" w:lineRule="auto"/>
              <w:jc w:val="center"/>
              <w:rPr>
                <w:rFonts w:ascii="GHEA Grapalat" w:eastAsia="GHEA Grapalat" w:hAnsi="GHEA Grapalat" w:cs="GHEA Grapalat"/>
                <w:b/>
                <w:bCs/>
                <w:color w:val="000000"/>
                <w:sz w:val="24"/>
                <w:szCs w:val="24"/>
                <w:lang w:val="hy-AM"/>
              </w:rPr>
            </w:pPr>
            <w:r w:rsidRPr="006149E9">
              <w:rPr>
                <w:rFonts w:ascii="GHEA Grapalat" w:eastAsia="GHEA Grapalat" w:hAnsi="GHEA Grapalat" w:cs="GHEA Grapalat"/>
                <w:b/>
                <w:bCs/>
                <w:color w:val="000000"/>
                <w:sz w:val="24"/>
                <w:szCs w:val="24"/>
                <w:lang w:val="hy-AM"/>
              </w:rPr>
              <w:lastRenderedPageBreak/>
              <w:t xml:space="preserve">Չի ընդունվել: </w:t>
            </w:r>
          </w:p>
          <w:p w14:paraId="3A8D0395" w14:textId="1DB1861D" w:rsidR="00A515B1" w:rsidRPr="00A515B1" w:rsidRDefault="00A515B1" w:rsidP="00C16A0F">
            <w:pPr>
              <w:spacing w:after="0" w:line="276" w:lineRule="auto"/>
              <w:jc w:val="center"/>
              <w:rPr>
                <w:rFonts w:ascii="GHEA Grapalat" w:hAnsi="GHEA Grapalat"/>
                <w:sz w:val="24"/>
                <w:szCs w:val="24"/>
                <w:lang w:val="hy-AM"/>
              </w:rPr>
            </w:pPr>
            <w:r>
              <w:rPr>
                <w:rFonts w:ascii="GHEA Grapalat" w:hAnsi="GHEA Grapalat"/>
                <w:sz w:val="24"/>
                <w:szCs w:val="24"/>
                <w:lang w:val="hy-AM"/>
              </w:rPr>
              <w:t>Նկատի ունենալով, որ ներկայացված դիտարկմամբ ընդգծվել է Նախագծո</w:t>
            </w:r>
            <w:r w:rsidR="00C16A0F">
              <w:rPr>
                <w:rFonts w:ascii="GHEA Grapalat" w:hAnsi="GHEA Grapalat"/>
                <w:sz w:val="24"/>
                <w:szCs w:val="24"/>
                <w:lang w:val="hy-AM"/>
              </w:rPr>
              <w:t>վ</w:t>
            </w:r>
            <w:r>
              <w:rPr>
                <w:rFonts w:ascii="GHEA Grapalat" w:hAnsi="GHEA Grapalat"/>
                <w:sz w:val="24"/>
                <w:szCs w:val="24"/>
                <w:lang w:val="hy-AM"/>
              </w:rPr>
              <w:t xml:space="preserve"> կարգավորվող հարաբերությունների հետ ոչ անմիջականորեն կապված խնդիր</w:t>
            </w:r>
            <w:r w:rsidR="00552BAC">
              <w:rPr>
                <w:rFonts w:ascii="GHEA Grapalat" w:hAnsi="GHEA Grapalat"/>
                <w:sz w:val="24"/>
                <w:szCs w:val="24"/>
                <w:lang w:val="hy-AM"/>
              </w:rPr>
              <w:t xml:space="preserve">, </w:t>
            </w:r>
            <w:r w:rsidR="002A5307">
              <w:rPr>
                <w:rFonts w:ascii="GHEA Grapalat" w:hAnsi="GHEA Grapalat"/>
                <w:sz w:val="24"/>
                <w:szCs w:val="24"/>
                <w:lang w:val="hy-AM"/>
              </w:rPr>
              <w:t xml:space="preserve">այն </w:t>
            </w:r>
            <w:r>
              <w:rPr>
                <w:rFonts w:ascii="GHEA Grapalat" w:hAnsi="GHEA Grapalat"/>
                <w:sz w:val="24"/>
                <w:szCs w:val="24"/>
                <w:lang w:val="hy-AM"/>
              </w:rPr>
              <w:t>հնարավոր չէ այն դիտարկել Նախագծող կարգավորվող հարաբերությունների համատեքստում</w:t>
            </w:r>
            <w:r w:rsidR="00552BAC">
              <w:rPr>
                <w:rFonts w:ascii="GHEA Grapalat" w:hAnsi="GHEA Grapalat"/>
                <w:sz w:val="24"/>
                <w:szCs w:val="24"/>
                <w:lang w:val="hy-AM"/>
              </w:rPr>
              <w:t>։</w:t>
            </w:r>
          </w:p>
        </w:tc>
        <w:tc>
          <w:tcPr>
            <w:tcW w:w="2815" w:type="dxa"/>
            <w:tcBorders>
              <w:top w:val="single" w:sz="1" w:space="0" w:color="000000"/>
              <w:left w:val="single" w:sz="1" w:space="0" w:color="000000"/>
              <w:bottom w:val="single" w:sz="1" w:space="0" w:color="000000"/>
              <w:right w:val="single" w:sz="1" w:space="0" w:color="000000"/>
            </w:tcBorders>
          </w:tcPr>
          <w:p w14:paraId="4ECF4FE8" w14:textId="77777777" w:rsidR="00D948A4" w:rsidRPr="002B01FF" w:rsidRDefault="00D948A4" w:rsidP="00C16A0F">
            <w:pPr>
              <w:spacing w:after="0" w:line="276" w:lineRule="auto"/>
              <w:jc w:val="center"/>
              <w:rPr>
                <w:sz w:val="24"/>
                <w:szCs w:val="24"/>
                <w:lang w:val="hy-AM"/>
              </w:rPr>
            </w:pPr>
          </w:p>
        </w:tc>
      </w:tr>
      <w:tr w:rsidR="00C16A0F" w:rsidRPr="002A5307" w14:paraId="58A0BDDB" w14:textId="77777777" w:rsidTr="002B01FF">
        <w:tc>
          <w:tcPr>
            <w:tcW w:w="461" w:type="dxa"/>
            <w:tcBorders>
              <w:top w:val="single" w:sz="1" w:space="0" w:color="000000"/>
              <w:left w:val="single" w:sz="1" w:space="0" w:color="000000"/>
              <w:bottom w:val="single" w:sz="1" w:space="0" w:color="000000"/>
              <w:right w:val="single" w:sz="1" w:space="0" w:color="000000"/>
            </w:tcBorders>
          </w:tcPr>
          <w:p w14:paraId="0966CE3D" w14:textId="1BDB57F4" w:rsidR="00C16A0F" w:rsidRPr="00C16A0F" w:rsidRDefault="00C16A0F" w:rsidP="00C16A0F">
            <w:pPr>
              <w:spacing w:after="0" w:line="276" w:lineRule="auto"/>
              <w:jc w:val="center"/>
              <w:rPr>
                <w:rFonts w:ascii="Microsoft JhengHei" w:eastAsia="Microsoft JhengHei" w:hAnsi="Microsoft JhengHei" w:cs="Microsoft JhengHei"/>
                <w:color w:val="000000"/>
                <w:sz w:val="24"/>
                <w:szCs w:val="24"/>
                <w:lang w:val="hy-AM"/>
              </w:rPr>
            </w:pPr>
            <w:r>
              <w:rPr>
                <w:rFonts w:ascii="GHEA Grapalat" w:eastAsia="GHEA Grapalat" w:hAnsi="GHEA Grapalat" w:cs="GHEA Grapalat"/>
                <w:color w:val="000000"/>
                <w:sz w:val="24"/>
                <w:szCs w:val="24"/>
                <w:lang w:val="hy-AM"/>
              </w:rPr>
              <w:lastRenderedPageBreak/>
              <w:t>3</w:t>
            </w:r>
            <w:r>
              <w:rPr>
                <w:rFonts w:ascii="Microsoft JhengHei" w:eastAsia="Microsoft JhengHei" w:hAnsi="Microsoft JhengHei" w:cs="Microsoft JhengHei"/>
                <w:color w:val="000000"/>
                <w:sz w:val="24"/>
                <w:szCs w:val="24"/>
                <w:lang w:val="hy-AM"/>
              </w:rPr>
              <w:t xml:space="preserve">․ </w:t>
            </w:r>
          </w:p>
        </w:tc>
        <w:tc>
          <w:tcPr>
            <w:tcW w:w="2180" w:type="dxa"/>
            <w:tcBorders>
              <w:top w:val="single" w:sz="1" w:space="0" w:color="000000"/>
              <w:left w:val="single" w:sz="1" w:space="0" w:color="000000"/>
              <w:bottom w:val="single" w:sz="1" w:space="0" w:color="000000"/>
              <w:right w:val="single" w:sz="1" w:space="0" w:color="000000"/>
            </w:tcBorders>
          </w:tcPr>
          <w:p w14:paraId="3534706F" w14:textId="77777777" w:rsidR="00C16A0F" w:rsidRDefault="00C16A0F" w:rsidP="00C16A0F">
            <w:pPr>
              <w:spacing w:after="0" w:line="276" w:lineRule="auto"/>
              <w:jc w:val="center"/>
              <w:rPr>
                <w:rFonts w:ascii="GHEA Grapalat" w:eastAsia="GHEA Grapalat" w:hAnsi="GHEA Grapalat" w:cs="GHEA Grapalat"/>
                <w:color w:val="000000"/>
                <w:sz w:val="24"/>
                <w:szCs w:val="24"/>
                <w:lang w:val="hy-AM"/>
              </w:rPr>
            </w:pPr>
            <w:r w:rsidRPr="00C16A0F">
              <w:rPr>
                <w:rFonts w:ascii="GHEA Grapalat" w:eastAsia="GHEA Grapalat" w:hAnsi="GHEA Grapalat" w:cs="GHEA Grapalat"/>
                <w:color w:val="000000"/>
                <w:sz w:val="24"/>
                <w:szCs w:val="24"/>
                <w:lang w:val="hy-AM"/>
              </w:rPr>
              <w:t>Իրավունքների պաշտպանություն առանց սահմանների ՀԿ</w:t>
            </w:r>
          </w:p>
          <w:p w14:paraId="4802A518" w14:textId="2E740D71" w:rsidR="00C16A0F" w:rsidRPr="00C16A0F" w:rsidRDefault="00C16A0F" w:rsidP="00C16A0F">
            <w:pPr>
              <w:spacing w:after="0" w:line="276" w:lineRule="auto"/>
              <w:jc w:val="center"/>
              <w:rPr>
                <w:rFonts w:ascii="GHEA Grapalat" w:eastAsia="GHEA Grapalat" w:hAnsi="GHEA Grapalat" w:cs="GHEA Grapalat"/>
                <w:color w:val="000000"/>
                <w:sz w:val="24"/>
                <w:szCs w:val="24"/>
                <w:lang w:val="hy-AM"/>
              </w:rPr>
            </w:pPr>
            <w:r w:rsidRPr="00C16A0F">
              <w:rPr>
                <w:rFonts w:ascii="GHEA Grapalat" w:eastAsia="GHEA Grapalat" w:hAnsi="GHEA Grapalat" w:cs="GHEA Grapalat"/>
                <w:color w:val="000000"/>
                <w:sz w:val="24"/>
                <w:szCs w:val="24"/>
                <w:lang w:val="hy-AM"/>
              </w:rPr>
              <w:t>28.02.2025 21:39:49</w:t>
            </w:r>
          </w:p>
        </w:tc>
        <w:tc>
          <w:tcPr>
            <w:tcW w:w="4867" w:type="dxa"/>
            <w:tcBorders>
              <w:top w:val="single" w:sz="1" w:space="0" w:color="000000"/>
              <w:left w:val="single" w:sz="1" w:space="0" w:color="000000"/>
              <w:bottom w:val="single" w:sz="1" w:space="0" w:color="000000"/>
              <w:right w:val="single" w:sz="1" w:space="0" w:color="000000"/>
            </w:tcBorders>
          </w:tcPr>
          <w:p w14:paraId="78391544" w14:textId="77777777" w:rsidR="00C16A0F" w:rsidRDefault="00C16A0F" w:rsidP="00C16A0F">
            <w:pPr>
              <w:spacing w:after="0" w:line="276" w:lineRule="auto"/>
              <w:jc w:val="center"/>
              <w:rPr>
                <w:rFonts w:ascii="GHEA Grapalat" w:eastAsia="GHEA Grapalat" w:hAnsi="GHEA Grapalat" w:cs="GHEA Grapalat"/>
                <w:color w:val="000000"/>
                <w:sz w:val="24"/>
                <w:szCs w:val="24"/>
                <w:lang w:val="hy-AM"/>
              </w:rPr>
            </w:pPr>
            <w:r w:rsidRPr="00C16A0F">
              <w:rPr>
                <w:rFonts w:ascii="GHEA Grapalat" w:eastAsia="GHEA Grapalat" w:hAnsi="GHEA Grapalat" w:cs="GHEA Grapalat"/>
                <w:color w:val="000000"/>
                <w:sz w:val="24"/>
                <w:szCs w:val="24"/>
                <w:lang w:val="hy-AM"/>
              </w:rPr>
              <w:t xml:space="preserve">ԿԱՐԾԻՔ «ՀԱՅԱՍՏԱՆԻ ՀԱՆՐԱՊԵՏՈՒԹՅԱՆ ՔՐԵԱԿԱՆ ԴԱՏԱՎԱՐՈՒԹՅԱՆ ՕՐԵՆՍԳՐՔՈՒՄ ՓՈՓՈԽՈՒԹՅՈՒՆՆԵՐ ԵՎ ԼՐԱՑՈՒՄՆԵՐ ԿԱՏԱՐԵԼՈՒ ՄԱՍԻՆ» ՕՐԵՆՔԻ ՆԱԽԱԳԾԻ ՎԵՐԱԲԵՐՅԱԼ </w:t>
            </w:r>
          </w:p>
          <w:p w14:paraId="288466A2" w14:textId="40F1BE80" w:rsidR="00C16A0F" w:rsidRPr="00A515B1" w:rsidRDefault="00C16A0F" w:rsidP="00C16A0F">
            <w:pPr>
              <w:spacing w:after="0" w:line="276" w:lineRule="auto"/>
              <w:jc w:val="center"/>
              <w:rPr>
                <w:rFonts w:ascii="GHEA Grapalat" w:eastAsia="GHEA Grapalat" w:hAnsi="GHEA Grapalat" w:cs="GHEA Grapalat"/>
                <w:color w:val="000000"/>
                <w:sz w:val="24"/>
                <w:szCs w:val="24"/>
                <w:lang w:val="hy-AM"/>
              </w:rPr>
            </w:pPr>
            <w:r w:rsidRPr="00C16A0F">
              <w:rPr>
                <w:rFonts w:ascii="GHEA Grapalat" w:eastAsia="GHEA Grapalat" w:hAnsi="GHEA Grapalat" w:cs="GHEA Grapalat"/>
                <w:color w:val="000000"/>
                <w:sz w:val="24"/>
                <w:szCs w:val="24"/>
                <w:lang w:val="hy-AM"/>
              </w:rPr>
              <w:t>13</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02</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2025թ</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 xml:space="preserve">-ին Իրավական ակտերի նախագծերի հրապարակման միասնական կայքում հրապարակվել է «ՀՀ քրեական դատավարության օրենսգրքում փոփոխություններ և լրացումներ կատարելու մասին» օրենքի նախագիծը , որով առաջարկվում է սահմանել քրեական գործերով վերաքննիչ բողոքների քննության գրավոր ընթացակարգ։ Մասնավորապես, առաջարկվում է ամրագրել վերաքննիչ բողոքները գրավոր ընթացակարգով քննելու ընդհանուր օրենսդրական կանխավարկած, </w:t>
            </w:r>
            <w:r w:rsidRPr="00C16A0F">
              <w:rPr>
                <w:rFonts w:ascii="GHEA Grapalat" w:eastAsia="GHEA Grapalat" w:hAnsi="GHEA Grapalat" w:cs="GHEA Grapalat"/>
                <w:color w:val="000000"/>
                <w:sz w:val="24"/>
                <w:szCs w:val="24"/>
                <w:lang w:val="hy-AM"/>
              </w:rPr>
              <w:lastRenderedPageBreak/>
              <w:t>սահմանելով բացառություններ վերաքննիչ դատարանում ապացույցներ հետազոտելու միջնորդության բավարարման, ինչպես նաև վերաքննիչ բողոքի բանավոր ընթացակարգով քննելու անհրաժեշտության մասին վերաքննիչ դատարանի եզրահանգման գալու դեպքերի համար։ Մինչդեռ, ՀՀ քրեական դատավարության օրենսգրքով սահմանված ընդհանուր կանոնը հակառակն է</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 xml:space="preserve"> դատական վարույթներն իրականացվում են բանավոր, իսկ օրենսգրքով նախատեսված դեպքերում՝ նաև գրավոր ընթացակարգով: Գրավոր ընթացակարգով անցկացվում են, բացառապես, ապացուցողական գործողությունների կատարման դատական երաշխիքների, սեփականության իրավունքի սահմանափակման դատական երաշխիքների, հանրային մասնակիցների վարութային ակտերի (մինչդատական ակտերի) իրավաչափության դատական երաշխիքների վարույթները, </w:t>
            </w:r>
            <w:r w:rsidRPr="00C16A0F">
              <w:rPr>
                <w:rFonts w:ascii="GHEA Grapalat" w:eastAsia="GHEA Grapalat" w:hAnsi="GHEA Grapalat" w:cs="GHEA Grapalat"/>
                <w:color w:val="000000"/>
                <w:sz w:val="24"/>
                <w:szCs w:val="24"/>
                <w:lang w:val="hy-AM"/>
              </w:rPr>
              <w:lastRenderedPageBreak/>
              <w:t>վճռաբեկությունը, հատուկ և բացառիկ վերանայումները։ Օրենսդրական փոփոխությունների հիմքում դրվել է վերաքննիչ դատարանում բողոքների մեծաքանակության խնդիրը, դատարանի ծանրաբեռնվածության թեթևացման և գործերի քննության ողջամիտ ժամկետների պահպանման անհրաժեշտությունը։ Այսպես, չնայած, ՀՀ դատական և իրավական բարեփոխումների 2021-2026թթ</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 xml:space="preserve">-ի ռազմավարությամբ ընդգծվել է դատարանների ծանրաբեռնվածության թեթևացման անհրաժեշտությունը, սակայն, միևնույն ժամանակ սահմանվել են կոնկրետ ուղղություններ, որոնք հանգեցնելու էին դատարանների թեթևացմանը, և դրանք որևէ առնչություն չունեն դատարաններում դատական վարույթի իրականացման ձևերի՝ գրավոր և բանավոր ընթացակարգերի փոփոխության հետ։ Ըստ նախագծով առաջարկվող փոփոխությունների՝ քրեական վարույթներով վերաքննիչ բողոքները </w:t>
            </w:r>
            <w:r w:rsidRPr="00C16A0F">
              <w:rPr>
                <w:rFonts w:ascii="GHEA Grapalat" w:eastAsia="GHEA Grapalat" w:hAnsi="GHEA Grapalat" w:cs="GHEA Grapalat"/>
                <w:color w:val="000000"/>
                <w:sz w:val="24"/>
                <w:szCs w:val="24"/>
                <w:lang w:val="hy-AM"/>
              </w:rPr>
              <w:lastRenderedPageBreak/>
              <w:t xml:space="preserve">կարող են քննվել բանավոր ընթացակարգով՝ վարույթի մասնակիցների կողմից դատարանին ներկայացված ապացույցներ հետազոտելու միջնորդության բավարարման դեպքում։ Մասնավորապես, վարույթի մասնակիցներն իրավունք ունեն իրենց բողոքի, ինչպես նաև մյուս կողմի բողոքի կապակցությամբ տրված պատասխանի փաստարկումները հաստատելու համար դատարան ներկայացնելու նոր ապացույցներ, միջնորդելու ցուցմունք տալու համար դատարան հրավիրել իրենց նշած անձին, նշանակելու փորձաքննություն, պահանջելու իրենց համար ոչ մատչելի ապացույցներ, եթե հիմնավորում են, որ օբյեկտիվորեն հնարավորություն չեն ունեցել, կամ օբյեկտիվ անհրաժեշտություն չի եղել հետազոտելու այդ ապացույցները, հրավիրելու տվյալ անձին կամ առաջին ատյանի դատարանում միջնորդելու նշանակել փորձաքննություն, կամ </w:t>
            </w:r>
            <w:r w:rsidRPr="00C16A0F">
              <w:rPr>
                <w:rFonts w:ascii="GHEA Grapalat" w:eastAsia="GHEA Grapalat" w:hAnsi="GHEA Grapalat" w:cs="GHEA Grapalat"/>
                <w:color w:val="000000"/>
                <w:sz w:val="24"/>
                <w:szCs w:val="24"/>
                <w:lang w:val="hy-AM"/>
              </w:rPr>
              <w:lastRenderedPageBreak/>
              <w:t xml:space="preserve">հիմնավորում են, որ ներկայացված միջնորդությունն առաջին ատյանի դատարանի կողմից մերժվել է անհիմն: Հարկ է նկատել, որ ապացույցներ հետազոտելու միջնորդությունը բավարարելու համար ՀՀ քրեական դատավարության օրենսգիրքը սահմանել է պահանջի հիմնավորման բարձր շեմ, որը բազմաթիվ քրեական վարույթներով կարող է չհաղթահարվել և միջնորդությունները կարող են մերժվել։ Մինչդեռ, անձը չպետք է կաշկանդված լինի բացառապես դատարանի կողմից միջնորդության բավարարման դեպքում իր գործով վերաքննիչ քննության դատական նիստին մասնակցելու իրավունք ձեռք բերելու պայմանով։ Դատարանում դատական նիստով գործի քննությանը մասնակցելը անձի արդար դատաքննության, գործի հրապարակային քննության՝ բանավոր լսման իրավունքն է (ՄԻԵԿ հոդված 6, ՀՀ Սահմանադրություն հոդված 63), հետևաբար դատական նիստին </w:t>
            </w:r>
            <w:r w:rsidRPr="00C16A0F">
              <w:rPr>
                <w:rFonts w:ascii="GHEA Grapalat" w:eastAsia="GHEA Grapalat" w:hAnsi="GHEA Grapalat" w:cs="GHEA Grapalat"/>
                <w:color w:val="000000"/>
                <w:sz w:val="24"/>
                <w:szCs w:val="24"/>
                <w:lang w:val="hy-AM"/>
              </w:rPr>
              <w:lastRenderedPageBreak/>
              <w:t xml:space="preserve">մասնակցելու համար լրացուցիչ հիմնավորման բեռի, նախապայմանների նախատեսումը հանդիսանում է քրեադատավարական սկզբունքների խախտում՝ դատական պաշտպանության ապահովման սկզբունքի՝ դատաքննության իրավունքի, կողմերի հավասարության և մրցակցության սկզբունքի (ՀՀ քրեական դատավարության օրենսգիրք հոդված 21, 23)։ Նկատի ունենալով, որ քրեական արդարադատության համակարգում առաջնային են ոչ միայն գործի փաստական հանգամանքները, այլ նաև հանցանք կատարած անձին բնութագրող տվյալները (պատժի անհատականացման սկզբունք), կարևոր է, որ վերաքննիչ բողոքների քննության ընթացքում դատարանն անմիջականորեն շփվի արարքը կատարած անձի հետ: Հակառակ պարագայում ստացվում է, որ անձի նկատմամբ առաջին ատյանի դատարանը նշանակում է պատիժ, այդ թվում՝ նաև հաշվի առնելով նրան բնութագրող </w:t>
            </w:r>
            <w:r w:rsidRPr="00C16A0F">
              <w:rPr>
                <w:rFonts w:ascii="GHEA Grapalat" w:eastAsia="GHEA Grapalat" w:hAnsi="GHEA Grapalat" w:cs="GHEA Grapalat"/>
                <w:color w:val="000000"/>
                <w:sz w:val="24"/>
                <w:szCs w:val="24"/>
                <w:lang w:val="hy-AM"/>
              </w:rPr>
              <w:lastRenderedPageBreak/>
              <w:t xml:space="preserve">տվյալները և նրա հետ դատաքննության ընթացքում ունեցած շփումը, սակայն պատժի իրավաչափության վերաբերյալ վերաքննիչ բողոքի քննության շրջանակում վերաքննիչ դատարանը չի ունենում նույն հնարավորությունը: Եթե վերաքննիչ դատարանը պետք է գործը քննի փաստերի ու իրավունքի տեսանկյունից և մեղավորության կամ անմեղության հարցի ամբողջական գնահատում կատարի, ապա չի կարող հարցի վերաբերյալ որոշում կայացնել առանց մեղադրյալի կողմից անձամբ ներկայացված այն ապացույցների ուղղակի գնահատման, որոնք տրամադրվել են՝ ապացուցելու համար, որ ենթադրաբար քրեական իրավախախտում համարվող արարքը ինքը չի կատարել (Popovici-ն ընդդեմ Մոլդովայի, § 68, Lacadena Calero-ն ընդդեմ Իսպանիայի § 38): Այն սկզբունքը, որ լսումները պետք է հրապարակային անցկացվեն, ներառում է մեղադրյալի կողմից վերաքննիչ դատարանում անձամբ ապացույցներ ներկայացնելու իրավունքը: </w:t>
            </w:r>
            <w:r w:rsidRPr="00C16A0F">
              <w:rPr>
                <w:rFonts w:ascii="GHEA Grapalat" w:eastAsia="GHEA Grapalat" w:hAnsi="GHEA Grapalat" w:cs="GHEA Grapalat"/>
                <w:color w:val="000000"/>
                <w:sz w:val="24"/>
                <w:szCs w:val="24"/>
                <w:lang w:val="hy-AM"/>
              </w:rPr>
              <w:lastRenderedPageBreak/>
              <w:t xml:space="preserve">Այդ տեսանկյունից՝ հրապարակայնության սկզբունքը հետամուտ է լինում մեղադրյալի՝ պաշտպանության մասով իրավունքները երաշխավորելու նպատակին (Tierce-ը և այլք ընդդեմ Սան Մարինոյի, § 95): Դատավարության մասնակիցը իր գործով դատական նիստում բանավոր լսվելու հարցում չպետք է կաշկանդված լինի Վերաքննիչ դատարանի հայեցողությամբ։ Միաժամանակ, յուրաքանչյուր գործով կախված այս կամ այն թվարկված գործոնով, դատարանը կարող է տարբերակված վերաբերմունք և ոչ միատեսակ պրակտիկա դրսևորել բողոքների քննության ընթացակարգերի որոշման հարցում։ Ավելին, գործի բանավոր ընթացակարգով քննությունը նպաստում է դատական վարույթների թափանցիկությանը` ամրապնդելով հանրային վստահությունը իրավական (դատական) համակարգի նկատմամբ: Բանավոր լսումների սահմանափակումը Հայաստանում կարող է բացասաբար </w:t>
            </w:r>
            <w:r w:rsidRPr="00C16A0F">
              <w:rPr>
                <w:rFonts w:ascii="GHEA Grapalat" w:eastAsia="GHEA Grapalat" w:hAnsi="GHEA Grapalat" w:cs="GHEA Grapalat"/>
                <w:color w:val="000000"/>
                <w:sz w:val="24"/>
                <w:szCs w:val="24"/>
                <w:lang w:val="hy-AM"/>
              </w:rPr>
              <w:lastRenderedPageBreak/>
              <w:t xml:space="preserve">ազդել գործընթացի թափանցիկության և օրինականության վերաբերյալ հանրային ընկալումների վրա և խարխլել դատական իշխանության նկատմամբ հանրային վստահությունը: Քրեական գործերով վերաքննիչ բողոքների քննության գրավոր ընթացակարգը չի կարող երաշխիքներ ապահովել դատաքննության մասնակիցների արդար դատաքննության իրավունքի արդյունավետ իրացման համար: Ելնելով, նշված նկատառումներից, առաջարկում ենք Նախագծից հանել Օրենսգրքի 366-րդ հոդվածի 3-րդ մասի փոփոխությունը և դրանից բխող մյուս փոփոխությունները և լրացումները՝ բացառելու արդար դատաքննության իրավունքի ոտնահարման հնարավորությունները։ Իրավունքների պաշտպանություն առանց սահմանների ՀԿ Թրանսփարենսի ինթերնեշնլ հակակոռուպցիոն կենտրոն Իրավունքի զարգացման և պաշտպանության հիմնադրամ Հելսինկյան քաղաքացիական </w:t>
            </w:r>
            <w:r w:rsidRPr="00C16A0F">
              <w:rPr>
                <w:rFonts w:ascii="GHEA Grapalat" w:eastAsia="GHEA Grapalat" w:hAnsi="GHEA Grapalat" w:cs="GHEA Grapalat"/>
                <w:color w:val="000000"/>
                <w:sz w:val="24"/>
                <w:szCs w:val="24"/>
                <w:lang w:val="hy-AM"/>
              </w:rPr>
              <w:lastRenderedPageBreak/>
              <w:t>ասամբլեայի Վանաձորի գրասենյակ Ժողովրդավարության զարգացման հիմնադրամ</w:t>
            </w:r>
            <w:r w:rsidRPr="00C16A0F">
              <w:rPr>
                <w:rFonts w:ascii="GHEA Grapalat" w:eastAsia="GHEA Grapalat" w:hAnsi="GHEA Grapalat" w:cs="GHEA Grapalat"/>
                <w:color w:val="000000"/>
                <w:sz w:val="24"/>
                <w:szCs w:val="24"/>
                <w:lang w:val="hy-AM"/>
              </w:rPr>
              <w:tab/>
            </w:r>
            <w:r w:rsidRPr="00C16A0F">
              <w:rPr>
                <w:rFonts w:ascii="GHEA Grapalat" w:eastAsia="GHEA Grapalat" w:hAnsi="GHEA Grapalat" w:cs="GHEA Grapalat"/>
                <w:color w:val="000000"/>
                <w:sz w:val="24"/>
                <w:szCs w:val="24"/>
                <w:lang w:val="hy-AM"/>
              </w:rPr>
              <w:tab/>
            </w:r>
          </w:p>
        </w:tc>
        <w:tc>
          <w:tcPr>
            <w:tcW w:w="3622" w:type="dxa"/>
            <w:tcBorders>
              <w:top w:val="single" w:sz="1" w:space="0" w:color="000000"/>
              <w:left w:val="single" w:sz="1" w:space="0" w:color="000000"/>
              <w:bottom w:val="single" w:sz="1" w:space="0" w:color="000000"/>
              <w:right w:val="single" w:sz="1" w:space="0" w:color="000000"/>
            </w:tcBorders>
          </w:tcPr>
          <w:p w14:paraId="1495093F" w14:textId="77777777" w:rsidR="00C16A0F" w:rsidRPr="006149E9" w:rsidRDefault="00C16A0F" w:rsidP="00C16A0F">
            <w:pPr>
              <w:spacing w:after="0" w:line="276" w:lineRule="auto"/>
              <w:jc w:val="center"/>
              <w:rPr>
                <w:rFonts w:ascii="GHEA Grapalat" w:eastAsia="GHEA Grapalat" w:hAnsi="GHEA Grapalat" w:cs="GHEA Grapalat"/>
                <w:b/>
                <w:bCs/>
                <w:color w:val="000000"/>
                <w:sz w:val="24"/>
                <w:szCs w:val="24"/>
                <w:lang w:val="hy-AM"/>
              </w:rPr>
            </w:pPr>
            <w:r w:rsidRPr="006149E9">
              <w:rPr>
                <w:rFonts w:ascii="GHEA Grapalat" w:eastAsia="GHEA Grapalat" w:hAnsi="GHEA Grapalat" w:cs="GHEA Grapalat"/>
                <w:b/>
                <w:bCs/>
                <w:color w:val="000000"/>
                <w:sz w:val="24"/>
                <w:szCs w:val="24"/>
                <w:lang w:val="hy-AM"/>
              </w:rPr>
              <w:lastRenderedPageBreak/>
              <w:t xml:space="preserve">Չի ընդունվել։ </w:t>
            </w:r>
          </w:p>
          <w:p w14:paraId="74409370" w14:textId="77777777" w:rsidR="00BF18C0" w:rsidRDefault="00C16A0F" w:rsidP="00BF18C0">
            <w:pPr>
              <w:spacing w:after="0" w:line="276" w:lineRule="auto"/>
              <w:jc w:val="center"/>
              <w:rPr>
                <w:rFonts w:ascii="GHEA Grapalat" w:eastAsia="GHEA Grapalat" w:hAnsi="GHEA Grapalat" w:cs="GHEA Grapalat"/>
                <w:color w:val="000000"/>
                <w:sz w:val="24"/>
                <w:szCs w:val="24"/>
                <w:lang w:val="hy-AM"/>
              </w:rPr>
            </w:pPr>
            <w:r w:rsidRPr="00C16A0F">
              <w:rPr>
                <w:rFonts w:ascii="GHEA Grapalat" w:eastAsia="GHEA Grapalat" w:hAnsi="GHEA Grapalat" w:cs="GHEA Grapalat"/>
                <w:color w:val="000000"/>
                <w:sz w:val="24"/>
                <w:szCs w:val="24"/>
                <w:lang w:val="hy-AM"/>
              </w:rPr>
              <w:t>ՀՀ դատական և իրավական բարեփոխումների 2021-2026թթ</w:t>
            </w:r>
            <w:r w:rsidRPr="00C16A0F">
              <w:rPr>
                <w:rFonts w:ascii="Microsoft JhengHei" w:eastAsia="Microsoft JhengHei" w:hAnsi="Microsoft JhengHei" w:cs="Microsoft JhengHei" w:hint="eastAsia"/>
                <w:color w:val="000000"/>
                <w:sz w:val="24"/>
                <w:szCs w:val="24"/>
                <w:lang w:val="hy-AM"/>
              </w:rPr>
              <w:t>․</w:t>
            </w:r>
            <w:r w:rsidRPr="00C16A0F">
              <w:rPr>
                <w:rFonts w:ascii="GHEA Grapalat" w:eastAsia="GHEA Grapalat" w:hAnsi="GHEA Grapalat" w:cs="GHEA Grapalat"/>
                <w:color w:val="000000"/>
                <w:sz w:val="24"/>
                <w:szCs w:val="24"/>
                <w:lang w:val="hy-AM"/>
              </w:rPr>
              <w:t>-ի ռազմավարությամբ ընդգծվել է դատարանների ծանրաբեռնվածության թեթևացման անհրաժեշտությունը, սահմանվել են կոնկրետ ուղղություններ,</w:t>
            </w:r>
            <w:r>
              <w:rPr>
                <w:rFonts w:ascii="GHEA Grapalat" w:eastAsia="GHEA Grapalat" w:hAnsi="GHEA Grapalat" w:cs="GHEA Grapalat"/>
                <w:color w:val="000000"/>
                <w:sz w:val="24"/>
                <w:szCs w:val="24"/>
                <w:lang w:val="hy-AM"/>
              </w:rPr>
              <w:t xml:space="preserve"> այդ թվում՝ դատավարական օրենսդրության կիրառման </w:t>
            </w:r>
            <w:r w:rsidR="00BF18C0">
              <w:rPr>
                <w:rFonts w:ascii="GHEA Grapalat" w:eastAsia="GHEA Grapalat" w:hAnsi="GHEA Grapalat" w:cs="GHEA Grapalat"/>
                <w:color w:val="000000"/>
                <w:sz w:val="24"/>
                <w:szCs w:val="24"/>
                <w:lang w:val="hy-AM"/>
              </w:rPr>
              <w:t xml:space="preserve">մոնիթորինգի և </w:t>
            </w:r>
            <w:r>
              <w:rPr>
                <w:rFonts w:ascii="GHEA Grapalat" w:eastAsia="GHEA Grapalat" w:hAnsi="GHEA Grapalat" w:cs="GHEA Grapalat"/>
                <w:color w:val="000000"/>
                <w:sz w:val="24"/>
                <w:szCs w:val="24"/>
                <w:lang w:val="hy-AM"/>
              </w:rPr>
              <w:t>արդյունքում վեր հանված խնդիրնե</w:t>
            </w:r>
            <w:r w:rsidR="00BF18C0">
              <w:rPr>
                <w:rFonts w:ascii="GHEA Grapalat" w:eastAsia="GHEA Grapalat" w:hAnsi="GHEA Grapalat" w:cs="GHEA Grapalat"/>
                <w:color w:val="000000"/>
                <w:sz w:val="24"/>
                <w:szCs w:val="24"/>
                <w:lang w:val="hy-AM"/>
              </w:rPr>
              <w:t xml:space="preserve">րի լուծման ուղղության, որին ուղղված կարևոր քայլերից է Նախագծող առաջարկվող կարգավորումները։ Հարկ է նկատել, որ ռազմավարական </w:t>
            </w:r>
            <w:r w:rsidR="00BF18C0">
              <w:rPr>
                <w:rFonts w:ascii="GHEA Grapalat" w:eastAsia="GHEA Grapalat" w:hAnsi="GHEA Grapalat" w:cs="GHEA Grapalat"/>
                <w:color w:val="000000"/>
                <w:sz w:val="24"/>
                <w:szCs w:val="24"/>
                <w:lang w:val="hy-AM"/>
              </w:rPr>
              <w:lastRenderedPageBreak/>
              <w:t>փաստաթղթում նշվել են Նախարարության նշյալ ոլորտում գործունեության առաջնահերթություններն ու թիրախները։</w:t>
            </w:r>
          </w:p>
          <w:p w14:paraId="409CCB5F" w14:textId="233D7084" w:rsidR="00C16A0F" w:rsidRPr="00BF18C0" w:rsidRDefault="00BF18C0" w:rsidP="00BF18C0">
            <w:pPr>
              <w:spacing w:after="0" w:line="276" w:lineRule="auto"/>
              <w:jc w:val="center"/>
              <w:rPr>
                <w:rFonts w:ascii="GHEA Grapalat" w:eastAsia="GHEA Grapalat" w:hAnsi="GHEA Grapalat" w:cs="GHEA Grapalat"/>
                <w:color w:val="000000"/>
                <w:sz w:val="24"/>
                <w:szCs w:val="24"/>
                <w:lang w:val="hy-AM"/>
              </w:rPr>
            </w:pPr>
            <w:r>
              <w:rPr>
                <w:rFonts w:ascii="GHEA Grapalat" w:eastAsia="MS Mincho" w:hAnsi="GHEA Grapalat" w:cs="Sylfaen"/>
                <w:sz w:val="24"/>
                <w:szCs w:val="24"/>
                <w:lang w:val="hy-AM"/>
              </w:rPr>
              <w:t>Այս համատեքստում, ինչպես նշվել է Նախագծի հիմնավորմամբ՝ ուսումնասիրվել են նաև Մարդու իրավունքների եվրոպական դատարանի նախադեպային որոշումները։ Այսպես, ո</w:t>
            </w:r>
            <w:r w:rsidR="00C16A0F" w:rsidRPr="002B7211">
              <w:rPr>
                <w:rFonts w:ascii="GHEA Grapalat" w:eastAsia="MS Mincho" w:hAnsi="GHEA Grapalat" w:cs="Sylfaen"/>
                <w:sz w:val="24"/>
                <w:szCs w:val="24"/>
                <w:lang w:val="hy-AM"/>
              </w:rPr>
              <w:t>ւշադրության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է</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արժանի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այն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հանգամանքը</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որ</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ըստ</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Եվրոպական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դատարանի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նախադեպային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իրավունքի</w:t>
            </w:r>
            <w:r>
              <w:rPr>
                <w:rFonts w:ascii="GHEA Grapalat" w:eastAsia="MS Mincho" w:hAnsi="GHEA Grapalat" w:cs="Sylfaen"/>
                <w:sz w:val="24"/>
                <w:szCs w:val="24"/>
                <w:lang w:val="hy-AM"/>
              </w:rPr>
              <w:t>՝</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եթե</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վերաքննության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կարգով</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քննվում</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բացառապես</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իրավունքի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հարցեր</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և</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ոչ</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մի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անդրադարձ</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չի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կատարվում</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փաստերին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ապա</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Կոնվենցիայի</w:t>
            </w:r>
            <w:r w:rsidR="00C16A0F" w:rsidRPr="002B7211">
              <w:rPr>
                <w:rFonts w:ascii="GHEA Grapalat" w:eastAsia="MS Mincho" w:hAnsi="GHEA Grapalat" w:cs="MS Mincho"/>
                <w:sz w:val="24"/>
                <w:szCs w:val="24"/>
                <w:lang w:val="hy-AM"/>
              </w:rPr>
              <w:t xml:space="preserve"> 6-</w:t>
            </w:r>
            <w:r w:rsidR="00C16A0F" w:rsidRPr="002B7211">
              <w:rPr>
                <w:rFonts w:ascii="GHEA Grapalat" w:eastAsia="MS Mincho" w:hAnsi="GHEA Grapalat" w:cs="Sylfaen"/>
                <w:sz w:val="24"/>
                <w:szCs w:val="24"/>
                <w:lang w:val="hy-AM"/>
              </w:rPr>
              <w:t>րդ</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հոդվածով</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նախատեսված</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երաշխիքները</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համարվում</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պահպանված</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անգամ</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եթե</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lastRenderedPageBreak/>
              <w:t>մեղադրյալը</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հնարավորություն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չունի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հրապարակային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նիստի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մասնակցության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պայմանով</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եթե</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առաջին</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ատյանի</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դատարանում</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քննությունը</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եղել</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է</w:t>
            </w:r>
            <w:r w:rsidR="00C16A0F" w:rsidRPr="002B7211">
              <w:rPr>
                <w:rFonts w:ascii="GHEA Grapalat" w:eastAsia="MS Mincho" w:hAnsi="GHEA Grapalat" w:cs="MS Mincho"/>
                <w:sz w:val="24"/>
                <w:szCs w:val="24"/>
                <w:lang w:val="hy-AM"/>
              </w:rPr>
              <w:t xml:space="preserve"> </w:t>
            </w:r>
            <w:r w:rsidR="00C16A0F" w:rsidRPr="002B7211">
              <w:rPr>
                <w:rFonts w:ascii="GHEA Grapalat" w:eastAsia="MS Mincho" w:hAnsi="GHEA Grapalat" w:cs="Sylfaen"/>
                <w:sz w:val="24"/>
                <w:szCs w:val="24"/>
                <w:lang w:val="hy-AM"/>
              </w:rPr>
              <w:t>հրապարակային</w:t>
            </w:r>
            <w:r w:rsidR="00C16A0F" w:rsidRPr="002B7211">
              <w:rPr>
                <w:rFonts w:ascii="GHEA Grapalat" w:eastAsia="MS Mincho" w:hAnsi="GHEA Grapalat" w:cs="MS Mincho"/>
                <w:sz w:val="24"/>
                <w:szCs w:val="24"/>
                <w:lang w:val="hy-AM"/>
              </w:rPr>
              <w:t xml:space="preserve"> (Sutter v. Switzerland, 1984 § 30; Fejde v. Sweden, 1991, § 31, Mtchedlishvili v. Georgia, 2021, § 31):</w:t>
            </w:r>
          </w:p>
          <w:p w14:paraId="6935C620" w14:textId="457659E8" w:rsidR="00C16A0F" w:rsidRDefault="00BF18C0" w:rsidP="00C16A0F">
            <w:pPr>
              <w:pStyle w:val="NoSpacing"/>
              <w:spacing w:line="276" w:lineRule="auto"/>
              <w:jc w:val="center"/>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Մեկ այլ որոշմամբ ՄԻԵԴ արձանագրել է, որ </w:t>
            </w:r>
            <w:r w:rsidR="00C16A0F" w:rsidRPr="00C16A0F">
              <w:rPr>
                <w:rFonts w:ascii="GHEA Grapalat" w:eastAsia="MS Mincho" w:hAnsi="GHEA Grapalat" w:cs="MS Mincho"/>
                <w:sz w:val="24"/>
                <w:szCs w:val="24"/>
                <w:lang w:val="hy-AM"/>
              </w:rPr>
              <w:t xml:space="preserve">երբ առաջին ատյանի դատարանում գործը քննվել է հրապարակային նիստերի միջոցով, վերաքննիչ դատարանում գրավոր ընթացակարգը կարող է արդարացված լինել ներպետական վերաքննության համակարգի, վերաքննիչ դատարանի լիազորությունների շրջանակի, մեղադրյալի շահերի ներկայացման և պաշտպանության եղանակի, </w:t>
            </w:r>
            <w:r w:rsidR="00C16A0F" w:rsidRPr="00C16A0F">
              <w:rPr>
                <w:rFonts w:ascii="GHEA Grapalat" w:eastAsia="MS Mincho" w:hAnsi="GHEA Grapalat" w:cs="MS Mincho"/>
                <w:sz w:val="24"/>
                <w:szCs w:val="24"/>
                <w:lang w:val="hy-AM"/>
              </w:rPr>
              <w:lastRenderedPageBreak/>
              <w:t>ինչպես նաև տվյալ գործով քննության ենթակա հարցերի բնույթի համատեքստում (Fejde v. Sweden, 1991, § 27, Mtchedlishvili v. Georgia, 2021, § 31):</w:t>
            </w:r>
          </w:p>
          <w:p w14:paraId="3B4EE85E" w14:textId="77777777" w:rsidR="00BF18C0" w:rsidRDefault="00BF18C0" w:rsidP="00BF18C0">
            <w:pPr>
              <w:pStyle w:val="NoSpacing"/>
              <w:spacing w:line="276" w:lineRule="auto"/>
              <w:jc w:val="center"/>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Ձևավորված նախադեպային իրավունքում ըստ ՄԻԵԴ-ի՝ </w:t>
            </w:r>
            <w:r w:rsidR="00C16A0F" w:rsidRPr="00C16A0F">
              <w:rPr>
                <w:rFonts w:ascii="GHEA Grapalat" w:eastAsia="MS Mincho" w:hAnsi="GHEA Grapalat" w:cs="MS Mincho"/>
                <w:sz w:val="24"/>
                <w:szCs w:val="24"/>
                <w:lang w:val="hy-AM"/>
              </w:rPr>
              <w:t>մեղադրյալի մասնակցությունը վերաքննիչ վարույթին չունի նույն վճռորոշ նշանակությունը, ինչպես այն ունի առաջին ատյանի դատաքննությանը (Hermi v. Italy [GC], 2006, § 60):</w:t>
            </w:r>
          </w:p>
          <w:p w14:paraId="7A621151" w14:textId="60F1A519" w:rsidR="00C16A0F" w:rsidRPr="002B01FF" w:rsidRDefault="00BF18C0" w:rsidP="00BF18C0">
            <w:pPr>
              <w:pStyle w:val="NoSpacing"/>
              <w:spacing w:line="276" w:lineRule="auto"/>
              <w:jc w:val="center"/>
              <w:rPr>
                <w:rFonts w:ascii="GHEA Grapalat" w:eastAsia="GHEA Grapalat" w:hAnsi="GHEA Grapalat" w:cs="GHEA Grapalat"/>
                <w:color w:val="000000"/>
                <w:sz w:val="24"/>
                <w:szCs w:val="24"/>
                <w:lang w:val="hy-AM"/>
              </w:rPr>
            </w:pPr>
            <w:r>
              <w:rPr>
                <w:rFonts w:ascii="GHEA Grapalat" w:eastAsia="MS Mincho" w:hAnsi="GHEA Grapalat" w:cs="MS Mincho"/>
                <w:sz w:val="24"/>
                <w:szCs w:val="24"/>
                <w:lang w:val="hy-AM"/>
              </w:rPr>
              <w:t xml:space="preserve">Այսպիսով, անհրաժեշտ է կրկին արձանագրել, որ Նախագծող առաջարկվող կարգավորումները ոչ միայն չեն սահմանափակում անձի արդար դատաքննության իրավունքը, այլ նաև միտված են պատշաճ մակարդակով երաշխավորելու արդար դատաքննութան </w:t>
            </w:r>
            <w:r>
              <w:rPr>
                <w:rFonts w:ascii="GHEA Grapalat" w:eastAsia="MS Mincho" w:hAnsi="GHEA Grapalat" w:cs="MS Mincho"/>
                <w:sz w:val="24"/>
                <w:szCs w:val="24"/>
                <w:lang w:val="hy-AM"/>
              </w:rPr>
              <w:lastRenderedPageBreak/>
              <w:t>իրավունքը, ապահովելու գործերի ողջամիտ քննություն, նպաստելու արդարադատության արդյունավետության բարձրացմանն ու դատարանների ծանրաբեռնվածության թեթևացմանը։</w:t>
            </w:r>
            <w:r w:rsidR="00C16A0F" w:rsidRPr="00C16A0F">
              <w:rPr>
                <w:rFonts w:ascii="GHEA Grapalat" w:eastAsia="MS Mincho" w:hAnsi="GHEA Grapalat" w:cs="MS Mincho"/>
                <w:sz w:val="24"/>
                <w:szCs w:val="24"/>
                <w:lang w:val="hy-AM"/>
              </w:rPr>
              <w:t xml:space="preserve"> </w:t>
            </w:r>
          </w:p>
        </w:tc>
        <w:tc>
          <w:tcPr>
            <w:tcW w:w="2815" w:type="dxa"/>
            <w:tcBorders>
              <w:top w:val="single" w:sz="1" w:space="0" w:color="000000"/>
              <w:left w:val="single" w:sz="1" w:space="0" w:color="000000"/>
              <w:bottom w:val="single" w:sz="1" w:space="0" w:color="000000"/>
              <w:right w:val="single" w:sz="1" w:space="0" w:color="000000"/>
            </w:tcBorders>
          </w:tcPr>
          <w:p w14:paraId="1F3F40AC" w14:textId="77777777" w:rsidR="00C16A0F" w:rsidRPr="002B01FF" w:rsidRDefault="00C16A0F" w:rsidP="00C16A0F">
            <w:pPr>
              <w:spacing w:after="0" w:line="276" w:lineRule="auto"/>
              <w:jc w:val="center"/>
              <w:rPr>
                <w:sz w:val="24"/>
                <w:szCs w:val="24"/>
                <w:lang w:val="hy-AM"/>
              </w:rPr>
            </w:pPr>
          </w:p>
        </w:tc>
      </w:tr>
    </w:tbl>
    <w:p w14:paraId="6DAD2FA0" w14:textId="77777777" w:rsidR="00D948A4" w:rsidRPr="002B01FF" w:rsidRDefault="00D948A4" w:rsidP="00C16A0F">
      <w:pPr>
        <w:spacing w:after="0" w:line="276" w:lineRule="auto"/>
        <w:rPr>
          <w:sz w:val="24"/>
          <w:szCs w:val="24"/>
          <w:lang w:val="hy-AM"/>
        </w:rPr>
      </w:pPr>
    </w:p>
    <w:p w14:paraId="6754EC17" w14:textId="77777777" w:rsidR="006C256E" w:rsidRPr="002B01FF" w:rsidRDefault="006C256E" w:rsidP="00C16A0F">
      <w:pPr>
        <w:spacing w:after="0" w:line="276" w:lineRule="auto"/>
        <w:rPr>
          <w:sz w:val="24"/>
          <w:szCs w:val="24"/>
          <w:lang w:val="hy-AM"/>
        </w:rPr>
      </w:pPr>
    </w:p>
    <w:sectPr w:rsidR="006C256E" w:rsidRPr="002B01F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561"/>
    <w:rsid w:val="002A1A48"/>
    <w:rsid w:val="002A5307"/>
    <w:rsid w:val="002B01FF"/>
    <w:rsid w:val="00363D0F"/>
    <w:rsid w:val="00552BAC"/>
    <w:rsid w:val="006149E9"/>
    <w:rsid w:val="006C256E"/>
    <w:rsid w:val="00866A30"/>
    <w:rsid w:val="00957DEF"/>
    <w:rsid w:val="00A515B1"/>
    <w:rsid w:val="00BF18C0"/>
    <w:rsid w:val="00C16A0F"/>
    <w:rsid w:val="00C84DE2"/>
    <w:rsid w:val="00D948A4"/>
    <w:rsid w:val="00F14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B8F8"/>
  <w15:chartTrackingRefBased/>
  <w15:docId w15:val="{2E848617-E8AB-494D-A8A4-A035A68C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8A4"/>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D948A4"/>
    <w:pPr>
      <w:jc w:val="center"/>
    </w:pPr>
    <w:rPr>
      <w:rFonts w:ascii="GHEA Grapalat" w:eastAsia="GHEA Grapalat" w:hAnsi="GHEA Grapalat" w:cs="GHEA Grapalat"/>
      <w:b/>
      <w:bCs/>
      <w:caps/>
      <w:color w:val="000000"/>
      <w:sz w:val="28"/>
      <w:szCs w:val="28"/>
    </w:rPr>
  </w:style>
  <w:style w:type="paragraph" w:styleId="NoSpacing">
    <w:name w:val="No Spacing"/>
    <w:uiPriority w:val="1"/>
    <w:qFormat/>
    <w:rsid w:val="00C16A0F"/>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437120">
      <w:bodyDiv w:val="1"/>
      <w:marLeft w:val="0"/>
      <w:marRight w:val="0"/>
      <w:marTop w:val="0"/>
      <w:marBottom w:val="0"/>
      <w:divBdr>
        <w:top w:val="none" w:sz="0" w:space="0" w:color="auto"/>
        <w:left w:val="none" w:sz="0" w:space="0" w:color="auto"/>
        <w:bottom w:val="none" w:sz="0" w:space="0" w:color="auto"/>
        <w:right w:val="none" w:sz="0" w:space="0" w:color="auto"/>
      </w:divBdr>
    </w:div>
    <w:div w:id="106726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Lenovo-PC</dc:creator>
  <cp:keywords/>
  <dc:description/>
  <cp:lastModifiedBy>Mane Gevorgyan</cp:lastModifiedBy>
  <cp:revision>2</cp:revision>
  <dcterms:created xsi:type="dcterms:W3CDTF">2025-05-16T08:50:00Z</dcterms:created>
  <dcterms:modified xsi:type="dcterms:W3CDTF">2025-05-16T08:50:00Z</dcterms:modified>
</cp:coreProperties>
</file>