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56D" w:rsidRDefault="004E056D" w:rsidP="004E056D">
      <w:pPr>
        <w:pStyle w:val="ListParagraph"/>
        <w:tabs>
          <w:tab w:val="left" w:pos="993"/>
        </w:tabs>
        <w:spacing w:after="0" w:line="240" w:lineRule="auto"/>
        <w:ind w:left="0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</w:p>
    <w:p w:rsidR="004E056D" w:rsidRDefault="004E056D" w:rsidP="004E056D">
      <w:pPr>
        <w:pStyle w:val="ListParagraph"/>
        <w:tabs>
          <w:tab w:val="left" w:pos="993"/>
        </w:tabs>
        <w:spacing w:after="0" w:line="240" w:lineRule="auto"/>
        <w:ind w:left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4E056D" w:rsidRDefault="004E056D" w:rsidP="004E056D">
      <w:pPr>
        <w:pStyle w:val="ListParagraph"/>
        <w:tabs>
          <w:tab w:val="left" w:pos="993"/>
        </w:tabs>
        <w:spacing w:after="0" w:line="360" w:lineRule="auto"/>
        <w:ind w:left="0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4E056D" w:rsidRDefault="004E056D" w:rsidP="004E056D">
      <w:pPr>
        <w:pStyle w:val="NormalWeb"/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«ՀԱՅԱՍՏԱՆԻ ՀԱՆՐԱՊԵՏՈՒԹՅԱՆ ԿԱՌԱՎԱՐՈՒԹՅԱՆ 2019 ԹՎԱԿԱՆԻ ՆՈՅԵՄԲԵՐԻ 21-Ի N 1667-Ն ՈՐՈՇՄԱՆ ՄԵՋ ՓՈՓՈԽՈՒԹՅՈՒՆՆԵՐ ԿԱՏԱՐԵԼՈՒ ՄԱՍԻՆ» ՀԱՅԱՍՏԱՆԻ ՀԱՆՐԱՊԵՏՈՒԹՅԱՆ ԿԱՌԱՎԱՐՈՒԹՅԱՆ ՈՐՈՇՄԱՆ ԸՆԴՈՒՆՄԱՆ ԱՆՀՐԱԺԵՇՏՈՒԹՅԱՆ</w:t>
      </w:r>
    </w:p>
    <w:p w:rsidR="004E056D" w:rsidRDefault="004E056D" w:rsidP="004E056D">
      <w:pPr>
        <w:numPr>
          <w:ilvl w:val="0"/>
          <w:numId w:val="2"/>
        </w:numPr>
        <w:tabs>
          <w:tab w:val="left" w:pos="0"/>
        </w:tabs>
        <w:spacing w:after="0" w:line="360" w:lineRule="auto"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  <w:r>
        <w:rPr>
          <w:rFonts w:ascii="GHEA Grapalat" w:eastAsia="Tahoma" w:hAnsi="Cambria Math" w:cs="Tahoma"/>
          <w:b/>
          <w:bCs/>
          <w:color w:val="000000"/>
          <w:sz w:val="24"/>
          <w:szCs w:val="24"/>
          <w:lang w:val="hy-AM" w:eastAsia="hy-AM" w:bidi="hy-AM"/>
        </w:rPr>
        <w:t>․</w:t>
      </w:r>
    </w:p>
    <w:p w:rsidR="004E056D" w:rsidRDefault="004E056D" w:rsidP="004E056D">
      <w:pPr>
        <w:pStyle w:val="NormalWeb"/>
        <w:spacing w:before="0" w:beforeAutospacing="0" w:after="0" w:afterAutospacing="0" w:line="360" w:lineRule="auto"/>
        <w:ind w:firstLine="432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 xml:space="preserve">«Հայաստանի Հանրապետության կառավարության 2019 թվականի նոյեմբերի 21-ի N 1667-Ն որոշման մեջ փոփոխություններ կատարելու մասին» Հայաստանի Հանրապետության կառավարության որոշման նախագծի (այսուհետ՝ Նախագիծ) ընդունման անհրաժեշտությունը բխում է 2024 թվականի դեկտեմբերի 5-ին </w:t>
      </w:r>
      <w:r>
        <w:rPr>
          <w:rFonts w:ascii="GHEA Grapalat" w:hAnsi="GHEA Grapalat" w:cs="Sylfaen"/>
          <w:lang w:val="hy-AM"/>
        </w:rPr>
        <w:t>«</w:t>
      </w:r>
      <w:proofErr w:type="spellStart"/>
      <w:r>
        <w:rPr>
          <w:rFonts w:ascii="GHEA Grapalat" w:hAnsi="GHEA Grapalat" w:cs="Sylfaen"/>
          <w:lang w:val="hy-AM"/>
        </w:rPr>
        <w:t>Սևանա</w:t>
      </w:r>
      <w:proofErr w:type="spellEnd"/>
      <w:r>
        <w:rPr>
          <w:rFonts w:ascii="GHEA Grapalat" w:hAnsi="GHEA Grapalat" w:cs="Sylfaen"/>
          <w:lang w:val="hy-AM"/>
        </w:rPr>
        <w:t xml:space="preserve"> լճի մասին» օրենքում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լրացումներ և փոփոխություններ</w:t>
      </w:r>
      <w:r>
        <w:rPr>
          <w:rFonts w:ascii="GHEA Grapalat" w:hAnsi="GHEA Grapalat" w:cs="Sylfaen"/>
          <w:lang w:val="fi-FI"/>
        </w:rPr>
        <w:t xml:space="preserve"> </w:t>
      </w:r>
      <w:r>
        <w:rPr>
          <w:rFonts w:ascii="GHEA Grapalat" w:hAnsi="GHEA Grapalat" w:cs="Sylfaen"/>
          <w:lang w:val="hy-AM"/>
        </w:rPr>
        <w:t>կատարելու</w:t>
      </w:r>
      <w:r>
        <w:rPr>
          <w:rFonts w:ascii="GHEA Grapalat" w:hAnsi="GHEA Grapalat" w:cs="Sylfaen"/>
          <w:lang w:val="fi-FI"/>
        </w:rPr>
        <w:t xml:space="preserve"> </w:t>
      </w:r>
      <w:r>
        <w:rPr>
          <w:rFonts w:ascii="GHEA Grapalat" w:hAnsi="GHEA Grapalat" w:cs="Sylfaen"/>
          <w:lang w:val="hy-AM"/>
        </w:rPr>
        <w:t>մասին»</w:t>
      </w:r>
      <w:r>
        <w:rPr>
          <w:rFonts w:ascii="GHEA Grapalat" w:hAnsi="GHEA Grapalat" w:cs="Sylfaen"/>
          <w:b/>
          <w:bCs/>
          <w:lang w:val="hy-AM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 xml:space="preserve">ՀՕ-480-Ն օրենքի </w:t>
      </w:r>
      <w:r>
        <w:rPr>
          <w:rFonts w:ascii="GHEA Grapalat" w:hAnsi="GHEA Grapalat" w:cs="Sylfaen"/>
          <w:lang w:val="hy-AM"/>
        </w:rPr>
        <w:t>նախագծի</w:t>
      </w:r>
      <w:r>
        <w:rPr>
          <w:rFonts w:ascii="GHEA Grapalat" w:hAnsi="GHEA Grapalat"/>
          <w:bCs/>
          <w:color w:val="000000"/>
          <w:lang w:val="hy-AM"/>
        </w:rPr>
        <w:t xml:space="preserve"> ուժի մեջ մտնելու հանգամանքով: Մինչ օրենքի փոփոխությունները գործող </w:t>
      </w:r>
      <w:proofErr w:type="spellStart"/>
      <w:r>
        <w:rPr>
          <w:rFonts w:ascii="GHEA Grapalat" w:hAnsi="GHEA Grapalat"/>
          <w:bCs/>
          <w:color w:val="000000"/>
          <w:lang w:val="hy-AM"/>
        </w:rPr>
        <w:t>կարգավորումներով</w:t>
      </w:r>
      <w:proofErr w:type="spellEnd"/>
      <w:r>
        <w:rPr>
          <w:rFonts w:ascii="GHEA Grapalat" w:hAnsi="GHEA Grapalat"/>
          <w:bCs/>
          <w:color w:val="000000"/>
          <w:lang w:val="hy-AM"/>
        </w:rPr>
        <w:t xml:space="preserve"> չափաքանակը սահմանվում էր Տարեկան ծրագրի շրջանակներում, սակայն դեկտեմբերի 4-ից  լիազորությունը Տարեկան ծրագրով սահմանելու հանվել է  և վերապահվել է Կառավարության առանձին լիազորվող </w:t>
      </w:r>
      <w:proofErr w:type="spellStart"/>
      <w:r>
        <w:rPr>
          <w:rFonts w:ascii="GHEA Grapalat" w:hAnsi="GHEA Grapalat"/>
          <w:bCs/>
          <w:color w:val="000000"/>
          <w:lang w:val="hy-AM"/>
        </w:rPr>
        <w:t>նորմով</w:t>
      </w:r>
      <w:proofErr w:type="spellEnd"/>
      <w:r>
        <w:rPr>
          <w:rFonts w:ascii="GHEA Grapalat" w:hAnsi="GHEA Grapalat"/>
          <w:bCs/>
          <w:color w:val="000000"/>
          <w:lang w:val="hy-AM"/>
        </w:rPr>
        <w:t xml:space="preserve">, որից հետո </w:t>
      </w:r>
      <w:proofErr w:type="spellStart"/>
      <w:r>
        <w:rPr>
          <w:rFonts w:ascii="GHEA Grapalat" w:hAnsi="GHEA Grapalat"/>
          <w:bCs/>
          <w:color w:val="000000"/>
          <w:lang w:val="hy-AM"/>
        </w:rPr>
        <w:t>անհարժեշտություն</w:t>
      </w:r>
      <w:proofErr w:type="spellEnd"/>
      <w:r>
        <w:rPr>
          <w:rFonts w:ascii="GHEA Grapalat" w:hAnsi="GHEA Grapalat"/>
          <w:bCs/>
          <w:color w:val="000000"/>
          <w:lang w:val="hy-AM"/>
        </w:rPr>
        <w:t xml:space="preserve"> է առաջացել փոփոխություն կատարել </w:t>
      </w:r>
      <w:r>
        <w:rPr>
          <w:rFonts w:ascii="GHEA Grapalat" w:hAnsi="GHEA Grapalat"/>
          <w:lang w:val="hy-AM"/>
        </w:rPr>
        <w:t>Կառավարության 21.11.2019թ</w:t>
      </w:r>
      <w:r>
        <w:rPr>
          <w:rFonts w:ascii="GHEA Grapalat" w:eastAsia="MS Mincho" w:hAnsi="GHEA Grapalat" w:cs="MS Mincho"/>
          <w:lang w:val="hy-AM"/>
        </w:rPr>
        <w:t>. N1667-Ն որոշման մեջ:</w:t>
      </w:r>
      <w:r>
        <w:rPr>
          <w:rFonts w:ascii="GHEA Grapalat" w:hAnsi="GHEA Grapalat"/>
          <w:bCs/>
          <w:color w:val="000000"/>
          <w:lang w:val="hy-AM"/>
        </w:rPr>
        <w:t xml:space="preserve"> </w:t>
      </w:r>
    </w:p>
    <w:p w:rsidR="004E056D" w:rsidRDefault="004E056D" w:rsidP="004E056D">
      <w:pPr>
        <w:pStyle w:val="NormalWeb"/>
        <w:spacing w:before="0" w:beforeAutospacing="0" w:after="0" w:afterAutospacing="0" w:line="360" w:lineRule="auto"/>
        <w:ind w:firstLine="43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Յ</w:t>
      </w:r>
      <w:r>
        <w:rPr>
          <w:rFonts w:ascii="GHEA Grapalat" w:hAnsi="GHEA Grapalat" w:cs="Sylfaen"/>
          <w:lang w:val="hy-AM"/>
        </w:rPr>
        <w:t xml:space="preserve">ուրաքանչյուր տարի շրջակա միջավայրի նախարարությունը պետական բյուջեի միջոցների հաշվին </w:t>
      </w:r>
      <w:proofErr w:type="spellStart"/>
      <w:r>
        <w:rPr>
          <w:rFonts w:ascii="GHEA Grapalat" w:hAnsi="GHEA Grapalat" w:cs="Sylfaen"/>
          <w:lang w:val="hy-AM"/>
        </w:rPr>
        <w:t>պատվիրակում</w:t>
      </w:r>
      <w:proofErr w:type="spellEnd"/>
      <w:r>
        <w:rPr>
          <w:rFonts w:ascii="GHEA Grapalat" w:hAnsi="GHEA Grapalat" w:cs="Sylfaen"/>
          <w:lang w:val="hy-AM"/>
        </w:rPr>
        <w:t xml:space="preserve"> է մրցույթ՝ </w:t>
      </w:r>
      <w:proofErr w:type="spellStart"/>
      <w:r>
        <w:rPr>
          <w:rFonts w:ascii="GHEA Grapalat" w:hAnsi="GHEA Grapalat" w:cs="Sylfaen"/>
          <w:lang w:val="hy-AM"/>
        </w:rPr>
        <w:t>Սևանա</w:t>
      </w:r>
      <w:proofErr w:type="spellEnd"/>
      <w:r>
        <w:rPr>
          <w:rFonts w:ascii="GHEA Grapalat" w:hAnsi="GHEA Grapalat" w:cs="Sylfaen"/>
          <w:lang w:val="hy-AM"/>
        </w:rPr>
        <w:t xml:space="preserve"> լճում ձկան և խեցգետնի պաշարների հաշվառման աշխատանքներ</w:t>
      </w:r>
      <w:r>
        <w:rPr>
          <w:rFonts w:ascii="GHEA Grapalat" w:hAnsi="GHEA Grapalat" w:cs="Sylfaen"/>
          <w:lang w:val="fr-FR"/>
        </w:rPr>
        <w:t xml:space="preserve">, </w:t>
      </w:r>
      <w:r>
        <w:rPr>
          <w:rFonts w:ascii="GHEA Grapalat" w:hAnsi="GHEA Grapalat" w:cs="Sylfaen"/>
          <w:lang w:val="hy-AM"/>
        </w:rPr>
        <w:t>ինչը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ավարտվում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 xml:space="preserve">դեկտեմբերին: Հիմք ընդունելով ուսումնասիրության արդյունքները Տարեկան ծրագրի որոշման մեջ կատարվում է փոփոխություն՝ սահմանվում է ընթացիկ տարվա համար արդյունագործական ձկնորսության չափաքանակ: Վերջին տարիներին (սկսած 2021 թվականից) արդյունագործական որսի տարեկան քանակը գնահատում է երկու փուլով, արդյունքում անհրաժեշտություն է առաջանում </w:t>
      </w:r>
      <w:proofErr w:type="spellStart"/>
      <w:r>
        <w:rPr>
          <w:rFonts w:ascii="GHEA Grapalat" w:hAnsi="GHEA Grapalat" w:cs="Sylfaen"/>
          <w:lang w:val="hy-AM"/>
        </w:rPr>
        <w:t>Սևանա</w:t>
      </w:r>
      <w:proofErr w:type="spellEnd"/>
      <w:r>
        <w:rPr>
          <w:rFonts w:ascii="GHEA Grapalat" w:hAnsi="GHEA Grapalat" w:cs="Sylfaen"/>
          <w:lang w:val="hy-AM"/>
        </w:rPr>
        <w:t xml:space="preserve"> լճում ձկան արդյունագործական որսի տ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արեկան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չափաքանակները սահմանել երկու անգամ:  Յուրաքանչյուր տարի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Սևանա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լճում ձկան պաշարների ուսումնասիրությունն իրականացվում է տարեկան կտրվածքով և տվյալները ստացվում են տարվա վերջ՝ դեկտեմբեր ամսին, ինչը հիմք է հանդիսանում հաջորդ տարվա ձկան արդյունագործական որսի առաջին փուլի (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սեպտեմբերի 1-ը)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չափաքանակ հաստատելու համար։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Միևնույն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ժամանակ ամառային շրջանում իրականացված գիտական հետազոտության տվյալները ձեռք բերելուց հետո սահմանվում են արդյունագործական որսի 2-րդ՝ աշնանային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որսաշրջանի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չափաքանակները (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նոյեմբերի 15-ը)։ Ինչն էլ ենթադրում է արդեն ընթացիկ տարում հաստատված որոշման մեջ փոփոխությունների իրականացում։ Չափաքանակների հաստատումից հետո որսի գործընթացը սահմանված կարգով իրականացնելու համար տրվում է հայտարարություն, հավաքագրվում են հայտերը, մշակվում և սահմանված կարգով կնքվում է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Սևանա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լճում արդյունագործական որսի պայմանագրեր, ինչը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նունյպես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ժամանակատար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գործընթաց է: Տարեկան ծրագրի շրջանակներում այս գործընթացը իրականացնելը առաջացնում է խոչընդոտներ նաև բուն որսի իրականացումն իրատեսական ժամկետներում կազմակերպելու տեսանկյունից։ </w:t>
      </w:r>
    </w:p>
    <w:p w:rsidR="004E056D" w:rsidRDefault="004E056D" w:rsidP="004E056D">
      <w:pPr>
        <w:pStyle w:val="NormalWeb"/>
        <w:tabs>
          <w:tab w:val="left" w:pos="108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Այդ պատճառով Տարեկան ծրագրում միջոցառման կատարման նկարագրում նշվում է, որ դրա կատարումը հնարավոր է ապահովել Տարեկան ծրագրի հաստատումից հետո` հիմք ընդունելով այդ կետի կատարման համար անհրաժեշտ տվյալների ստացումը։ </w:t>
      </w:r>
    </w:p>
    <w:p w:rsidR="004E056D" w:rsidRDefault="004E056D" w:rsidP="004E056D">
      <w:pPr>
        <w:tabs>
          <w:tab w:val="left" w:pos="1080"/>
        </w:tabs>
        <w:spacing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Մասնավորապես առաջարկվող փոփոխությունների համատեքստում Օրենքի 15-րդ հոդվածով Կառավարությանը լիազորությունները լրացվել է նոր կետերով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բովանդակությամբ՝ </w:t>
      </w:r>
      <w:r>
        <w:rPr>
          <w:rFonts w:ascii="GHEA Grapalat" w:hAnsi="GHEA Grapalat"/>
          <w:bCs/>
          <w:sz w:val="24"/>
          <w:szCs w:val="24"/>
          <w:lang w:val="hy-AM"/>
        </w:rPr>
        <w:t>«</w:t>
      </w:r>
      <w:r>
        <w:rPr>
          <w:rFonts w:ascii="GHEA Grapalat" w:hAnsi="GHEA Grapalat" w:cs="SylfaenRegular"/>
          <w:bCs/>
          <w:sz w:val="24"/>
          <w:szCs w:val="24"/>
          <w:lang w:val="hy-AM"/>
        </w:rPr>
        <w:t xml:space="preserve">գ1) յուրաքանչյուր տարի սահմանում է </w:t>
      </w:r>
      <w:proofErr w:type="spellStart"/>
      <w:r>
        <w:rPr>
          <w:rFonts w:ascii="GHEA Grapalat" w:hAnsi="GHEA Grapalat" w:cs="SylfaenRegular"/>
          <w:bCs/>
          <w:sz w:val="24"/>
          <w:szCs w:val="24"/>
          <w:lang w:val="hy-AM"/>
        </w:rPr>
        <w:t>Սևանա</w:t>
      </w:r>
      <w:proofErr w:type="spellEnd"/>
      <w:r>
        <w:rPr>
          <w:rFonts w:ascii="GHEA Grapalat" w:hAnsi="GHEA Grapalat" w:cs="SylfaenRegular"/>
          <w:bCs/>
          <w:sz w:val="24"/>
          <w:szCs w:val="24"/>
          <w:lang w:val="hy-AM"/>
        </w:rPr>
        <w:t xml:space="preserve"> լճում ձկան և խեցգետնի արդյունագործական որսի չափաքանակները և ժամկետները, արդյունագործական որսի կազմակերպման պայմաններն ու պահանջները»,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Սևանա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լճում ձկան և խեցգետնի արդյունագործական որսի կազմակերպման գործընթացը  ճշգրիտ կազմակերպելու նպատակով:</w:t>
      </w:r>
    </w:p>
    <w:p w:rsidR="004E056D" w:rsidRDefault="004E056D" w:rsidP="004E056D">
      <w:pPr>
        <w:pStyle w:val="Bodytext20"/>
        <w:tabs>
          <w:tab w:val="left" w:pos="367"/>
        </w:tabs>
        <w:spacing w:line="360" w:lineRule="auto"/>
        <w:rPr>
          <w:rFonts w:ascii="GHEA Grapalat" w:eastAsia="MS Mincho" w:hAnsi="MS Mincho" w:cs="MS Mincho"/>
          <w:b/>
          <w:bCs/>
          <w:color w:val="000000"/>
          <w:sz w:val="24"/>
          <w:szCs w:val="24"/>
          <w:lang w:val="hy-AM" w:eastAsia="hy-AM" w:bidi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  <w:t>2.</w:t>
      </w:r>
      <w:r>
        <w:rPr>
          <w:rFonts w:ascii="GHEA Grapalat" w:eastAsia="Tahoma" w:hAnsi="GHEA Grapalat"/>
          <w:b/>
          <w:bCs/>
          <w:color w:val="000000"/>
          <w:sz w:val="24"/>
          <w:szCs w:val="24"/>
          <w:lang w:val="hy-AM" w:eastAsia="hy-AM" w:bidi="hy-AM"/>
        </w:rPr>
        <w:t>Առաջարկվող կարգավորման բնույթը</w:t>
      </w:r>
      <w:r>
        <w:rPr>
          <w:rFonts w:ascii="MS Gothic" w:eastAsia="MS Gothic" w:hAnsi="MS Gothic" w:cs="MS Gothic" w:hint="eastAsia"/>
          <w:b/>
          <w:bCs/>
          <w:color w:val="000000"/>
          <w:sz w:val="24"/>
          <w:szCs w:val="24"/>
          <w:lang w:val="hy-AM" w:eastAsia="hy-AM" w:bidi="hy-AM"/>
        </w:rPr>
        <w:t>․</w:t>
      </w:r>
    </w:p>
    <w:p w:rsidR="004E056D" w:rsidRDefault="004E056D" w:rsidP="004E056D">
      <w:pPr>
        <w:pStyle w:val="Bodytext20"/>
        <w:tabs>
          <w:tab w:val="left" w:pos="367"/>
        </w:tabs>
        <w:spacing w:line="360" w:lineRule="auto"/>
        <w:rPr>
          <w:rFonts w:ascii="GHEA Grapalat" w:eastAsia="MS Mincho" w:hAnsi="MS Mincho" w:cs="MS Mincho"/>
          <w:b/>
          <w:bCs/>
          <w:color w:val="000000"/>
          <w:sz w:val="24"/>
          <w:szCs w:val="24"/>
          <w:lang w:val="hy-AM" w:eastAsia="hy-AM" w:bidi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ab/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ab/>
        <w:t xml:space="preserve">Սույն նախագծի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ընդունմամբ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կհամապատասխանեցվեն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Սևանա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լճի մասին» օրենքի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և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Հայաստանի Հանրապետության կառավարության 2019 թվականի նոյեմբերի 21-ի N 1667-Ն որոշմամբ </w:t>
      </w:r>
      <w:r>
        <w:rPr>
          <w:rFonts w:ascii="GHEA Grapalat" w:hAnsi="GHEA Grapalat" w:cs="Sylfaen"/>
          <w:sz w:val="24"/>
          <w:szCs w:val="24"/>
          <w:lang w:val="hy-AM"/>
        </w:rPr>
        <w:t>սահմանված դրույթները:</w:t>
      </w:r>
    </w:p>
    <w:p w:rsidR="004E056D" w:rsidRDefault="004E056D" w:rsidP="004E056D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eastAsia="Times New Roman" w:hAnsi="GHEA Grapalat" w:cs="GHEA Mariam"/>
          <w:sz w:val="24"/>
          <w:szCs w:val="24"/>
          <w:lang w:val="hy-AM"/>
        </w:rPr>
      </w:pPr>
      <w:r>
        <w:rPr>
          <w:rFonts w:ascii="GHEA Grapalat" w:hAnsi="GHEA Grapalat" w:cs="GHEA Mariam"/>
          <w:sz w:val="24"/>
          <w:szCs w:val="24"/>
          <w:lang w:val="hy-AM"/>
        </w:rPr>
        <w:tab/>
      </w:r>
    </w:p>
    <w:p w:rsidR="004E056D" w:rsidRDefault="004E056D" w:rsidP="004E056D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eastAsia="Tahoma" w:hAnsi="GHEA Grapalat"/>
          <w:b/>
          <w:bCs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Tahoma" w:hAnsi="GHEA Grapalat"/>
          <w:b/>
          <w:bCs/>
          <w:color w:val="000000"/>
          <w:sz w:val="24"/>
          <w:szCs w:val="24"/>
          <w:lang w:val="hy-AM" w:eastAsia="hy-AM" w:bidi="hy-AM"/>
        </w:rPr>
        <w:t>3</w:t>
      </w:r>
      <w:r>
        <w:rPr>
          <w:rFonts w:ascii="GHEA Grapalat" w:eastAsia="Tahoma" w:hAnsi="GHEA Grapalat" w:cs="Cambria Math"/>
          <w:b/>
          <w:bCs/>
          <w:color w:val="000000"/>
          <w:sz w:val="24"/>
          <w:szCs w:val="24"/>
          <w:lang w:val="hy-AM" w:eastAsia="hy-AM" w:bidi="hy-AM"/>
        </w:rPr>
        <w:t>.</w:t>
      </w:r>
      <w:r>
        <w:rPr>
          <w:rFonts w:ascii="GHEA Grapalat" w:eastAsia="Tahoma" w:hAnsi="GHEA Grapalat"/>
          <w:b/>
          <w:bCs/>
          <w:color w:val="000000"/>
          <w:sz w:val="24"/>
          <w:szCs w:val="24"/>
          <w:lang w:val="hy-AM" w:eastAsia="hy-AM" w:bidi="hy-AM"/>
        </w:rPr>
        <w:t xml:space="preserve"> Նախագծի մշակման գործընթացում ներգրավված ինստիտուտները և անձինք</w:t>
      </w:r>
      <w:r>
        <w:rPr>
          <w:rFonts w:ascii="GHEA Grapalat" w:eastAsia="Tahoma" w:hAnsi="Cambria Math"/>
          <w:b/>
          <w:bCs/>
          <w:color w:val="000000"/>
          <w:sz w:val="24"/>
          <w:szCs w:val="24"/>
          <w:lang w:val="hy-AM" w:eastAsia="hy-AM" w:bidi="hy-AM"/>
        </w:rPr>
        <w:t>.</w:t>
      </w:r>
    </w:p>
    <w:p w:rsidR="004E056D" w:rsidRDefault="004E056D" w:rsidP="004E056D">
      <w:pPr>
        <w:tabs>
          <w:tab w:val="left" w:pos="450"/>
        </w:tabs>
        <w:spacing w:after="0" w:line="360" w:lineRule="auto"/>
        <w:jc w:val="both"/>
        <w:rPr>
          <w:rFonts w:ascii="GHEA Grapalat" w:hAnsi="GHEA Grapalat" w:cs="GHEA Mariam"/>
          <w:sz w:val="24"/>
          <w:szCs w:val="24"/>
          <w:lang w:val="hy-AM"/>
        </w:rPr>
      </w:pPr>
      <w:r>
        <w:rPr>
          <w:rFonts w:ascii="GHEA Grapalat" w:hAnsi="GHEA Grapalat" w:cs="GHEA Mariam"/>
          <w:sz w:val="24"/>
          <w:szCs w:val="24"/>
          <w:lang w:val="hy-AM"/>
        </w:rPr>
        <w:tab/>
        <w:t>Նախագիծը մշակվել է շրջակա միջավայրի նախարարության կողմից։</w:t>
      </w:r>
    </w:p>
    <w:p w:rsidR="004E056D" w:rsidRDefault="004E056D" w:rsidP="004E056D">
      <w:pPr>
        <w:tabs>
          <w:tab w:val="left" w:pos="993"/>
        </w:tabs>
        <w:spacing w:after="0" w:line="360" w:lineRule="auto"/>
        <w:jc w:val="both"/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  <w:lang w:val="hy-AM"/>
        </w:rPr>
      </w:pPr>
    </w:p>
    <w:p w:rsidR="004E056D" w:rsidRDefault="004E056D" w:rsidP="004E056D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4</w:t>
      </w:r>
      <w:r>
        <w:rPr>
          <w:rFonts w:ascii="GHEA Grapalat" w:eastAsia="Tahoma" w:hAnsi="Cambria Math" w:cs="Cambria Math"/>
          <w:b/>
          <w:bCs/>
          <w:color w:val="000000"/>
          <w:sz w:val="24"/>
          <w:szCs w:val="24"/>
          <w:lang w:val="hy-AM" w:eastAsia="hy-AM" w:bidi="hy-AM"/>
        </w:rPr>
        <w:t>.</w:t>
      </w:r>
      <w:r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Ակնկալվող արդյունքը</w:t>
      </w:r>
      <w:r>
        <w:rPr>
          <w:rFonts w:ascii="GHEA Grapalat" w:eastAsia="Tahoma" w:hAnsi="Cambria Math" w:cs="Tahoma"/>
          <w:b/>
          <w:bCs/>
          <w:color w:val="000000"/>
          <w:sz w:val="24"/>
          <w:szCs w:val="24"/>
          <w:lang w:val="hy-AM" w:eastAsia="hy-AM" w:bidi="hy-AM"/>
        </w:rPr>
        <w:t>.</w:t>
      </w:r>
    </w:p>
    <w:p w:rsidR="004E056D" w:rsidRDefault="004E056D" w:rsidP="004E056D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>
        <w:rPr>
          <w:rFonts w:ascii="GHEA Grapalat" w:hAnsi="GHEA Grapalat" w:cs="GHEA Mariam"/>
          <w:sz w:val="24"/>
          <w:szCs w:val="24"/>
          <w:lang w:val="hy-AM"/>
        </w:rPr>
        <w:tab/>
      </w:r>
      <w:r>
        <w:rPr>
          <w:rFonts w:ascii="GHEA Grapalat" w:hAnsi="GHEA Grapalat" w:cs="GHEA Mariam"/>
          <w:sz w:val="24"/>
          <w:szCs w:val="24"/>
          <w:lang w:val="hy-AM"/>
        </w:rPr>
        <w:tab/>
        <w:t xml:space="preserve">Նախագծի </w:t>
      </w:r>
      <w:proofErr w:type="spellStart"/>
      <w:r>
        <w:rPr>
          <w:rFonts w:ascii="GHEA Grapalat" w:hAnsi="GHEA Grapalat" w:cs="GHEA Mariam"/>
          <w:sz w:val="24"/>
          <w:szCs w:val="24"/>
          <w:lang w:val="hy-AM"/>
        </w:rPr>
        <w:t>ընդունմամբ</w:t>
      </w:r>
      <w:proofErr w:type="spellEnd"/>
      <w:r>
        <w:rPr>
          <w:rFonts w:ascii="GHEA Grapalat" w:hAnsi="GHEA Grapalat" w:cs="GHEA Mariam"/>
          <w:sz w:val="24"/>
          <w:szCs w:val="24"/>
          <w:lang w:val="hy-AM"/>
        </w:rPr>
        <w:t xml:space="preserve"> ակնկալվում է 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օրենսդրական խնդիրների և </w:t>
      </w:r>
      <w:proofErr w:type="spellStart"/>
      <w:r>
        <w:rPr>
          <w:rFonts w:ascii="GHEA Grapalat" w:hAnsi="GHEA Grapalat" w:cs="Calibri"/>
          <w:color w:val="000000"/>
          <w:sz w:val="24"/>
          <w:szCs w:val="24"/>
          <w:lang w:val="hy-AM"/>
        </w:rPr>
        <w:lastRenderedPageBreak/>
        <w:t>անհամապատասխանությունների</w:t>
      </w:r>
      <w:proofErr w:type="spellEnd"/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վերացում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:rsidR="004E056D" w:rsidRDefault="004E056D" w:rsidP="004E056D">
      <w:pPr>
        <w:spacing w:after="0" w:line="360" w:lineRule="auto"/>
        <w:ind w:firstLine="567"/>
        <w:jc w:val="both"/>
        <w:rPr>
          <w:rFonts w:ascii="GHEA Grapalat" w:hAnsi="GHEA Grapalat" w:cs="GHEA Mariam"/>
          <w:sz w:val="24"/>
          <w:szCs w:val="24"/>
          <w:lang w:val="hy-AM"/>
        </w:rPr>
      </w:pPr>
    </w:p>
    <w:p w:rsidR="004E056D" w:rsidRDefault="004E056D" w:rsidP="004E056D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5.  Տեղեկատվություն լրացուցիչ ֆինանսական միջոցների անհրաժեշտության և պետական բյուջեի </w:t>
      </w:r>
      <w:proofErr w:type="spellStart"/>
      <w:r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եկամուտներում</w:t>
      </w:r>
      <w:proofErr w:type="spellEnd"/>
      <w:r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և ծախսերում սպասվելիք փոփոխությունների մասին</w:t>
      </w:r>
      <w:r>
        <w:rPr>
          <w:rFonts w:ascii="GHEA Grapalat" w:eastAsia="Tahoma" w:hAnsi="Cambria Math" w:cs="Tahoma"/>
          <w:b/>
          <w:bCs/>
          <w:color w:val="000000"/>
          <w:sz w:val="24"/>
          <w:szCs w:val="24"/>
          <w:lang w:val="hy-AM" w:eastAsia="hy-AM" w:bidi="hy-AM"/>
        </w:rPr>
        <w:t>.</w:t>
      </w:r>
    </w:p>
    <w:p w:rsidR="004E056D" w:rsidRDefault="004E056D" w:rsidP="004E056D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>
        <w:rPr>
          <w:rFonts w:ascii="GHEA Grapalat" w:hAnsi="GHEA Grapalat" w:cs="Sylfaen"/>
          <w:sz w:val="24"/>
          <w:szCs w:val="24"/>
          <w:lang w:val="hy-AM"/>
        </w:rPr>
        <w:tab/>
        <w:t>Նախագծի ընդունման դեպքում</w:t>
      </w:r>
      <w:r>
        <w:rPr>
          <w:rFonts w:cs="Calibri"/>
          <w:sz w:val="24"/>
          <w:szCs w:val="24"/>
          <w:lang w:val="hy-AM"/>
        </w:rPr>
        <w:t> 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պետական բյուջեի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եկամուտներում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և ծախսերում լրացուցիչ փոփոխությունների անհրաժեշտություն առկա չէ։</w:t>
      </w:r>
    </w:p>
    <w:p w:rsidR="004E056D" w:rsidRDefault="004E056D" w:rsidP="004E056D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E056D" w:rsidRDefault="004E056D" w:rsidP="004E056D">
      <w:pPr>
        <w:pStyle w:val="Bodytext20"/>
        <w:tabs>
          <w:tab w:val="left" w:pos="367"/>
        </w:tabs>
        <w:spacing w:line="360" w:lineRule="auto"/>
        <w:ind w:firstLine="540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6. Կապը ռազմավարական փաստաթղթերի հետ. Հայաստանի վերափոխման ռազմավարություն 2050, Կառավարության 2021-2026թթ. ծրագիր, ոլորտային և/կամ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այլ </w:t>
      </w:r>
      <w:proofErr w:type="spellStart"/>
      <w:r>
        <w:rPr>
          <w:rFonts w:ascii="GHEA Grapalat" w:hAnsi="GHEA Grapalat"/>
          <w:b/>
          <w:bCs/>
          <w:sz w:val="24"/>
          <w:szCs w:val="24"/>
          <w:lang w:val="hy-AM"/>
        </w:rPr>
        <w:t>ռազմավարություններ</w:t>
      </w:r>
      <w:proofErr w:type="spellEnd"/>
    </w:p>
    <w:p w:rsidR="004E056D" w:rsidRDefault="004E056D" w:rsidP="004E056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Ներկայացվող նախագիծը բխում է Կառավարության 2021 թվականի օգոստոսի 18-ի N 1363-Ա որոշմամբ հաստատված Հայաստանի Հանրապետության կառավարության (2021-2026 թթ.) ծրագրի «4.10 Շրջակա միջավայրի պահպանություն» բաժնում ամրագրված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լճի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էկոհամակարգային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հավասարակշռության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կենսաբազմազանության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պահպանումը, վերականգնումը, վերարտադրումը, բնականոն զարգացումն ու խելամիտ օգտագործումը» առաջնահերթ ուղղությունից։</w:t>
      </w:r>
    </w:p>
    <w:p w:rsidR="004E056D" w:rsidRDefault="004E056D" w:rsidP="004E056D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bCs/>
          <w:sz w:val="24"/>
          <w:szCs w:val="24"/>
          <w:lang w:val="hy-AM"/>
        </w:rPr>
      </w:pPr>
    </w:p>
    <w:p w:rsidR="00A307B9" w:rsidRPr="004E056D" w:rsidRDefault="00A307B9" w:rsidP="004E056D">
      <w:pPr>
        <w:rPr>
          <w:lang w:val="hy-AM"/>
        </w:rPr>
      </w:pPr>
      <w:bookmarkStart w:id="0" w:name="_GoBack"/>
      <w:bookmarkEnd w:id="0"/>
    </w:p>
    <w:sectPr w:rsidR="00A307B9" w:rsidRPr="004E056D" w:rsidSect="004228C8">
      <w:pgSz w:w="11906" w:h="16838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ylfaen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10E41"/>
    <w:multiLevelType w:val="hybridMultilevel"/>
    <w:tmpl w:val="CC9041DA"/>
    <w:lvl w:ilvl="0" w:tplc="E8F22AD0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4CA"/>
    <w:rsid w:val="003C416D"/>
    <w:rsid w:val="004E056D"/>
    <w:rsid w:val="00A307B9"/>
    <w:rsid w:val="00E32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152340-ABA6-4CFB-A5B4-4B60DD295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16D"/>
    <w:pPr>
      <w:spacing w:after="200" w:line="276" w:lineRule="auto"/>
    </w:pPr>
    <w:rPr>
      <w:rFonts w:ascii="Calibri" w:eastAsia="Calibri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aliases w:val="Akapit z listą BS,List Paragraph 1,List_Paragraph,Multilevel para_II,List Paragraph (numbered (a)),OBC Bullet,List Paragraph11,Normal numbered,Абзац списка1,Paragraphe de liste PBLH,Bullets,References,IBL List Paragraph"/>
    <w:basedOn w:val="Normal"/>
    <w:link w:val="ListParagraphChar"/>
    <w:uiPriority w:val="34"/>
    <w:qFormat/>
    <w:rsid w:val="003C416D"/>
    <w:pPr>
      <w:ind w:left="720"/>
      <w:contextualSpacing/>
    </w:pPr>
    <w:rPr>
      <w:rFonts w:eastAsia="Times New Roman"/>
      <w:sz w:val="20"/>
      <w:szCs w:val="20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1"/>
    <w:uiPriority w:val="34"/>
    <w:qFormat/>
    <w:locked/>
    <w:rsid w:val="003C416D"/>
    <w:rPr>
      <w:rFonts w:ascii="Calibri" w:eastAsia="Times New Roman" w:hAnsi="Calibri" w:cs="Times New Roman"/>
      <w:sz w:val="20"/>
      <w:szCs w:val="20"/>
      <w:lang w:eastAsia="ru-RU"/>
    </w:rPr>
  </w:style>
  <w:style w:type="paragraph" w:styleId="NormalWeb">
    <w:name w:val="Normal (Web)"/>
    <w:basedOn w:val="Normal"/>
    <w:link w:val="NormalWebChar"/>
    <w:uiPriority w:val="99"/>
    <w:rsid w:val="003C41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">
    <w:name w:val="Body text (2)_"/>
    <w:link w:val="Bodytext20"/>
    <w:uiPriority w:val="99"/>
    <w:rsid w:val="003C416D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3C416D"/>
    <w:pPr>
      <w:widowControl w:val="0"/>
      <w:shd w:val="clear" w:color="auto" w:fill="FFFFFF"/>
      <w:spacing w:after="0" w:line="370" w:lineRule="exact"/>
      <w:ind w:hanging="460"/>
      <w:jc w:val="both"/>
    </w:pPr>
    <w:rPr>
      <w:rFonts w:ascii="Tahoma" w:eastAsiaTheme="minorHAnsi" w:hAnsi="Tahoma" w:cs="Tahoma"/>
      <w:lang w:val="en-US" w:eastAsia="en-US"/>
    </w:rPr>
  </w:style>
  <w:style w:type="character" w:customStyle="1" w:styleId="NormalWebChar">
    <w:name w:val="Normal (Web) Char"/>
    <w:link w:val="NormalWeb"/>
    <w:uiPriority w:val="99"/>
    <w:rsid w:val="003C416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4E056D"/>
    <w:pPr>
      <w:ind w:left="720"/>
      <w:contextualSpacing/>
    </w:pPr>
    <w:rPr>
      <w:rFonts w:eastAsiaTheme="minorHAns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262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516</Words>
  <Characters>4024</Characters>
  <Application>Microsoft Office Word</Application>
  <DocSecurity>0</DocSecurity>
  <Lines>81</Lines>
  <Paragraphs>17</Paragraphs>
  <ScaleCrop>false</ScaleCrop>
  <Company/>
  <LinksUpToDate>false</LinksUpToDate>
  <CharactersWithSpaces>4546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Hovhannes Apresyan</dc:creator>
  <cp:keywords>https://mul2.gov.am/tasks/1137019/oneclick?token=dd294cbadcd93f4aaa4da9bf9576d96a</cp:keywords>
  <dc:description/>
  <cp:lastModifiedBy>Jemma Dadoyan</cp:lastModifiedBy>
  <cp:revision>3</cp:revision>
  <dcterms:created xsi:type="dcterms:W3CDTF">2025-04-10T05:29:00Z</dcterms:created>
  <dcterms:modified xsi:type="dcterms:W3CDTF">2025-04-22T11:23:00Z</dcterms:modified>
</cp:coreProperties>
</file>