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024" w:rsidRPr="00C44886" w:rsidRDefault="00073024" w:rsidP="000730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448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073024" w:rsidRPr="00C44886" w:rsidRDefault="00073024" w:rsidP="000730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 w:rsidRPr="00C44886">
        <w:rPr>
          <w:rFonts w:ascii="GHEA Grapalat" w:hAnsi="GHEA Grapalat"/>
          <w:bCs/>
          <w:color w:val="000000"/>
          <w:lang w:val="hy-AM"/>
        </w:rPr>
        <w:t></w:t>
      </w:r>
      <w:r w:rsidRPr="00C44886">
        <w:rPr>
          <w:rFonts w:ascii="GHEA Grapalat" w:hAnsi="GHEA Grapalat"/>
          <w:b/>
          <w:bCs/>
          <w:caps/>
          <w:color w:val="000000"/>
          <w:lang w:val="hy-AM"/>
        </w:rPr>
        <w:t>ՀԱՆՐՈՒԹՅԱՆ ՇՐՋԱՆՈՒՄ ԱՌՈՂՋ ԱՊՐԵԼԱԿԵՐՊԻ ԽՐԱԽՈՒՍՄԱՆ ԵՎ ԵՐԹԵՎԵԿՈՒԹՅԱՆ ԱՅԼԸՆՏՐԱՆՔԱՅԻՆ ՁԵՎԵՐԻ ԽԹԱՆՄԱՆ ՄԻՋՈՑԱՌՈՒՄԸ ՀԱՍՏԱՏԵԼՈՒ ՄԱՍԻՆ</w:t>
      </w:r>
      <w:r w:rsidRPr="00C44886">
        <w:rPr>
          <w:rFonts w:ascii="GHEA Grapalat" w:hAnsi="GHEA Grapalat" w:cs="GHEA Grapalat"/>
          <w:noProof/>
          <w:spacing w:val="-6"/>
          <w:lang w:val="hy-AM"/>
        </w:rPr>
        <w:t xml:space="preserve">» </w:t>
      </w:r>
      <w:r w:rsidRPr="00C44886">
        <w:rPr>
          <w:rFonts w:ascii="GHEA Grapalat" w:hAnsi="GHEA Grapalat" w:cs="GHEA Grapalat"/>
          <w:b/>
          <w:noProof/>
          <w:spacing w:val="-6"/>
          <w:lang w:val="hy-AM"/>
        </w:rPr>
        <w:t xml:space="preserve">ՀԱՅԱՍՏԱՆԻ ՀԱՆՐԱՊԵՏՈՒԹՅԱՆ ԿԱՌԱՎԱՐՈՒԹՅԱՆ ՈՐՈՇՄԱՆ </w:t>
      </w:r>
      <w:r w:rsidRPr="00C44886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Pr="00C44886">
        <w:rPr>
          <w:rFonts w:ascii="Calibri" w:hAnsi="Calibri" w:cs="Calibri"/>
          <w:b/>
          <w:bCs/>
          <w:color w:val="000000"/>
          <w:lang w:val="hy-AM"/>
        </w:rPr>
        <w:t> </w:t>
      </w:r>
      <w:r w:rsidRPr="00C44886">
        <w:rPr>
          <w:rFonts w:ascii="GHEA Grapalat" w:hAnsi="GHEA Grapalat" w:cs="GHEA Grapalat"/>
          <w:b/>
          <w:bCs/>
          <w:color w:val="000000"/>
          <w:lang w:val="hy-AM"/>
        </w:rPr>
        <w:t>ԱՆՀՐԱԺԵՇՏՈՒԹՅԱՆ</w:t>
      </w:r>
      <w:r w:rsidRPr="00C44886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Pr="00C44886">
        <w:rPr>
          <w:rFonts w:ascii="GHEA Grapalat" w:hAnsi="GHEA Grapalat"/>
          <w:b/>
          <w:bCs/>
          <w:color w:val="000000"/>
          <w:lang w:val="hy-AM"/>
        </w:rPr>
        <w:t>ՎԵՐԱԲԵՐՅԱԼ</w:t>
      </w: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1.Անհրաժեշտությունը.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44886">
        <w:rPr>
          <w:rFonts w:ascii="GHEA Grapalat" w:hAnsi="GHEA Grapalat"/>
          <w:sz w:val="24"/>
          <w:szCs w:val="24"/>
          <w:lang w:val="hy-AM"/>
        </w:rPr>
        <w:t>«Հանրության շրջանում առողջ ապրելակերպի խրախուսման և երթևեկության այլընտրանքային ձևերի խթանման միջոցառումը հաստատելու մասին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 Հայաստանի Հանրապետության կառավարության որոշման նախագծի</w:t>
      </w:r>
      <w:r w:rsidRPr="00C44886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C44886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ընդունումը</w:t>
      </w:r>
      <w:r w:rsidRPr="00C44886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C4488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բխում է մի կողմից ՀՀ 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 2023 թվականի դետեմբերի 7-ի 2145-Լ որոշմամբ հաստատված Հայաստանի Հանրապետության ֆիզիկական կուլտուրայի և սպորտի ոլորտների 2024-2030 թվականների զարգացման ռազմավարությամբ սահմանված հանրության շրջանում առողջ ապրելակերպն ու ֆիզիկական առողջ ակտիվությունը խթանելու նպատակից, մյուս կողմից նաև հանրային երթևեկության էկոլոգիապես անվտանգ այլընտրանքային ձևերը խթանելու անհրաժեշտությունից:</w:t>
      </w:r>
    </w:p>
    <w:p w:rsidR="00073024" w:rsidRPr="00C44886" w:rsidRDefault="00073024" w:rsidP="0007302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073024" w:rsidRPr="00C44886" w:rsidRDefault="00073024" w:rsidP="0007302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C4488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C44886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C4488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C4488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նպատակը.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Հայաստանի Հանրապետությունը բնակչության կանոնավոր ֆիզիկական ակտիվության առումով հետ է մնում զարգացող երկրներից, որտեղ ֆիզիկական կուլտուրայով զբաղվում է բնակչության ավելի քան 40-50%-ը: Հայաստանում (ըստ Հայաստանի Հանրապետության վիճակագրական կոմիտեի տվյալների) 2016 թվականի դեկտեմբերի 30-ի դրությամբ նշվել է բնակչության ավելի քան 7%-ի ֆիզկուլտուրային կանոնավոր զբաղվածություն, իսկ 15 տարեկան և ավելի բարձր տարիքի բնակչության շրջանում ֆիզիկական թերակտիվության ցուցանիշը կազմել է 16,5%: Ֆիզիկապես թերակտիվ տղամարդկանց և կանանց տոկոսային հարաբերակցությունը կազմել է, համապատասխանաբար՝ 10,4 և 22,3%: </w:t>
      </w:r>
      <w:r w:rsidRPr="00C44886">
        <w:rPr>
          <w:rFonts w:ascii="Calibri" w:hAnsi="Calibri" w:cs="Calibri"/>
          <w:noProof/>
          <w:spacing w:val="-6"/>
          <w:sz w:val="24"/>
          <w:szCs w:val="24"/>
          <w:lang w:val="hy-AM"/>
        </w:rPr>
        <w:t> 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ՀՀ կառավարությունը առաջնահերթ է դիտում հանրության շրջանում առողջ ապրելակերպի և ֆիզիկական ակտիվության խթանումը։ Այդ իսկ պատճառով սպորտի ոլորտին արվող պետական հատկացումները 2018-ի 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lastRenderedPageBreak/>
        <w:t xml:space="preserve">համեմատ 2023-ին աճել է շուրջ հինգ անգամ, ընդ որում, դրա շրջանակներում մասսայական սպորտին ուղղվող հատկացումները աճել են շուրջ 10 անգամ հենց այս թիրախն ունենալով։ Հարկ է նշել, որ 2021-ից ներդրվել են մասսայական սպորտի նոր միջոցառումներ, մասնավորապես՝ ՀՀ վարչապետի գավաթի հինգ մրցաշարերը, որոնք նպատակ ունեն զարգացնել և խթանել հանրության մասնակցությունը տարբեր մարզաձևերին, նաև մրցաշարերը կազմակերպելով տարբեր մարզային բնակավայրերում՝ նպաստել նաև այդ բնակավայրերի տնտեսական աշխուժացմանը։ 2024 թվականին «ՀՀ վարչապետի գավաթ» 5 խոշոր մարզական մրցաշարերին արդեն իսկ մասնակցել է շուրջ 9603 մարդ, որ 48%-ով ավելի է, քան նախորդ տարի: Ավելին, 2024-ից սկսած երեք մրցաշարեր անցկացվում են դպրոցական ձևաչափով՝ սեղանի թենիսի, թիմային խճուղավազքի և հեծանվավազքի՝ նպաստելու նաև դպրոցականների շրջանում սպորտով զբաղվելու և ֆիզիկական առողջ ակտիվության նախասիրությունները։ Դպրոցական հեծանվավազքի կազմակերպման և դպրոցականների շրջանում հեծանիվ վարելը խթանելու նպատակով 2024-ին ավելի քան 6500 հեծանիվ է գնվել և տրամադրվել բոլոր դպրոցներին, կազմակերպվում են նաև համապատասխան մասնագետների վերապատրաստումներ՝ հեծանիվների ճիշտ շահագործման և գրագետ կիրառության համար։ Այս քաղաքականության շարունակությունն է ֆիզիկական առողջ ակտիվության խրախուսման շրջանակներում ներառել նաև բարձրագույն և մկու հաստատությունների սովորողներին և աշխատակիցներին՝ նրանց ևս խրախուսելով դիտարկել հեծանիվ վարելու հնարավորությունը ոչ միայն որպես նախասիրություն և ֆիզիկական առողջ ակտիվություն, այլ նաև սեփական առօրյան կազմակերպելու միջոց, օրինակ՝ հաստատություն գնալու-գալու, առօրյա այլ հարցերը կազմակերպելու տեսանկյունից։ Այս նախագծի նպատակն է ստեղծել աջակցության մեխանիզմ՝ խրախուսելու մկու և բարձրագույն ուսումնական հաստատությունների այն սովորողներին և աշխատակիցներին, որոնք դիտարկում են հեծանիվը իբրև փոխադրամիջոց, իբրև նախասիրություն, ստանալ հնարավորություն մատչելի տարբերակով ձեռք բերել հեծանիվ՝ անհրաժեշտ պարագաներով և այն գործածել առօրյայում։ Այսպիսով, յուրաքանչյուր շահառուի համար սեփական նպատակների և նախասիրությունների շրջանակում ստեղծվող հնարավորությունը նաև հանրային վարքականոնի ձևավորման 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lastRenderedPageBreak/>
        <w:t>լավ հիմք կդառնա՝ խթանելով թե սիրողական հեծանվավազքը, թե դարձնելով հեծանիվը ավելի ակտիվ օգտագործվող փոխադրամիջոց։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</w:pPr>
      <w:r w:rsidRPr="00C44886"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  <w:t>Համաձայն ՀՀ ԿԳՄՍ նախարարության 2024 թվականի հունիս ամսի դրության վիճակագրական տվյալների՝ Հայաստանի Հանրապետությունում սովորում են 120486 ուսանողներ ՀՀ բուհեր, ուսումնարաններ և քոլեջներ և աշխատում են 20610 դասախոսներ ՀՀ բուհեր, ուսումնարաններ և քոլեջներ, որոնք դիտարկվում են որպես ծրագրի հնարավոր շահառուներ: Հարկ է նշել, որ Ակադեմիական քաղաք ծրագրի շրջանակներում տրանսպորտային նախագծի մշակումն իրականացնող ընկերությունը իրականացրել է հարցում շուրջ բուհերի ուսանողների և դասախոսների, ինչպես նաև գիտահետազոտական կազմակերպությունների աշխատակիցների շրջանում՝ շուրջ 5000 հոգի, որից պարզ է դարձել, որ այս պահին էլ հարցվածների շուրջ 0,3 տոկոսը սովորաբար համալսարան կամ գիտահետազոտական ինստիտուտ է հասնում հեծանիվով։ Միաժամանակ, հարցվածների 3,2 տոկոսն է նշել, որ կցանկանար կիրառել հեծանիվը՝ որպես փոխադրամիջոց բուհ կամ գիտահետազոտական ինստիտուտ հասնելու համար։ Սա ցույց է տալիս, որ պատշաճ ենթակառուցվածքների ձևավորման և հեծանիվների կիրառումը խրախուսելու պարագայում ներկայումս հեծանվով տեղաշարժվող քաղաքացիների թիվը կարող է էապես աճել։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Այս քաղաքականությունը կխրախուսի նաև համապատասխան տնտեսվարողներին՝ ձևավորելով վերջիններիս գործունեության համար ավելի նպաստավոր պայմաններ։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Հարկ է նշել, որ առկա են բազմաթիվ հետազոտություններ, որոնք ցույց են տալիս, թե ինչպես է հեծանվի ավելի ակտիվ օգտագործումը հանրային երթևեկության մեջ նպաստում էկոլոգիական միջավայրի բարելավմանը, խցանումների նվազեցմանը (օրինակ՝ Renate Albrecher, Sonia Curnier and Vincent Kaufmann, Cycling and walking as means of transport: current review of the research, July, 2023, Poonam</w:t>
      </w:r>
      <w:r w:rsidRPr="00C44886">
        <w:rPr>
          <w:rFonts w:ascii="Calibri" w:hAnsi="Calibri" w:cs="Calibri"/>
          <w:noProof/>
          <w:spacing w:val="-6"/>
          <w:sz w:val="24"/>
          <w:szCs w:val="24"/>
          <w:lang w:val="hy-AM"/>
        </w:rPr>
        <w:t> 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Adsule,</w:t>
      </w:r>
      <w:r w:rsidRPr="00C44886">
        <w:rPr>
          <w:rFonts w:ascii="Calibri" w:hAnsi="Calibri" w:cs="Calibri"/>
          <w:noProof/>
          <w:spacing w:val="-6"/>
          <w:sz w:val="24"/>
          <w:szCs w:val="24"/>
          <w:lang w:val="hy-AM"/>
        </w:rPr>
        <w:t> 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B Raghuram</w:t>
      </w:r>
      <w:r w:rsidRPr="00C44886">
        <w:rPr>
          <w:rFonts w:ascii="Calibri" w:hAnsi="Calibri" w:cs="Calibri"/>
          <w:noProof/>
          <w:spacing w:val="-6"/>
          <w:sz w:val="24"/>
          <w:szCs w:val="24"/>
          <w:lang w:val="hy-AM"/>
        </w:rPr>
        <w:t> 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Kadali</w:t>
      </w:r>
      <w:r w:rsidRPr="00C44886">
        <w:rPr>
          <w:rFonts w:ascii="GHEA Grapalat" w:hAnsi="GHEA Grapalat" w:cs="Calibri"/>
          <w:noProof/>
          <w:spacing w:val="-6"/>
          <w:sz w:val="24"/>
          <w:szCs w:val="24"/>
          <w:lang w:val="hy-AM"/>
        </w:rPr>
        <w:t>,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Analysis of contributing factors in decision to bicycle in developing countries context, December, 2023): 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Շուկայի վերլուծությունները և հեծանվի վաճառքով զբաղվող ընկերությունների հետ հանդիպումները ցույց տվեցին, որ նախագծով առաջարկվող գինը բավարար է տարբեր դասի որակյալ հեծանիվներ ձեռք բերելու համար, ինչպես նաև դաշտում կա հետաքրքրություն նման նախաձեռնության իրականացման շուրջ։  </w:t>
      </w: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</w:p>
    <w:p w:rsidR="00073024" w:rsidRPr="00C44886" w:rsidRDefault="00073024" w:rsidP="00073024">
      <w:pPr>
        <w:pStyle w:val="Body"/>
        <w:spacing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3.Ակնկալվող արդյունք.</w:t>
      </w: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4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ակտի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կնպաստի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448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հանրության շրջանում հեծանիվները որպես երթևեկության միջոց առավել ակտիվ օգտագործելուն, ինչը դրական ազդեցություն կունենա թե հանրության շրջանում ֆիզիկական առողջ ակտիվության բարձրացման, թե հանրային երթևեկության այլընտրանքային ձևերի զարգացման վրա</w:t>
      </w:r>
      <w:r w:rsidRPr="00C448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Նախատեսված միջոցառումն ազդեցություն կթողնի նաև տնտեսական զարգացման տեսանկյունից՝ հաշվի առնելով հեծանիվների ներմուծման, տեխնիկական սպասարկման ոլորտի աշխուժացման հնարավորությունների ստեղծումը։ </w:t>
      </w: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4886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 կտրամադրվի օժանդակություն՝ 2025 թվականին՝ 500, 2026 թվականին՝ 1000 և 2027 թվականին՝ 1500 նոր շահառուների:</w:t>
      </w: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 w:rsidRPr="00C44886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hy-AM" w:eastAsia="ru-RU"/>
        </w:rPr>
        <w:t>5</w:t>
      </w:r>
      <w:r w:rsidRPr="00C44886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. </w:t>
      </w:r>
      <w:r w:rsidRPr="00C44886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C44886">
        <w:rPr>
          <w:rFonts w:ascii="GHEA Grapalat" w:hAnsi="GHEA Grapalat"/>
          <w:bCs/>
          <w:lang w:val="hy-AM"/>
        </w:rPr>
        <w:t>.</w:t>
      </w:r>
    </w:p>
    <w:p w:rsidR="00073024" w:rsidRPr="00C44886" w:rsidRDefault="00073024" w:rsidP="00073024">
      <w:p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</w:pPr>
      <w:r w:rsidRPr="00C44886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 xml:space="preserve">Իրավական ակտը բխում է </w:t>
      </w:r>
      <w:r w:rsidRPr="00C4488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ՀՀ </w:t>
      </w:r>
      <w:r w:rsidRPr="00C44886">
        <w:rPr>
          <w:rFonts w:ascii="GHEA Grapalat" w:hAnsi="GHEA Grapalat" w:cs="GHEA Grapalat"/>
          <w:noProof/>
          <w:color w:val="000000"/>
          <w:spacing w:val="-6"/>
          <w:sz w:val="24"/>
          <w:szCs w:val="24"/>
          <w:lang w:val="hy-AM"/>
        </w:rPr>
        <w:t>կառավարության 2023 թվականի դեկտեմբերի 7-ի 2145-Լ որոշմամբ հաստատված Հայաստանի Հանրապետության ֆիզիկական կուլտուրայի և սպորտի ոլորտների 2024-2030 թվականների զարգացման ռազմավարությամբ սահմանված մի շարք նպատակներից, որոնք են՝ ռազմավարական ուղղություն 1. Ֆիզիկական ակտիվությունը և առողջ ապրելակերպը դարձնել ազգային կենսակերպ, որի մասնավոր նպատակ 1</w:t>
      </w:r>
      <w:r w:rsidRPr="00C44886">
        <w:rPr>
          <w:rFonts w:ascii="Cambria Math" w:hAnsi="Cambria Math" w:cs="Cambria Math"/>
          <w:noProof/>
          <w:color w:val="000000"/>
          <w:spacing w:val="-6"/>
          <w:sz w:val="24"/>
          <w:szCs w:val="24"/>
          <w:lang w:val="hy-AM"/>
        </w:rPr>
        <w:t>․</w:t>
      </w:r>
      <w:r w:rsidRPr="00C44886">
        <w:rPr>
          <w:rFonts w:ascii="GHEA Grapalat" w:hAnsi="GHEA Grapalat" w:cs="GHEA Grapalat"/>
          <w:noProof/>
          <w:color w:val="000000"/>
          <w:spacing w:val="-6"/>
          <w:sz w:val="24"/>
          <w:szCs w:val="24"/>
          <w:lang w:val="hy-AM"/>
        </w:rPr>
        <w:t>1-ի գործողություն 3-ի շրջանակներում հատուկ ընդգծված է նաև հեծանվավազքով զբաղվելու պայմանների ստեղծումը, մասնավոր նպատակ 1</w:t>
      </w:r>
      <w:r w:rsidRPr="00C44886">
        <w:rPr>
          <w:rFonts w:ascii="Cambria Math" w:hAnsi="Cambria Math" w:cs="Cambria Math"/>
          <w:noProof/>
          <w:color w:val="000000"/>
          <w:spacing w:val="-6"/>
          <w:sz w:val="24"/>
          <w:szCs w:val="24"/>
          <w:lang w:val="hy-AM"/>
        </w:rPr>
        <w:t>․</w:t>
      </w:r>
      <w:r w:rsidRPr="00C44886">
        <w:rPr>
          <w:rFonts w:ascii="GHEA Grapalat" w:hAnsi="GHEA Grapalat" w:cs="GHEA Grapalat"/>
          <w:noProof/>
          <w:color w:val="000000"/>
          <w:spacing w:val="-6"/>
          <w:sz w:val="24"/>
          <w:szCs w:val="24"/>
          <w:lang w:val="hy-AM"/>
        </w:rPr>
        <w:t>2-ի շրջանակներում նպատակադրված է ձևավորել բնակչության դրական դիրքորոշում ֆիզիկական կուլտուրայի նկատմամբ:</w:t>
      </w:r>
      <w:r w:rsidRPr="00C44886">
        <w:rPr>
          <w:rFonts w:ascii="Calibri" w:hAnsi="Calibri" w:cs="Calibri"/>
          <w:noProof/>
          <w:color w:val="000000"/>
          <w:spacing w:val="-6"/>
          <w:sz w:val="24"/>
          <w:szCs w:val="24"/>
          <w:lang w:val="hy-AM"/>
        </w:rPr>
        <w:t> </w:t>
      </w:r>
      <w:r w:rsidRPr="00C44886">
        <w:rPr>
          <w:rFonts w:ascii="GHEA Grapalat" w:hAnsi="GHEA Grapalat" w:cs="GHEA Grapalat"/>
          <w:noProof/>
          <w:color w:val="000000"/>
          <w:spacing w:val="-6"/>
          <w:sz w:val="24"/>
          <w:szCs w:val="24"/>
          <w:lang w:val="hy-AM"/>
        </w:rPr>
        <w:t>Առաջարկվող միջոցառումը բխում է նաև ռազմավարության մասնավոր նպատակ 2</w:t>
      </w:r>
      <w:r w:rsidRPr="00C44886">
        <w:rPr>
          <w:rFonts w:ascii="Cambria Math" w:hAnsi="Cambria Math" w:cs="Cambria Math"/>
          <w:noProof/>
          <w:color w:val="000000"/>
          <w:spacing w:val="-6"/>
          <w:sz w:val="24"/>
          <w:szCs w:val="24"/>
          <w:lang w:val="hy-AM"/>
        </w:rPr>
        <w:t>․</w:t>
      </w:r>
      <w:r w:rsidRPr="00C44886">
        <w:rPr>
          <w:rFonts w:ascii="GHEA Grapalat" w:hAnsi="GHEA Grapalat" w:cs="GHEA Grapalat"/>
          <w:noProof/>
          <w:color w:val="000000"/>
          <w:spacing w:val="-6"/>
          <w:sz w:val="24"/>
          <w:szCs w:val="24"/>
          <w:lang w:val="hy-AM"/>
        </w:rPr>
        <w:t>3-ի գործողություն 4-ից, որի նպատակն է ստեղծել պայմաններ դպրոցական և ուսանողական սպորտի զարգացման համար։</w:t>
      </w:r>
    </w:p>
    <w:p w:rsidR="00073024" w:rsidRPr="00C44886" w:rsidRDefault="00073024" w:rsidP="0007302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6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r w:rsidRPr="00C44886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r w:rsidRPr="00C44886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r w:rsidRPr="00C44886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r w:rsidRPr="00C44886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r w:rsidRPr="00C44886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C44886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</w:t>
      </w:r>
    </w:p>
    <w:p w:rsidR="00073024" w:rsidRPr="00C44886" w:rsidRDefault="00073024" w:rsidP="0007302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C44886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Pr="00C4488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C44886">
        <w:rPr>
          <w:rFonts w:ascii="GHEA Grapalat" w:eastAsia="Times New Roman" w:hAnsi="GHEA Grapalat" w:cs="Times New Roman"/>
          <w:sz w:val="24"/>
          <w:szCs w:val="24"/>
        </w:rPr>
        <w:t>գիտության</w:t>
      </w:r>
      <w:r w:rsidRPr="00C4488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C44886">
        <w:rPr>
          <w:rFonts w:ascii="GHEA Grapalat" w:eastAsia="Times New Roman" w:hAnsi="GHEA Grapalat" w:cs="Times New Roman"/>
          <w:sz w:val="24"/>
          <w:szCs w:val="24"/>
        </w:rPr>
        <w:t>մշակույթի</w:t>
      </w:r>
      <w:r w:rsidRPr="00C4488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44886">
        <w:rPr>
          <w:rFonts w:ascii="GHEA Grapalat" w:eastAsia="Times New Roman" w:hAnsi="GHEA Grapalat" w:cs="Times New Roman"/>
          <w:sz w:val="24"/>
          <w:szCs w:val="24"/>
        </w:rPr>
        <w:t>և</w:t>
      </w:r>
      <w:r w:rsidRPr="00C4488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44886">
        <w:rPr>
          <w:rFonts w:ascii="GHEA Grapalat" w:eastAsia="Times New Roman" w:hAnsi="GHEA Grapalat" w:cs="Times New Roman"/>
          <w:sz w:val="24"/>
          <w:szCs w:val="24"/>
        </w:rPr>
        <w:t>սպորտի</w:t>
      </w:r>
      <w:r w:rsidRPr="00C4488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44886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r w:rsidRPr="00C44886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073024" w:rsidRPr="00C44886" w:rsidRDefault="00073024" w:rsidP="00073024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48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7. </w:t>
      </w:r>
      <w:r w:rsidRPr="00C4488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12C76" w:rsidRPr="00C44886" w:rsidRDefault="00073024" w:rsidP="00C4488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C44886">
        <w:rPr>
          <w:rFonts w:ascii="GHEA Grapalat" w:hAnsi="GHEA Grapalat"/>
          <w:sz w:val="24"/>
          <w:szCs w:val="24"/>
          <w:lang w:val="hy-AM"/>
        </w:rPr>
        <w:lastRenderedPageBreak/>
        <w:t xml:space="preserve"> «Հանրության շրջանում առողջ ապրելակերպի խրախուսման և երթևեկության այլընտրանքային ձևերի խթանման միջոցառումը հաստատելու մասին</w:t>
      </w:r>
      <w:r w:rsidRPr="00C4488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 Հայաստանի Հանրապետության կառավարության որոշման նախագծի</w:t>
      </w:r>
      <w:r w:rsidRPr="00C44886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C44886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C448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06A5" w:rsidRPr="00C44886">
        <w:rPr>
          <w:rFonts w:ascii="GHEA Grapalat" w:hAnsi="GHEA Grapalat" w:cs="Sylfaen"/>
          <w:sz w:val="24"/>
          <w:szCs w:val="24"/>
          <w:lang w:val="hy-AM"/>
        </w:rPr>
        <w:t>2025-2030 թթ.</w:t>
      </w:r>
      <w:r w:rsidR="003006A5" w:rsidRPr="00C448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կպահանջվի 248,7 մլն ՀՀ դրամ, որից 11,3 մլն դրամը ՀՀ կառավարության որոշմամբ կվերաբաշխվի 2025 թ</w:t>
      </w:r>
      <w:r w:rsidR="003006A5" w:rsidRPr="00C44886">
        <w:rPr>
          <w:rFonts w:ascii="Cambria Math" w:hAnsi="Cambria Math" w:cs="Cambria Math"/>
          <w:sz w:val="24"/>
          <w:szCs w:val="24"/>
          <w:lang w:val="hy-AM"/>
        </w:rPr>
        <w:t>․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 xml:space="preserve"> նախարարության ընդհանուր հատկացումներից կամ </w:t>
      </w:r>
      <w:r w:rsidR="008D2EDA">
        <w:rPr>
          <w:rFonts w:ascii="GHEA Grapalat" w:hAnsi="GHEA Grapalat"/>
          <w:sz w:val="24"/>
          <w:szCs w:val="24"/>
          <w:lang w:val="hy-AM"/>
        </w:rPr>
        <w:t>կառ</w:t>
      </w:r>
      <w:bookmarkStart w:id="0" w:name="_GoBack"/>
      <w:bookmarkEnd w:id="0"/>
      <w:r w:rsidR="003006A5" w:rsidRPr="00C44886">
        <w:rPr>
          <w:rFonts w:ascii="GHEA Grapalat" w:hAnsi="GHEA Grapalat"/>
          <w:sz w:val="24"/>
          <w:szCs w:val="24"/>
          <w:lang w:val="hy-AM"/>
        </w:rPr>
        <w:t xml:space="preserve">ավարության պահուստային ֆոնդից, իսկ մնացած գումարը </w:t>
      </w:r>
      <w:r w:rsidRPr="00C44886">
        <w:rPr>
          <w:rFonts w:ascii="GHEA Grapalat" w:hAnsi="GHEA Grapalat"/>
          <w:sz w:val="24"/>
          <w:szCs w:val="24"/>
          <w:lang w:val="hy-AM"/>
        </w:rPr>
        <w:t>(202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6</w:t>
      </w:r>
      <w:r w:rsidRPr="00C44886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40</w:t>
      </w:r>
      <w:r w:rsidRPr="00C44886">
        <w:rPr>
          <w:rFonts w:ascii="GHEA Grapalat" w:hAnsi="GHEA Grapalat"/>
          <w:sz w:val="24"/>
          <w:szCs w:val="24"/>
          <w:lang w:val="hy-AM"/>
        </w:rPr>
        <w:t>,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15</w:t>
      </w:r>
      <w:r w:rsidRPr="00C44886">
        <w:rPr>
          <w:rFonts w:ascii="GHEA Grapalat" w:hAnsi="GHEA Grapalat"/>
          <w:sz w:val="24"/>
          <w:szCs w:val="24"/>
          <w:lang w:val="hy-AM"/>
        </w:rPr>
        <w:t>6.0 հազ. դրամ, 202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7</w:t>
      </w:r>
      <w:r w:rsidRPr="00C44886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8</w:t>
      </w:r>
      <w:r w:rsidRPr="00C44886">
        <w:rPr>
          <w:rFonts w:ascii="GHEA Grapalat" w:hAnsi="GHEA Grapalat"/>
          <w:sz w:val="24"/>
          <w:szCs w:val="24"/>
          <w:lang w:val="hy-AM"/>
        </w:rPr>
        <w:t>8,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178</w:t>
      </w:r>
      <w:r w:rsidRPr="00C44886">
        <w:rPr>
          <w:rFonts w:ascii="GHEA Grapalat" w:hAnsi="GHEA Grapalat"/>
          <w:sz w:val="24"/>
          <w:szCs w:val="24"/>
          <w:lang w:val="hy-AM"/>
        </w:rPr>
        <w:t>,0 հազ. դրամ, 202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8</w:t>
      </w:r>
      <w:r w:rsidRPr="00C44886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73</w:t>
      </w:r>
      <w:r w:rsidRPr="00C44886">
        <w:rPr>
          <w:rFonts w:ascii="GHEA Grapalat" w:hAnsi="GHEA Grapalat"/>
          <w:sz w:val="24"/>
          <w:szCs w:val="24"/>
          <w:lang w:val="hy-AM"/>
        </w:rPr>
        <w:t>,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092</w:t>
      </w:r>
      <w:r w:rsidRPr="00C44886">
        <w:rPr>
          <w:rFonts w:ascii="GHEA Grapalat" w:hAnsi="GHEA Grapalat"/>
          <w:sz w:val="24"/>
          <w:szCs w:val="24"/>
          <w:lang w:val="hy-AM"/>
        </w:rPr>
        <w:t>.0 հազ. դրամ, 202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9</w:t>
      </w:r>
      <w:r w:rsidRPr="00C44886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31</w:t>
      </w:r>
      <w:r w:rsidRPr="00C44886">
        <w:rPr>
          <w:rFonts w:ascii="GHEA Grapalat" w:hAnsi="GHEA Grapalat"/>
          <w:sz w:val="24"/>
          <w:szCs w:val="24"/>
          <w:lang w:val="hy-AM"/>
        </w:rPr>
        <w:t>,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651</w:t>
      </w:r>
      <w:r w:rsidRPr="00C44886">
        <w:rPr>
          <w:rFonts w:ascii="GHEA Grapalat" w:hAnsi="GHEA Grapalat"/>
          <w:sz w:val="24"/>
          <w:szCs w:val="24"/>
          <w:lang w:val="hy-AM"/>
        </w:rPr>
        <w:t>.0 հազ. դրամ, 20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30</w:t>
      </w:r>
      <w:r w:rsidRPr="00C44886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4</w:t>
      </w:r>
      <w:r w:rsidRPr="00C44886">
        <w:rPr>
          <w:rFonts w:ascii="GHEA Grapalat" w:hAnsi="GHEA Grapalat"/>
          <w:sz w:val="24"/>
          <w:szCs w:val="24"/>
          <w:lang w:val="hy-AM"/>
        </w:rPr>
        <w:t>,2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>77</w:t>
      </w:r>
      <w:r w:rsidRPr="00C44886">
        <w:rPr>
          <w:rFonts w:ascii="GHEA Grapalat" w:hAnsi="GHEA Grapalat"/>
          <w:sz w:val="24"/>
          <w:szCs w:val="24"/>
          <w:lang w:val="hy-AM"/>
        </w:rPr>
        <w:t>.0 հազ. դրամ)</w:t>
      </w:r>
      <w:r w:rsidR="003006A5" w:rsidRPr="00C44886">
        <w:rPr>
          <w:rFonts w:ascii="GHEA Grapalat" w:hAnsi="GHEA Grapalat"/>
          <w:sz w:val="24"/>
          <w:szCs w:val="24"/>
          <w:lang w:val="hy-AM"/>
        </w:rPr>
        <w:t xml:space="preserve"> կնախատեսվի համապատասխան տարվա պետական բյուջեով</w:t>
      </w:r>
      <w:r w:rsidR="001A3DAD" w:rsidRPr="00C44886">
        <w:rPr>
          <w:rFonts w:ascii="GHEA Grapalat" w:hAnsi="GHEA Grapalat"/>
          <w:sz w:val="24"/>
          <w:szCs w:val="24"/>
          <w:lang w:val="hy-AM"/>
        </w:rPr>
        <w:t>:</w:t>
      </w:r>
    </w:p>
    <w:sectPr w:rsidR="00F12C76" w:rsidRPr="00C4488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54D8"/>
    <w:rsid w:val="00073024"/>
    <w:rsid w:val="001A3DAD"/>
    <w:rsid w:val="003006A5"/>
    <w:rsid w:val="006C0B77"/>
    <w:rsid w:val="008242FF"/>
    <w:rsid w:val="008554D8"/>
    <w:rsid w:val="00870751"/>
    <w:rsid w:val="008D2EDA"/>
    <w:rsid w:val="00922C48"/>
    <w:rsid w:val="00B915B7"/>
    <w:rsid w:val="00C44886"/>
    <w:rsid w:val="00D95CF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2DC849-7444-4D6F-AFD8-1CE3F0EC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0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07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rsid w:val="000730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1200</Words>
  <Characters>6846</Characters>
  <Application>Microsoft Office Word</Application>
  <DocSecurity>0</DocSecurity>
  <Lines>57</Lines>
  <Paragraphs>16</Paragraphs>
  <ScaleCrop>false</ScaleCrop>
  <Company/>
  <LinksUpToDate>false</LinksUpToDate>
  <CharactersWithSpaces>8030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2025-03-19T12:06:00Z</dcterms:created>
  <dcterms:modified xsi:type="dcterms:W3CDTF">2025-03-20T05:56:00Z</dcterms:modified>
</cp:coreProperties>
</file>