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3C3" w:rsidRDefault="00386D0A">
      <w:pPr>
        <w:tabs>
          <w:tab w:val="left" w:pos="1080"/>
        </w:tabs>
        <w:ind w:firstLine="720"/>
        <w:jc w:val="center"/>
        <w:rPr>
          <w:rFonts w:cs="Sylfaen"/>
          <w:b/>
          <w:szCs w:val="24"/>
          <w:lang w:val="hy-AM"/>
        </w:rPr>
      </w:pPr>
      <w:r>
        <w:rPr>
          <w:rFonts w:cs="Sylfaen"/>
          <w:b/>
          <w:szCs w:val="24"/>
          <w:lang w:val="hy-AM"/>
        </w:rPr>
        <w:t>Հիմնավորում</w:t>
      </w:r>
    </w:p>
    <w:p w:rsidR="008673C3" w:rsidRDefault="00386D0A">
      <w:pPr>
        <w:tabs>
          <w:tab w:val="left" w:pos="0"/>
        </w:tabs>
        <w:spacing w:after="0" w:line="360" w:lineRule="auto"/>
        <w:ind w:firstLine="720"/>
        <w:jc w:val="center"/>
        <w:rPr>
          <w:b/>
          <w:szCs w:val="24"/>
          <w:lang w:val="hy-AM"/>
        </w:rPr>
      </w:pPr>
      <w:r>
        <w:rPr>
          <w:b/>
          <w:szCs w:val="24"/>
          <w:lang w:val="hy-AM"/>
        </w:rPr>
        <w:t xml:space="preserve">«Հայաստանի Հանրապետության կառավարության 2015 թվականի սեպտեմբերի 17-ի N 1070-Ն որոշման մեջ փոփոխություններ և լրացումներ կատարելու մասին» կառավարության որոշման </w:t>
      </w:r>
      <w:r>
        <w:rPr>
          <w:rFonts w:cs="Sylfaen"/>
          <w:b/>
          <w:szCs w:val="24"/>
          <w:lang w:val="hy-AM"/>
        </w:rPr>
        <w:t>նախագծի ընդունման վերաբերյալ</w:t>
      </w:r>
    </w:p>
    <w:p w:rsidR="008673C3" w:rsidRDefault="00386D0A">
      <w:pPr>
        <w:pStyle w:val="Armenian"/>
        <w:spacing w:line="360" w:lineRule="auto"/>
        <w:ind w:firstLine="567"/>
        <w:jc w:val="both"/>
        <w:rPr>
          <w:rFonts w:asciiTheme="minorHAnsi" w:hAnsiTheme="minorHAnsi" w:cs="Sylfaen"/>
          <w:szCs w:val="24"/>
          <w:lang w:val="hy-AM"/>
        </w:rPr>
      </w:pPr>
      <w:r>
        <w:rPr>
          <w:rFonts w:asciiTheme="minorHAnsi" w:hAnsiTheme="minorHAnsi" w:cs="Sylfaen"/>
          <w:szCs w:val="24"/>
          <w:lang w:val="hy-AM"/>
        </w:rPr>
        <w:t xml:space="preserve"> </w:t>
      </w:r>
    </w:p>
    <w:p w:rsidR="008673C3" w:rsidRDefault="00386D0A">
      <w:pPr>
        <w:tabs>
          <w:tab w:val="left" w:pos="1080"/>
        </w:tabs>
        <w:spacing w:line="360" w:lineRule="auto"/>
        <w:ind w:firstLine="720"/>
        <w:jc w:val="both"/>
        <w:rPr>
          <w:rFonts w:cs="Sylfaen"/>
          <w:b/>
          <w:szCs w:val="24"/>
          <w:lang w:val="hy-AM"/>
        </w:rPr>
      </w:pPr>
      <w:r>
        <w:rPr>
          <w:rFonts w:cs="Sylfaen"/>
          <w:b/>
          <w:szCs w:val="24"/>
          <w:lang w:val="hy-AM"/>
        </w:rPr>
        <w:t>1. Իրավական ակտի անհրաժեշտությունը (նպատակը)</w:t>
      </w:r>
    </w:p>
    <w:p w:rsidR="008673C3" w:rsidRDefault="00386D0A">
      <w:pPr>
        <w:shd w:val="clear" w:color="auto" w:fill="FFFFFF"/>
        <w:spacing w:after="0" w:line="360" w:lineRule="auto"/>
        <w:ind w:firstLine="720"/>
        <w:jc w:val="both"/>
        <w:rPr>
          <w:rFonts w:eastAsia="Times New Roman" w:cs="Times New Roman"/>
          <w:bCs/>
          <w:color w:val="000000"/>
          <w:szCs w:val="24"/>
          <w:lang w:val="hy-AM"/>
        </w:rPr>
      </w:pPr>
      <w:r>
        <w:rPr>
          <w:rFonts w:cs="Sylfaen"/>
          <w:szCs w:val="24"/>
          <w:lang w:val="hy-AM"/>
        </w:rPr>
        <w:t>Ներկայացվող նախագծի ընդունման նպատակը «Կուտակային կենսաթոշակների մասին օրենքի» 56-րդ հոդվածի 1-ին մասի 2-րդ կետով տրված լիազորությունների շրջանակում ընդունված՝ Կ</w:t>
      </w:r>
      <w:r>
        <w:rPr>
          <w:szCs w:val="24"/>
          <w:lang w:val="hy-AM"/>
        </w:rPr>
        <w:t xml:space="preserve">առավարության 2015 թվականի սեպտեմբերի 17-ի N 1070-Ն որոշման հավելվածի կիրառման ընթացքում ծագած </w:t>
      </w:r>
      <w:r>
        <w:rPr>
          <w:rFonts w:cs="Sylfaen"/>
          <w:szCs w:val="24"/>
          <w:lang w:val="hy-AM"/>
        </w:rPr>
        <w:t xml:space="preserve">խնդիրների լուծումն է, այդ որոշմամբ </w:t>
      </w:r>
      <w:r>
        <w:rPr>
          <w:szCs w:val="24"/>
          <w:lang w:val="hy-AM"/>
        </w:rPr>
        <w:t xml:space="preserve">հաստատված՝ հիվանդությունների (վիճակների) </w:t>
      </w:r>
      <w:r>
        <w:rPr>
          <w:rFonts w:eastAsia="Times New Roman" w:cs="Times New Roman"/>
          <w:bCs/>
          <w:color w:val="000000"/>
          <w:szCs w:val="24"/>
          <w:lang w:val="hy-AM"/>
        </w:rPr>
        <w:t xml:space="preserve">ցանկի վերանայելն է՝ իրավակիրառ պրակտիկայից ելնելով։ </w:t>
      </w:r>
    </w:p>
    <w:p w:rsidR="008673C3" w:rsidRDefault="00386D0A">
      <w:pPr>
        <w:tabs>
          <w:tab w:val="left" w:pos="1080"/>
        </w:tabs>
        <w:spacing w:after="0" w:line="360" w:lineRule="auto"/>
        <w:ind w:firstLine="720"/>
        <w:jc w:val="both"/>
        <w:rPr>
          <w:rFonts w:cs="Sylfaen"/>
          <w:szCs w:val="24"/>
          <w:lang w:val="hy-AM"/>
        </w:rPr>
      </w:pPr>
      <w:r>
        <w:rPr>
          <w:rFonts w:cs="Sylfaen"/>
          <w:szCs w:val="24"/>
          <w:lang w:val="hy-AM"/>
        </w:rPr>
        <w:t xml:space="preserve"> </w:t>
      </w:r>
    </w:p>
    <w:p w:rsidR="008673C3" w:rsidRDefault="00386D0A">
      <w:pPr>
        <w:tabs>
          <w:tab w:val="left" w:pos="1080"/>
        </w:tabs>
        <w:spacing w:line="360" w:lineRule="auto"/>
        <w:ind w:firstLine="720"/>
        <w:jc w:val="both"/>
        <w:rPr>
          <w:rFonts w:cs="Sylfaen"/>
          <w:b/>
          <w:szCs w:val="24"/>
          <w:lang w:val="hy-AM"/>
        </w:rPr>
      </w:pPr>
      <w:r>
        <w:rPr>
          <w:rFonts w:cs="Sylfaen"/>
          <w:b/>
          <w:szCs w:val="24"/>
          <w:lang w:val="hy-AM"/>
        </w:rPr>
        <w:t>1.1. Կարգավորման հարաբերությունների ներկա վիճակը և առկա խնդիրները</w:t>
      </w:r>
    </w:p>
    <w:p w:rsidR="008673C3" w:rsidRDefault="00386D0A">
      <w:pPr>
        <w:shd w:val="clear" w:color="auto" w:fill="FFFFFF"/>
        <w:spacing w:after="0" w:line="360" w:lineRule="auto"/>
        <w:ind w:firstLine="720"/>
        <w:jc w:val="both"/>
        <w:rPr>
          <w:rFonts w:eastAsia="Times New Roman" w:cs="Times New Roman"/>
          <w:color w:val="000000"/>
          <w:szCs w:val="24"/>
          <w:lang w:val="hy-AM"/>
        </w:rPr>
      </w:pPr>
      <w:r>
        <w:rPr>
          <w:color w:val="000000"/>
          <w:szCs w:val="24"/>
          <w:lang w:val="hy-AM"/>
        </w:rPr>
        <w:t>«Կուտակային կենսաթոշակների մասին» օրենքի  (այսուհետ՝ Օրենք) 56-րդ հոդվածի 1-ին մասի 2-րդ կետի համաձայն՝ Օրենքով սահմանված կարգով սոցիալական վճար կատարող անձը  (այսուհետ՝ մ</w:t>
      </w:r>
      <w:r>
        <w:rPr>
          <w:rFonts w:eastAsia="Times New Roman" w:cs="Times New Roman"/>
          <w:color w:val="000000"/>
          <w:szCs w:val="24"/>
          <w:lang w:val="hy-AM"/>
        </w:rPr>
        <w:t>ասնակից) իրավունք ունի ցանկացած ժամանակ, ներառյալ` նախքան կենսաթոշակային տարիքը լրանալը, ներկայացնելու իր կենսաթոշակային հաշվում առկա (այդ թվում` մասնակցի կողմից նախկինում ներկայացված դիմումի հիման վրա ծրագրային վճարի տեսքով վճարվող կենսաթոշակը) միջոցները (անկախ դրանց չափից) ամբողջությամբ ստանալու պահանջ՝ Հայաստանի Հանրապետության կառավարության սահմանած</w:t>
      </w:r>
      <w:r>
        <w:rPr>
          <w:rFonts w:ascii="Calibri" w:eastAsia="Times New Roman" w:hAnsi="Calibri" w:cs="Calibri"/>
          <w:color w:val="000000"/>
          <w:szCs w:val="24"/>
          <w:lang w:val="hy-AM"/>
        </w:rPr>
        <w:t> </w:t>
      </w:r>
      <w:hyperlink r:id="rId6" w:history="1">
        <w:r>
          <w:rPr>
            <w:rFonts w:eastAsia="Times New Roman" w:cs="Times New Roman"/>
            <w:color w:val="0000FF"/>
            <w:szCs w:val="24"/>
            <w:u w:val="single"/>
            <w:lang w:val="hy-AM"/>
          </w:rPr>
          <w:t>ցանկում</w:t>
        </w:r>
      </w:hyperlink>
      <w:r>
        <w:rPr>
          <w:rFonts w:ascii="Calibri" w:eastAsia="Times New Roman" w:hAnsi="Calibri" w:cs="Calibri"/>
          <w:color w:val="000000"/>
          <w:szCs w:val="24"/>
          <w:lang w:val="hy-AM"/>
        </w:rPr>
        <w:t> </w:t>
      </w:r>
      <w:r>
        <w:rPr>
          <w:rFonts w:eastAsia="Times New Roman" w:cs="Times New Roman"/>
          <w:color w:val="000000"/>
          <w:szCs w:val="24"/>
          <w:lang w:val="hy-AM"/>
        </w:rPr>
        <w:t>ներառված հիվանդություններով հիվանդանալու (վիճակներում գտնվելու) դեպքում՝ կենսաթոշակային ոլորտի պետական կառավարման լիազոր մարմնի տված եզրակացության հիման վրա` կենսաթոշակային ոլորտի պետական կառավարման լիազոր մարմնի սահմանած</w:t>
      </w:r>
      <w:r>
        <w:rPr>
          <w:rFonts w:ascii="Calibri" w:eastAsia="Times New Roman" w:hAnsi="Calibri" w:cs="Calibri"/>
          <w:color w:val="000000"/>
          <w:szCs w:val="24"/>
          <w:lang w:val="hy-AM"/>
        </w:rPr>
        <w:t> </w:t>
      </w:r>
      <w:hyperlink r:id="rId7" w:history="1">
        <w:r>
          <w:rPr>
            <w:rFonts w:eastAsia="Times New Roman" w:cs="Times New Roman"/>
            <w:color w:val="0000FF"/>
            <w:szCs w:val="24"/>
            <w:u w:val="single"/>
            <w:lang w:val="hy-AM"/>
          </w:rPr>
          <w:t>կարգի</w:t>
        </w:r>
      </w:hyperlink>
      <w:r>
        <w:rPr>
          <w:rFonts w:ascii="Calibri" w:eastAsia="Times New Roman" w:hAnsi="Calibri" w:cs="Calibri"/>
          <w:color w:val="000000"/>
          <w:szCs w:val="24"/>
          <w:lang w:val="hy-AM"/>
        </w:rPr>
        <w:t> </w:t>
      </w:r>
      <w:r>
        <w:rPr>
          <w:rFonts w:eastAsia="Times New Roman" w:cs="GHEA Grapalat"/>
          <w:color w:val="000000"/>
          <w:szCs w:val="24"/>
          <w:lang w:val="hy-AM"/>
        </w:rPr>
        <w:t>համաձայն</w:t>
      </w:r>
      <w:r>
        <w:rPr>
          <w:rFonts w:eastAsia="Times New Roman" w:cs="Times New Roman"/>
          <w:color w:val="000000"/>
          <w:szCs w:val="24"/>
          <w:lang w:val="hy-AM"/>
        </w:rPr>
        <w:t>։</w:t>
      </w:r>
    </w:p>
    <w:p w:rsidR="008673C3" w:rsidRDefault="00386D0A">
      <w:pPr>
        <w:shd w:val="clear" w:color="auto" w:fill="FFFFFF"/>
        <w:spacing w:after="0" w:line="360" w:lineRule="auto"/>
        <w:ind w:firstLine="720"/>
        <w:jc w:val="both"/>
        <w:rPr>
          <w:rFonts w:eastAsia="Times New Roman" w:cs="Times New Roman"/>
          <w:color w:val="000000"/>
          <w:szCs w:val="24"/>
          <w:lang w:val="hy-AM"/>
        </w:rPr>
      </w:pPr>
      <w:r>
        <w:rPr>
          <w:rFonts w:eastAsia="Times New Roman" w:cs="Times New Roman"/>
          <w:color w:val="000000"/>
          <w:szCs w:val="24"/>
          <w:lang w:val="hy-AM"/>
        </w:rPr>
        <w:t>Հիվանդությունների ցանկը հաստատված է Կառավարության 2015 թվականի սեպտեմբերի 17-ի N 1070-Ն որոշման հավելվածով (այսուհետ՝ Հավելված)։</w:t>
      </w:r>
    </w:p>
    <w:p w:rsidR="00386D0A" w:rsidRPr="00603845" w:rsidRDefault="00386D0A" w:rsidP="00386D0A">
      <w:pPr>
        <w:shd w:val="clear" w:color="auto" w:fill="FFFFFF"/>
        <w:spacing w:after="0" w:line="360" w:lineRule="auto"/>
        <w:ind w:firstLine="720"/>
        <w:jc w:val="both"/>
        <w:rPr>
          <w:color w:val="000000"/>
          <w:szCs w:val="24"/>
          <w:lang w:val="hy-AM"/>
        </w:rPr>
      </w:pPr>
      <w:r>
        <w:rPr>
          <w:bCs/>
          <w:color w:val="000000"/>
          <w:lang w:val="hy-AM"/>
        </w:rPr>
        <w:lastRenderedPageBreak/>
        <w:t xml:space="preserve">Հարկ է նկատի ունենալ, որ </w:t>
      </w:r>
      <w:r>
        <w:rPr>
          <w:color w:val="000000"/>
          <w:szCs w:val="24"/>
          <w:lang w:val="hy-AM"/>
        </w:rPr>
        <w:t xml:space="preserve">Հայաստանի Հանրապետության 2008 թվականի նոյեմբերի 13-ի </w:t>
      </w:r>
      <w:r w:rsidRPr="00C1556D">
        <w:rPr>
          <w:color w:val="000000"/>
          <w:szCs w:val="24"/>
          <w:lang w:val="af-ZA"/>
        </w:rPr>
        <w:t>N</w:t>
      </w:r>
      <w:r>
        <w:rPr>
          <w:color w:val="000000"/>
          <w:szCs w:val="24"/>
          <w:lang w:val="af-ZA"/>
        </w:rPr>
        <w:t xml:space="preserve"> </w:t>
      </w:r>
      <w:r>
        <w:rPr>
          <w:color w:val="000000"/>
          <w:szCs w:val="24"/>
          <w:lang w:val="hy-AM"/>
        </w:rPr>
        <w:t xml:space="preserve">1487-Ն որոշման </w:t>
      </w:r>
      <w:r w:rsidRPr="00C1556D">
        <w:rPr>
          <w:color w:val="000000"/>
          <w:szCs w:val="24"/>
          <w:lang w:val="af-ZA"/>
        </w:rPr>
        <w:t>N</w:t>
      </w:r>
      <w:r>
        <w:rPr>
          <w:color w:val="000000"/>
          <w:szCs w:val="24"/>
          <w:lang w:val="af-ZA"/>
        </w:rPr>
        <w:t xml:space="preserve"> 1</w:t>
      </w:r>
      <w:r>
        <w:rPr>
          <w:color w:val="000000"/>
          <w:szCs w:val="24"/>
          <w:lang w:val="hy-AM"/>
        </w:rPr>
        <w:t xml:space="preserve"> հավելվածի 51-րդ կետի՝ կ</w:t>
      </w:r>
      <w:r w:rsidRPr="00603845">
        <w:rPr>
          <w:color w:val="000000"/>
          <w:szCs w:val="24"/>
          <w:lang w:val="hy-AM"/>
        </w:rPr>
        <w:t>ուտակային կենսաթոշակի տնօրինումը մինչև կենսաթոշակային տարիքի հասնելը հնարավոր է միայն այն դեպքում, երբ անձն ունի այնպիսի հիվանդություն (հիվանդությունների ցանկը սահմանվում է Հայաստանի Հանրապետության կառավարության լիազոր մարմնի կողմից), որի բուժման համար անհրաժեշտ առողջապահական ծախսերի չկատարման դեպքում հիվանդությունը կունենա մահացու ելք, կամ անկախ ծախսերից`  մահացու ելք</w:t>
      </w:r>
      <w:r w:rsidR="005F1115">
        <w:rPr>
          <w:color w:val="000000"/>
          <w:szCs w:val="24"/>
          <w:lang w:val="hy-AM"/>
        </w:rPr>
        <w:t>ով ռիսկը մեծ է</w:t>
      </w:r>
      <w:r w:rsidRPr="00603845">
        <w:rPr>
          <w:color w:val="000000"/>
          <w:szCs w:val="24"/>
          <w:lang w:val="hy-AM"/>
        </w:rPr>
        <w:t xml:space="preserve">: </w:t>
      </w:r>
    </w:p>
    <w:p w:rsidR="008673C3" w:rsidRDefault="00386D0A">
      <w:pPr>
        <w:shd w:val="clear" w:color="auto" w:fill="FFFFFF"/>
        <w:spacing w:after="0" w:line="360" w:lineRule="auto"/>
        <w:ind w:firstLine="720"/>
        <w:jc w:val="both"/>
        <w:rPr>
          <w:rFonts w:eastAsia="Times New Roman" w:cs="Times New Roman"/>
          <w:bCs/>
          <w:color w:val="000000"/>
          <w:szCs w:val="24"/>
          <w:lang w:val="hy-AM"/>
        </w:rPr>
      </w:pPr>
      <w:r>
        <w:rPr>
          <w:rFonts w:eastAsia="Times New Roman" w:cs="Times New Roman"/>
          <w:color w:val="000000"/>
          <w:szCs w:val="24"/>
          <w:lang w:val="hy-AM"/>
        </w:rPr>
        <w:t xml:space="preserve"> </w:t>
      </w:r>
      <w:r>
        <w:rPr>
          <w:rFonts w:eastAsia="Times New Roman" w:cs="Times New Roman"/>
          <w:bCs/>
          <w:color w:val="000000"/>
          <w:szCs w:val="24"/>
          <w:lang w:val="hy-AM"/>
        </w:rPr>
        <w:t xml:space="preserve"> Իրավակիրառ պրակտիկայում առաջացել են մի շարք խնդիրներ, իրավական ակտի տարաբնույթ մեկնաբանման և կիրառելիության մասով (օրինակ, Հավելվածի 8-րդ և 18-րդ կետերի կիրառման մասով)։ </w:t>
      </w:r>
    </w:p>
    <w:p w:rsidR="008673C3" w:rsidRDefault="00386D0A">
      <w:pPr>
        <w:shd w:val="clear" w:color="auto" w:fill="FFFFFF"/>
        <w:spacing w:after="0" w:line="360" w:lineRule="auto"/>
        <w:ind w:firstLine="720"/>
        <w:jc w:val="both"/>
        <w:rPr>
          <w:rFonts w:eastAsia="Times New Roman" w:cs="Times New Roman"/>
          <w:bCs/>
          <w:color w:val="000000"/>
          <w:szCs w:val="24"/>
          <w:lang w:val="hy-AM"/>
        </w:rPr>
      </w:pPr>
      <w:r>
        <w:rPr>
          <w:rFonts w:eastAsia="Times New Roman" w:cs="Times New Roman"/>
          <w:bCs/>
          <w:color w:val="000000"/>
          <w:szCs w:val="24"/>
          <w:lang w:val="hy-AM"/>
        </w:rPr>
        <w:t xml:space="preserve">Նախարարություն են դիմել քաղաքացիներ՝ Հավելված ներառված </w:t>
      </w:r>
      <w:r>
        <w:rPr>
          <w:szCs w:val="24"/>
          <w:lang w:val="hy-AM"/>
        </w:rPr>
        <w:t xml:space="preserve">հիվանդությունների (վիճակների) </w:t>
      </w:r>
      <w:r>
        <w:rPr>
          <w:rFonts w:eastAsia="Times New Roman" w:cs="Times New Roman"/>
          <w:bCs/>
          <w:color w:val="000000"/>
          <w:szCs w:val="24"/>
          <w:lang w:val="hy-AM"/>
        </w:rPr>
        <w:t>ցանկը վերանայելու առաջարկով։</w:t>
      </w:r>
    </w:p>
    <w:p w:rsidR="008673C3" w:rsidRDefault="00386D0A">
      <w:pPr>
        <w:shd w:val="clear" w:color="auto" w:fill="FFFFFF"/>
        <w:spacing w:after="0" w:line="360" w:lineRule="auto"/>
        <w:ind w:firstLine="720"/>
        <w:jc w:val="both"/>
        <w:rPr>
          <w:lang w:val="hy-AM"/>
        </w:rPr>
      </w:pPr>
      <w:r>
        <w:rPr>
          <w:rFonts w:eastAsia="Times New Roman" w:cs="Times New Roman"/>
          <w:bCs/>
          <w:color w:val="000000"/>
          <w:szCs w:val="24"/>
          <w:lang w:val="hy-AM"/>
        </w:rPr>
        <w:t xml:space="preserve">Նույնպիսի առաջարկ ներկայացրել է նաև </w:t>
      </w:r>
      <w:r>
        <w:rPr>
          <w:lang w:val="hy-AM"/>
        </w:rPr>
        <w:t>Միասնական սոցիալական ծառայությունը։</w:t>
      </w:r>
    </w:p>
    <w:p w:rsidR="008673C3" w:rsidRDefault="00386D0A">
      <w:pPr>
        <w:shd w:val="clear" w:color="auto" w:fill="FFFFFF"/>
        <w:spacing w:after="0" w:line="360" w:lineRule="auto"/>
        <w:ind w:firstLine="720"/>
        <w:jc w:val="both"/>
        <w:rPr>
          <w:bCs/>
          <w:color w:val="000000"/>
          <w:shd w:val="clear" w:color="auto" w:fill="FFFFFF"/>
          <w:lang w:val="hy-AM"/>
        </w:rPr>
      </w:pPr>
      <w:r>
        <w:rPr>
          <w:bCs/>
          <w:color w:val="000000"/>
          <w:shd w:val="clear" w:color="auto" w:fill="FFFFFF"/>
          <w:lang w:val="hy-AM"/>
        </w:rPr>
        <w:t>Առաջարկությունները քննարկելիս հաշվի է առնվել, որ այդ ցանկում ընդգրկված են այն հիվանդություն</w:t>
      </w:r>
      <w:bookmarkStart w:id="0" w:name="_GoBack"/>
      <w:bookmarkEnd w:id="0"/>
      <w:r>
        <w:rPr>
          <w:bCs/>
          <w:color w:val="000000"/>
          <w:shd w:val="clear" w:color="auto" w:fill="FFFFFF"/>
          <w:lang w:val="hy-AM"/>
        </w:rPr>
        <w:t>ները (վիճակները), որոնց առկայության դեպքում պացիենտներն ունեն բուժման ցածր արդյունավետություն, մահաբերության բարձր ցուցանիշներ, ցածր ապրելիություն, ամոքիչ (պալիատիվ) խնամքի կարիք:</w:t>
      </w:r>
    </w:p>
    <w:p w:rsidR="008673C3" w:rsidRDefault="00386D0A">
      <w:pPr>
        <w:tabs>
          <w:tab w:val="left" w:pos="1080"/>
        </w:tabs>
        <w:spacing w:line="360" w:lineRule="auto"/>
        <w:ind w:firstLine="720"/>
        <w:jc w:val="both"/>
        <w:rPr>
          <w:rFonts w:cs="Sylfaen"/>
          <w:b/>
          <w:szCs w:val="24"/>
          <w:lang w:val="hy-AM"/>
        </w:rPr>
      </w:pPr>
      <w:r>
        <w:rPr>
          <w:rFonts w:cs="Sylfaen"/>
          <w:b/>
          <w:szCs w:val="24"/>
          <w:lang w:val="hy-AM"/>
        </w:rPr>
        <w:t>1.2. Առկա խնդրի առաջարկվող լուծումը</w:t>
      </w:r>
    </w:p>
    <w:p w:rsidR="008673C3" w:rsidRDefault="00386D0A">
      <w:pPr>
        <w:spacing w:line="360" w:lineRule="auto"/>
        <w:ind w:firstLine="720"/>
        <w:jc w:val="both"/>
        <w:rPr>
          <w:rFonts w:cs="Sylfaen"/>
          <w:szCs w:val="24"/>
          <w:lang w:val="hy-AM"/>
        </w:rPr>
      </w:pPr>
      <w:r>
        <w:rPr>
          <w:rFonts w:cs="Sylfaen"/>
          <w:szCs w:val="24"/>
          <w:lang w:val="hy-AM"/>
        </w:rPr>
        <w:t xml:space="preserve">Հաշվի առնելով վերը նշվածը՝ առաջարկվում է ընդունել </w:t>
      </w:r>
      <w:r>
        <w:rPr>
          <w:szCs w:val="24"/>
          <w:lang w:val="hy-AM"/>
        </w:rPr>
        <w:t xml:space="preserve">«Հայաստանի Հանրապետության կառավարության 2015 թվականի սեպտեմբերի 17-ի N 1070-Ն որոշման մեջ փոփոխություններ և լրացումներ կատարելու մասին» կառավարության որոշման </w:t>
      </w:r>
      <w:r>
        <w:rPr>
          <w:rFonts w:cs="Sylfaen"/>
          <w:szCs w:val="24"/>
          <w:lang w:val="hy-AM"/>
        </w:rPr>
        <w:t>նախագիծը։</w:t>
      </w:r>
    </w:p>
    <w:p w:rsidR="008673C3" w:rsidRDefault="00386D0A">
      <w:pPr>
        <w:tabs>
          <w:tab w:val="left" w:pos="1080"/>
        </w:tabs>
        <w:spacing w:line="360" w:lineRule="auto"/>
        <w:ind w:firstLine="720"/>
        <w:jc w:val="both"/>
        <w:rPr>
          <w:rFonts w:cs="Sylfaen"/>
          <w:b/>
          <w:szCs w:val="24"/>
          <w:lang w:val="hy-AM"/>
        </w:rPr>
      </w:pPr>
      <w:r>
        <w:rPr>
          <w:rFonts w:cs="Sylfaen"/>
          <w:b/>
          <w:szCs w:val="24"/>
          <w:lang w:val="hy-AM"/>
        </w:rPr>
        <w:t>2. Կարգավորման առարկան</w:t>
      </w:r>
    </w:p>
    <w:p w:rsidR="008673C3" w:rsidRDefault="00386D0A">
      <w:pPr>
        <w:spacing w:line="360" w:lineRule="auto"/>
        <w:ind w:firstLine="720"/>
        <w:jc w:val="both"/>
        <w:rPr>
          <w:szCs w:val="24"/>
          <w:lang w:val="hy-AM"/>
        </w:rPr>
      </w:pPr>
      <w:r>
        <w:rPr>
          <w:szCs w:val="24"/>
          <w:lang w:val="hy-AM"/>
        </w:rPr>
        <w:t>Նախագծով առաջարկվում է՝</w:t>
      </w:r>
    </w:p>
    <w:p w:rsidR="008673C3" w:rsidRDefault="00386D0A">
      <w:pPr>
        <w:pStyle w:val="ListParagraph"/>
        <w:numPr>
          <w:ilvl w:val="0"/>
          <w:numId w:val="17"/>
        </w:numPr>
        <w:spacing w:line="360" w:lineRule="auto"/>
        <w:ind w:left="0" w:firstLine="630"/>
        <w:jc w:val="both"/>
        <w:rPr>
          <w:rFonts w:ascii="GHEA Grapalat" w:eastAsiaTheme="minorHAnsi" w:hAnsi="GHEA Grapalat" w:cstheme="minorBidi"/>
          <w:lang w:val="hy-AM"/>
        </w:rPr>
      </w:pPr>
      <w:r>
        <w:rPr>
          <w:rFonts w:ascii="GHEA Grapalat" w:hAnsi="GHEA Grapalat"/>
          <w:lang w:val="hy-AM"/>
        </w:rPr>
        <w:lastRenderedPageBreak/>
        <w:t>Հստակեցնել արյան շրջանառության համակարգի հիվանդությունների ցանկը և հիվանդության խանգարման փուլը՝ հանելով դեկոմպենսացված փուլը,</w:t>
      </w:r>
    </w:p>
    <w:p w:rsidR="008673C3" w:rsidRDefault="00386D0A">
      <w:pPr>
        <w:pStyle w:val="ListParagraph"/>
        <w:numPr>
          <w:ilvl w:val="0"/>
          <w:numId w:val="17"/>
        </w:numPr>
        <w:spacing w:line="360" w:lineRule="auto"/>
        <w:ind w:left="0" w:firstLine="630"/>
        <w:jc w:val="both"/>
        <w:rPr>
          <w:rFonts w:ascii="GHEA Grapalat" w:hAnsi="GHEA Grapalat"/>
          <w:lang w:val="hy-AM"/>
        </w:rPr>
      </w:pPr>
      <w:r>
        <w:rPr>
          <w:rFonts w:ascii="GHEA Grapalat" w:hAnsi="GHEA Grapalat"/>
          <w:lang w:val="hy-AM"/>
        </w:rPr>
        <w:t>սրտային անբավարարություն   հիվանդությունների դեպքում հստակեցվում է, որ բարդացած հաճախակի դեկոմպենսացիաներով վիճակները պետք է հաստատված լինեն բժշկական փաստաթղթերով,</w:t>
      </w:r>
    </w:p>
    <w:p w:rsidR="008673C3" w:rsidRDefault="00386D0A">
      <w:pPr>
        <w:pStyle w:val="ListParagraph"/>
        <w:numPr>
          <w:ilvl w:val="0"/>
          <w:numId w:val="17"/>
        </w:numPr>
        <w:spacing w:line="360" w:lineRule="auto"/>
        <w:ind w:left="0" w:firstLine="630"/>
        <w:jc w:val="both"/>
        <w:rPr>
          <w:rFonts w:ascii="GHEA Grapalat" w:hAnsi="GHEA Grapalat"/>
          <w:lang w:val="hy-AM"/>
        </w:rPr>
      </w:pPr>
      <w:r>
        <w:rPr>
          <w:rFonts w:ascii="GHEA Grapalat" w:hAnsi="GHEA Grapalat"/>
          <w:lang w:val="hy-AM"/>
        </w:rPr>
        <w:t>արյան և արյունաստեղծ օրգանների հիվանդությունների դեպքում հիվանդությունների վիճակից հանվում է դեկոմպենսացված, ամոքիչ (պալիատիվ) վիճակը (դրական եզրակացությունը տրվում է անկախ այդ վիճակից), բացի այդ այս բաժնից հանվել է արյունաստեղծ և նմանատիպ հյուսվածքների չարորակ նորագոյացությունները՝ այդ հիվանդությունները թողնելով միայն 6-րդ (չարորակ նորագոյացություններ) բաժնի շրջանակներում քննության առնելու հնարավորությունը,</w:t>
      </w:r>
    </w:p>
    <w:p w:rsidR="008673C3" w:rsidRDefault="00386D0A">
      <w:pPr>
        <w:pStyle w:val="ListParagraph"/>
        <w:numPr>
          <w:ilvl w:val="0"/>
          <w:numId w:val="17"/>
        </w:numPr>
        <w:spacing w:line="360" w:lineRule="auto"/>
        <w:ind w:left="0" w:firstLine="630"/>
        <w:jc w:val="both"/>
        <w:rPr>
          <w:rFonts w:ascii="GHEA Grapalat" w:hAnsi="GHEA Grapalat"/>
          <w:lang w:val="hy-AM"/>
        </w:rPr>
      </w:pPr>
      <w:r>
        <w:rPr>
          <w:rFonts w:ascii="GHEA Grapalat" w:hAnsi="GHEA Grapalat"/>
          <w:lang w:val="hy-AM"/>
        </w:rPr>
        <w:t xml:space="preserve">շնչառական օրգանների հիվանդություններից թոքերի սարկոիդոզի դեպքում, որպես հիվանդության վիճակ թղնել միայն </w:t>
      </w:r>
      <w:r>
        <w:rPr>
          <w:rFonts w:ascii="GHEA Grapalat" w:hAnsi="GHEA Grapalat"/>
          <w:color w:val="000000"/>
          <w:lang w:val="hy-AM"/>
        </w:rPr>
        <w:t>III</w:t>
      </w:r>
      <w:r>
        <w:rPr>
          <w:rFonts w:ascii="GHEA Grapalat" w:hAnsi="GHEA Grapalat"/>
          <w:color w:val="000000"/>
          <w:vertAlign w:val="superscript"/>
          <w:lang w:val="hy-AM"/>
        </w:rPr>
        <w:t>0</w:t>
      </w:r>
      <w:r>
        <w:rPr>
          <w:rFonts w:ascii="Calibri" w:hAnsi="Calibri" w:cs="Calibri"/>
          <w:color w:val="000000"/>
          <w:lang w:val="hy-AM"/>
        </w:rPr>
        <w:t xml:space="preserve">  </w:t>
      </w:r>
      <w:r>
        <w:rPr>
          <w:rFonts w:ascii="GHEA Grapalat" w:hAnsi="GHEA Grapalat" w:cs="GHEA Grapalat"/>
          <w:color w:val="000000"/>
          <w:lang w:val="hy-AM"/>
        </w:rPr>
        <w:t>շնչառական</w:t>
      </w:r>
      <w:r>
        <w:rPr>
          <w:rFonts w:ascii="GHEA Grapalat" w:hAnsi="GHEA Grapalat"/>
          <w:color w:val="000000"/>
          <w:lang w:val="hy-AM"/>
        </w:rPr>
        <w:t xml:space="preserve"> </w:t>
      </w:r>
      <w:r>
        <w:rPr>
          <w:rFonts w:ascii="GHEA Grapalat" w:hAnsi="GHEA Grapalat" w:cs="GHEA Grapalat"/>
          <w:color w:val="000000"/>
          <w:lang w:val="hy-AM"/>
        </w:rPr>
        <w:t>ֆունկցիայի</w:t>
      </w:r>
      <w:r>
        <w:rPr>
          <w:rFonts w:ascii="GHEA Grapalat" w:hAnsi="GHEA Grapalat"/>
          <w:color w:val="000000"/>
          <w:lang w:val="hy-AM"/>
        </w:rPr>
        <w:t xml:space="preserve"> </w:t>
      </w:r>
      <w:r>
        <w:rPr>
          <w:rFonts w:ascii="GHEA Grapalat" w:hAnsi="GHEA Grapalat" w:cs="GHEA Grapalat"/>
          <w:color w:val="000000"/>
          <w:lang w:val="hy-AM"/>
        </w:rPr>
        <w:t>ռեստրիկտիվ</w:t>
      </w:r>
      <w:r>
        <w:rPr>
          <w:rFonts w:ascii="GHEA Grapalat" w:hAnsi="GHEA Grapalat"/>
          <w:color w:val="000000"/>
          <w:lang w:val="hy-AM"/>
        </w:rPr>
        <w:t xml:space="preserve"> </w:t>
      </w:r>
      <w:r>
        <w:rPr>
          <w:rFonts w:ascii="GHEA Grapalat" w:hAnsi="GHEA Grapalat" w:cs="GHEA Grapalat"/>
          <w:color w:val="000000"/>
          <w:lang w:val="hy-AM"/>
        </w:rPr>
        <w:t>խանգարումները,</w:t>
      </w:r>
    </w:p>
    <w:p w:rsidR="008673C3" w:rsidRDefault="00386D0A">
      <w:pPr>
        <w:pStyle w:val="ListParagraph"/>
        <w:numPr>
          <w:ilvl w:val="0"/>
          <w:numId w:val="17"/>
        </w:numPr>
        <w:spacing w:line="360" w:lineRule="auto"/>
        <w:ind w:left="0" w:firstLine="630"/>
        <w:jc w:val="both"/>
        <w:rPr>
          <w:rFonts w:ascii="GHEA Grapalat" w:hAnsi="GHEA Grapalat"/>
          <w:lang w:val="hy-AM"/>
        </w:rPr>
      </w:pPr>
      <w:r>
        <w:rPr>
          <w:rFonts w:ascii="GHEA Grapalat" w:hAnsi="GHEA Grapalat"/>
          <w:lang w:val="hy-AM"/>
        </w:rPr>
        <w:t>նյարդային համակարգի հիվանդություններում առաջարկվում է ավելացնել վիրահատական բուժում պահանջող ներգանգային անևրիզմաներ, իսկ ընդհանուր հիվանդությունների վիճակներում հստակեցվում է, որ շարժողական ֆունկցիայի խանգարումները պետք է լինեն կայուն չափավոր և արտահայտված,</w:t>
      </w:r>
    </w:p>
    <w:p w:rsidR="008673C3" w:rsidRDefault="00386D0A">
      <w:pPr>
        <w:pStyle w:val="ListParagraph"/>
        <w:numPr>
          <w:ilvl w:val="0"/>
          <w:numId w:val="17"/>
        </w:numPr>
        <w:spacing w:line="360" w:lineRule="auto"/>
        <w:ind w:left="0" w:firstLine="630"/>
        <w:jc w:val="both"/>
        <w:rPr>
          <w:rFonts w:ascii="GHEA Grapalat" w:hAnsi="GHEA Grapalat"/>
          <w:lang w:val="hy-AM"/>
        </w:rPr>
      </w:pPr>
      <w:r>
        <w:rPr>
          <w:rFonts w:ascii="GHEA Grapalat" w:hAnsi="GHEA Grapalat"/>
          <w:lang w:val="hy-AM"/>
        </w:rPr>
        <w:t>չարորակ նորագոյաթյունների դեպքում առաջարկվում է ներառել նաև հիվանդությունների 2-րդ փուլը, իսկ մնացորդային չարորակ նորագոյացությունների դեպքում հստակեցվում է հիվանդությունների վիճակը՝ պրոգրեսիա, հիվանդության կրկնություն (ռեցիդիվ),</w:t>
      </w:r>
    </w:p>
    <w:p w:rsidR="008673C3" w:rsidRDefault="00386D0A">
      <w:pPr>
        <w:pStyle w:val="ListParagraph"/>
        <w:numPr>
          <w:ilvl w:val="0"/>
          <w:numId w:val="17"/>
        </w:numPr>
        <w:spacing w:line="360" w:lineRule="auto"/>
        <w:ind w:left="0" w:firstLine="630"/>
        <w:jc w:val="both"/>
        <w:rPr>
          <w:rFonts w:ascii="GHEA Grapalat" w:hAnsi="GHEA Grapalat"/>
          <w:lang w:val="hy-AM"/>
        </w:rPr>
      </w:pPr>
      <w:r>
        <w:rPr>
          <w:rFonts w:ascii="GHEA Grapalat" w:hAnsi="GHEA Grapalat"/>
          <w:lang w:val="hy-AM"/>
        </w:rPr>
        <w:t>մարսողական համակարգի և վարակիչ հիվանդությունների վիճակներից հանվում է հյուծումով (կախեքսիայով) վիճակը (դրական եզրակացությունը տրվելու է անկախ այդ վիճակից),</w:t>
      </w:r>
    </w:p>
    <w:p w:rsidR="008673C3" w:rsidRDefault="00386D0A">
      <w:pPr>
        <w:pStyle w:val="ListParagraph"/>
        <w:numPr>
          <w:ilvl w:val="0"/>
          <w:numId w:val="17"/>
        </w:numPr>
        <w:spacing w:line="360" w:lineRule="auto"/>
        <w:ind w:left="0" w:firstLine="630"/>
        <w:jc w:val="both"/>
        <w:rPr>
          <w:rFonts w:ascii="GHEA Grapalat" w:hAnsi="GHEA Grapalat"/>
          <w:lang w:val="hy-AM"/>
        </w:rPr>
      </w:pPr>
      <w:r>
        <w:rPr>
          <w:rFonts w:ascii="GHEA Grapalat" w:hAnsi="GHEA Grapalat"/>
          <w:lang w:val="hy-AM"/>
        </w:rPr>
        <w:t>հստակեցվել են ակնաբուժական հիվանդությունների ցանկը՝ իրավակիրառ պրակտիկայից ելնելով։</w:t>
      </w:r>
    </w:p>
    <w:p w:rsidR="008673C3" w:rsidRDefault="008673C3">
      <w:pPr>
        <w:pStyle w:val="NormalWeb"/>
        <w:shd w:val="clear" w:color="auto" w:fill="FFFFFF"/>
        <w:spacing w:before="0" w:beforeAutospacing="0" w:after="0" w:afterAutospacing="0" w:line="360" w:lineRule="auto"/>
        <w:ind w:firstLine="567"/>
        <w:jc w:val="both"/>
        <w:rPr>
          <w:rFonts w:cs="Sylfaen"/>
          <w:lang w:val="hy-AM"/>
        </w:rPr>
      </w:pPr>
    </w:p>
    <w:p w:rsidR="008673C3" w:rsidRDefault="00386D0A">
      <w:pPr>
        <w:tabs>
          <w:tab w:val="left" w:pos="1080"/>
        </w:tabs>
        <w:spacing w:after="0" w:line="360" w:lineRule="auto"/>
        <w:ind w:firstLine="720"/>
        <w:jc w:val="both"/>
        <w:rPr>
          <w:rFonts w:cs="Sylfaen"/>
          <w:b/>
          <w:szCs w:val="24"/>
          <w:lang w:val="hy-AM"/>
        </w:rPr>
      </w:pPr>
      <w:r>
        <w:rPr>
          <w:rFonts w:cs="Sylfaen"/>
          <w:b/>
          <w:szCs w:val="24"/>
          <w:lang w:val="hy-AM"/>
        </w:rPr>
        <w:t>3. Իրավական ակտի կիրառման դեպքում ակնկալվող արդյունքը</w:t>
      </w:r>
    </w:p>
    <w:p w:rsidR="008673C3" w:rsidRDefault="00386D0A">
      <w:pPr>
        <w:tabs>
          <w:tab w:val="left" w:pos="1080"/>
        </w:tabs>
        <w:spacing w:after="0" w:line="360" w:lineRule="auto"/>
        <w:ind w:firstLine="720"/>
        <w:jc w:val="both"/>
        <w:rPr>
          <w:szCs w:val="24"/>
          <w:lang w:val="hy-AM"/>
        </w:rPr>
      </w:pPr>
      <w:r>
        <w:rPr>
          <w:rFonts w:cs="Sylfaen"/>
          <w:szCs w:val="24"/>
          <w:lang w:val="hy-AM"/>
        </w:rPr>
        <w:t xml:space="preserve">Նախագիծը ընդունվելու դեպքում կհստակեցվի </w:t>
      </w:r>
      <w:r>
        <w:rPr>
          <w:szCs w:val="24"/>
          <w:lang w:val="hy-AM"/>
        </w:rPr>
        <w:t xml:space="preserve">Որոշման հավելվածով հաստատված հիվանդությունների (վիճակների) ցանկը, </w:t>
      </w:r>
      <w:r>
        <w:rPr>
          <w:rFonts w:cs="Sylfaen"/>
          <w:szCs w:val="24"/>
          <w:lang w:val="hy-AM"/>
        </w:rPr>
        <w:t>ինչպես նաև կլուծվեն իրավակիրառ պրակտիկայում ծագած խնդիրները:</w:t>
      </w:r>
    </w:p>
    <w:p w:rsidR="008673C3" w:rsidRDefault="008673C3">
      <w:pPr>
        <w:tabs>
          <w:tab w:val="left" w:pos="1080"/>
        </w:tabs>
        <w:spacing w:after="0" w:line="360" w:lineRule="auto"/>
        <w:ind w:firstLine="720"/>
        <w:jc w:val="both"/>
        <w:rPr>
          <w:szCs w:val="24"/>
          <w:lang w:val="af-ZA"/>
        </w:rPr>
      </w:pPr>
    </w:p>
    <w:p w:rsidR="008673C3" w:rsidRDefault="00386D0A">
      <w:pPr>
        <w:tabs>
          <w:tab w:val="left" w:pos="1080"/>
        </w:tabs>
        <w:spacing w:after="0" w:line="360" w:lineRule="auto"/>
        <w:ind w:firstLine="720"/>
        <w:jc w:val="both"/>
        <w:rPr>
          <w:rFonts w:cs="Sylfaen"/>
          <w:b/>
          <w:szCs w:val="24"/>
          <w:lang w:val="hy-AM"/>
        </w:rPr>
      </w:pPr>
      <w:r>
        <w:rPr>
          <w:rFonts w:cs="Sylfaen"/>
          <w:b/>
          <w:szCs w:val="24"/>
          <w:lang w:val="hy-AM"/>
        </w:rPr>
        <w:t>4. Կապը ռազմավարական փաստաթղթերի հետ</w:t>
      </w:r>
      <w:r>
        <w:rPr>
          <w:rFonts w:ascii="MS Mincho" w:eastAsia="MS Mincho" w:hAnsi="MS Mincho" w:cs="MS Mincho" w:hint="eastAsia"/>
          <w:b/>
          <w:szCs w:val="24"/>
          <w:lang w:val="hy-AM"/>
        </w:rPr>
        <w:t>․</w:t>
      </w:r>
      <w:r>
        <w:rPr>
          <w:rFonts w:cs="Sylfaen"/>
          <w:b/>
          <w:szCs w:val="24"/>
          <w:lang w:val="hy-AM"/>
        </w:rPr>
        <w:t xml:space="preserve"> Հայաստանի վերափոխման ռազմավարություն 2050, Կառավարության 2021-2026թթ</w:t>
      </w:r>
      <w:r>
        <w:rPr>
          <w:rFonts w:ascii="MS Mincho" w:eastAsia="MS Mincho" w:hAnsi="MS Mincho" w:cs="MS Mincho" w:hint="eastAsia"/>
          <w:b/>
          <w:szCs w:val="24"/>
          <w:lang w:val="hy-AM"/>
        </w:rPr>
        <w:t>․</w:t>
      </w:r>
      <w:r>
        <w:rPr>
          <w:rFonts w:cs="Sylfaen"/>
          <w:b/>
          <w:szCs w:val="24"/>
          <w:lang w:val="hy-AM"/>
        </w:rPr>
        <w:t xml:space="preserve"> ծրագիր, ոլորտային և/կամ այլ ռազմավարություններ</w:t>
      </w:r>
    </w:p>
    <w:p w:rsidR="008673C3" w:rsidRDefault="008673C3">
      <w:pPr>
        <w:pStyle w:val="ListParagraph"/>
        <w:tabs>
          <w:tab w:val="left" w:pos="1080"/>
        </w:tabs>
        <w:spacing w:line="360" w:lineRule="auto"/>
        <w:ind w:left="0" w:firstLine="720"/>
        <w:jc w:val="both"/>
        <w:rPr>
          <w:rFonts w:ascii="GHEA Grapalat" w:hAnsi="GHEA Grapalat"/>
          <w:lang w:val="hy-AM"/>
        </w:rPr>
      </w:pPr>
    </w:p>
    <w:p w:rsidR="008673C3" w:rsidRDefault="00386D0A">
      <w:pPr>
        <w:pStyle w:val="ListParagraph"/>
        <w:tabs>
          <w:tab w:val="left" w:pos="1080"/>
        </w:tabs>
        <w:spacing w:line="360" w:lineRule="auto"/>
        <w:ind w:left="0" w:firstLine="567"/>
        <w:jc w:val="both"/>
        <w:rPr>
          <w:rFonts w:ascii="GHEA Grapalat" w:hAnsi="GHEA Grapalat"/>
          <w:lang w:val="hy-AM"/>
        </w:rPr>
      </w:pPr>
      <w:r>
        <w:rPr>
          <w:rFonts w:ascii="GHEA Grapalat" w:hAnsi="GHEA Grapalat"/>
          <w:lang w:val="hy-AM"/>
        </w:rPr>
        <w:t xml:space="preserve">«Հայաստանի Հանրապետության կառավարության 2015 թվականի սեպտեմբերի 17-ի N 1070-Ն որոշման մեջ փոփոխություններ և լրացումներ կատարելու մասին» կառավարության որոշման նախագիծը բխում է Կառավարության 2021-2026 թթ. ծրագրի «4.6 ԱՇԽԱՏԱՆՔ ԵՎ ՍՈՑԻԱԼԱԿԱՆ ՊԱՇՏՊԱՆՈՒԹՅՈՒՆ» գլխի վերջին մասին, այն է՝ «Կենսաթոշակառուներին և նպաստառուներին մատուցվող ծառայությունների որակը բարձրացնելու, ինչպես նաև կենսաթոշակների և նպաստների նշանակման, վճարման գործընթացները լավարկելու նպատակով կատարելագործվելու է օրենսդրությունը, ընդլայնվելու է առցանց մատուցվող ծառայությունների շրջանակը՝ ի հաշիվ տեղեկատվական համակարգեր ներառող տվյալների ստացման որակական և քանակական բարելավման:»։ </w:t>
      </w:r>
    </w:p>
    <w:p w:rsidR="008673C3" w:rsidRDefault="00386D0A">
      <w:pPr>
        <w:pStyle w:val="ListParagraph"/>
        <w:tabs>
          <w:tab w:val="left" w:pos="1080"/>
        </w:tabs>
        <w:spacing w:line="360" w:lineRule="auto"/>
        <w:ind w:left="0" w:firstLine="567"/>
        <w:jc w:val="both"/>
        <w:rPr>
          <w:rFonts w:ascii="GHEA Grapalat" w:hAnsi="GHEA Grapalat" w:cs="Sylfaen"/>
          <w:lang w:val="hy-AM"/>
        </w:rPr>
      </w:pPr>
      <w:r>
        <w:rPr>
          <w:rFonts w:ascii="GHEA Grapalat" w:hAnsi="GHEA Grapalat" w:cs="Sylfaen"/>
          <w:lang w:val="hy-AM"/>
        </w:rPr>
        <w:t xml:space="preserve">Նախագծի ընդունումը նպատակ ունի հստակեցնել «Կուտակային կենսաթոշակների մասին օրենքի» 56-րդ հոդվածի 1-ին մասի 2-րդ կետով տրված լիազորությունների շրջանակում ընդունված՝ Կառավարության 2015 թվականի սեպտեմբերի 17-ի N 1070-Ն որոշման հավելվածի կիրառումը՝ անդրադառնալով իրավակիրառ պրակտիկայում ծագած խնդիրների լուծմանը։ </w:t>
      </w:r>
    </w:p>
    <w:p w:rsidR="008673C3" w:rsidRDefault="00386D0A">
      <w:pPr>
        <w:tabs>
          <w:tab w:val="left" w:pos="567"/>
          <w:tab w:val="left" w:pos="900"/>
          <w:tab w:val="left" w:pos="1080"/>
        </w:tabs>
        <w:spacing w:after="0" w:line="360" w:lineRule="auto"/>
        <w:ind w:firstLine="720"/>
        <w:jc w:val="both"/>
        <w:rPr>
          <w:rFonts w:cs="Sylfaen"/>
          <w:b/>
          <w:szCs w:val="24"/>
          <w:lang w:val="hy-AM"/>
        </w:rPr>
      </w:pPr>
      <w:r>
        <w:rPr>
          <w:rFonts w:cs="Sylfaen"/>
          <w:b/>
          <w:szCs w:val="24"/>
          <w:lang w:val="hy-AM"/>
        </w:rPr>
        <w:t>5. Տեղեկանք պետական բյուջեի եկամուտների և ծախսերի վերաբերյալ</w:t>
      </w:r>
    </w:p>
    <w:p w:rsidR="008673C3" w:rsidRDefault="00386D0A">
      <w:pPr>
        <w:spacing w:line="360" w:lineRule="auto"/>
        <w:ind w:firstLine="720"/>
        <w:jc w:val="both"/>
        <w:rPr>
          <w:rFonts w:eastAsia="Times New Roman" w:cs="Times New Roman"/>
          <w:color w:val="000000"/>
          <w:szCs w:val="24"/>
          <w:lang w:val="hy-AM"/>
        </w:rPr>
      </w:pPr>
      <w:r>
        <w:rPr>
          <w:szCs w:val="24"/>
          <w:lang w:val="hy-AM"/>
        </w:rPr>
        <w:t xml:space="preserve">Նախագծի ընդունման դեպքում </w:t>
      </w:r>
      <w:r>
        <w:rPr>
          <w:rFonts w:cs="Sylfaen"/>
          <w:szCs w:val="24"/>
          <w:lang w:val="hy-AM"/>
        </w:rPr>
        <w:t xml:space="preserve">պետական բյուջեի եկամուտները և ծախսերը չեն փոխվի։ </w:t>
      </w:r>
    </w:p>
    <w:p w:rsidR="008673C3" w:rsidRDefault="008673C3">
      <w:pPr>
        <w:rPr>
          <w:lang w:val="hy-AM"/>
        </w:rPr>
      </w:pPr>
    </w:p>
    <w:sectPr w:rsidR="008673C3">
      <w:pgSz w:w="12240" w:h="15840"/>
      <w:pgMar w:top="810" w:right="63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gg_Times1">
    <w:altName w:val="Calibri"/>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F2486"/>
    <w:multiLevelType w:val="hybridMultilevel"/>
    <w:tmpl w:val="20F6F8DC"/>
    <w:lvl w:ilvl="0" w:tplc="6A1EA248">
      <w:start w:val="1"/>
      <w:numFmt w:val="decimal"/>
      <w:lvlText w:val="1.%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E7555B1"/>
    <w:multiLevelType w:val="hybridMultilevel"/>
    <w:tmpl w:val="2BB66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B20575"/>
    <w:multiLevelType w:val="hybridMultilevel"/>
    <w:tmpl w:val="6ECC0428"/>
    <w:lvl w:ilvl="0" w:tplc="0409000F">
      <w:start w:val="1"/>
      <w:numFmt w:val="decimal"/>
      <w:lvlText w:val="%1."/>
      <w:lvlJc w:val="left"/>
      <w:pPr>
        <w:ind w:left="63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99354BB"/>
    <w:multiLevelType w:val="hybridMultilevel"/>
    <w:tmpl w:val="FF4224EC"/>
    <w:lvl w:ilvl="0" w:tplc="CCC405E4">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01E5D18"/>
    <w:multiLevelType w:val="hybridMultilevel"/>
    <w:tmpl w:val="D5F6D79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8D94200"/>
    <w:multiLevelType w:val="hybridMultilevel"/>
    <w:tmpl w:val="98C896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909038C"/>
    <w:multiLevelType w:val="hybridMultilevel"/>
    <w:tmpl w:val="AAB2F0C6"/>
    <w:lvl w:ilvl="0" w:tplc="067E4EC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C1F59A7"/>
    <w:multiLevelType w:val="hybridMultilevel"/>
    <w:tmpl w:val="422C021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331F6586"/>
    <w:multiLevelType w:val="hybridMultilevel"/>
    <w:tmpl w:val="016E41A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35E01C8F"/>
    <w:multiLevelType w:val="multilevel"/>
    <w:tmpl w:val="CCF45EC2"/>
    <w:lvl w:ilvl="0">
      <w:start w:val="1"/>
      <w:numFmt w:val="decimal"/>
      <w:lvlText w:val="%1."/>
      <w:lvlJc w:val="left"/>
      <w:pPr>
        <w:ind w:left="1980" w:hanging="1260"/>
      </w:pPr>
      <w:rPr>
        <w:rFonts w:hint="default"/>
        <w:b w:val="0"/>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 w15:restartNumberingAfterBreak="0">
    <w:nsid w:val="4D527AB1"/>
    <w:multiLevelType w:val="hybridMultilevel"/>
    <w:tmpl w:val="D0D03BFA"/>
    <w:lvl w:ilvl="0" w:tplc="F8C417A8">
      <w:start w:val="1"/>
      <w:numFmt w:val="decimal"/>
      <w:lvlText w:val="2.%1."/>
      <w:lvlJc w:val="left"/>
      <w:pPr>
        <w:ind w:left="1440" w:hanging="360"/>
      </w:pPr>
      <w:rPr>
        <w:rFonts w:hint="default"/>
        <w:b w:val="0"/>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E5D0472"/>
    <w:multiLevelType w:val="hybridMultilevel"/>
    <w:tmpl w:val="6552565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15:restartNumberingAfterBreak="0">
    <w:nsid w:val="5269456D"/>
    <w:multiLevelType w:val="hybridMultilevel"/>
    <w:tmpl w:val="217E64CA"/>
    <w:lvl w:ilvl="0" w:tplc="162AD130">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0CF3048"/>
    <w:multiLevelType w:val="hybridMultilevel"/>
    <w:tmpl w:val="F9A0215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67B85A81"/>
    <w:multiLevelType w:val="hybridMultilevel"/>
    <w:tmpl w:val="D7567F4C"/>
    <w:lvl w:ilvl="0" w:tplc="0409000F">
      <w:start w:val="1"/>
      <w:numFmt w:val="decimal"/>
      <w:lvlText w:val="%1."/>
      <w:lvlJc w:val="left"/>
      <w:pPr>
        <w:ind w:left="1510" w:hanging="360"/>
      </w:pPr>
    </w:lvl>
    <w:lvl w:ilvl="1" w:tplc="04090019" w:tentative="1">
      <w:start w:val="1"/>
      <w:numFmt w:val="lowerLetter"/>
      <w:lvlText w:val="%2."/>
      <w:lvlJc w:val="left"/>
      <w:pPr>
        <w:ind w:left="2230" w:hanging="360"/>
      </w:pPr>
    </w:lvl>
    <w:lvl w:ilvl="2" w:tplc="0409001B" w:tentative="1">
      <w:start w:val="1"/>
      <w:numFmt w:val="lowerRoman"/>
      <w:lvlText w:val="%3."/>
      <w:lvlJc w:val="right"/>
      <w:pPr>
        <w:ind w:left="2950" w:hanging="180"/>
      </w:pPr>
    </w:lvl>
    <w:lvl w:ilvl="3" w:tplc="0409000F" w:tentative="1">
      <w:start w:val="1"/>
      <w:numFmt w:val="decimal"/>
      <w:lvlText w:val="%4."/>
      <w:lvlJc w:val="left"/>
      <w:pPr>
        <w:ind w:left="3670" w:hanging="360"/>
      </w:pPr>
    </w:lvl>
    <w:lvl w:ilvl="4" w:tplc="04090019" w:tentative="1">
      <w:start w:val="1"/>
      <w:numFmt w:val="lowerLetter"/>
      <w:lvlText w:val="%5."/>
      <w:lvlJc w:val="left"/>
      <w:pPr>
        <w:ind w:left="4390" w:hanging="360"/>
      </w:pPr>
    </w:lvl>
    <w:lvl w:ilvl="5" w:tplc="0409001B" w:tentative="1">
      <w:start w:val="1"/>
      <w:numFmt w:val="lowerRoman"/>
      <w:lvlText w:val="%6."/>
      <w:lvlJc w:val="right"/>
      <w:pPr>
        <w:ind w:left="5110" w:hanging="180"/>
      </w:pPr>
    </w:lvl>
    <w:lvl w:ilvl="6" w:tplc="0409000F" w:tentative="1">
      <w:start w:val="1"/>
      <w:numFmt w:val="decimal"/>
      <w:lvlText w:val="%7."/>
      <w:lvlJc w:val="left"/>
      <w:pPr>
        <w:ind w:left="5830" w:hanging="360"/>
      </w:pPr>
    </w:lvl>
    <w:lvl w:ilvl="7" w:tplc="04090019" w:tentative="1">
      <w:start w:val="1"/>
      <w:numFmt w:val="lowerLetter"/>
      <w:lvlText w:val="%8."/>
      <w:lvlJc w:val="left"/>
      <w:pPr>
        <w:ind w:left="6550" w:hanging="360"/>
      </w:pPr>
    </w:lvl>
    <w:lvl w:ilvl="8" w:tplc="0409001B" w:tentative="1">
      <w:start w:val="1"/>
      <w:numFmt w:val="lowerRoman"/>
      <w:lvlText w:val="%9."/>
      <w:lvlJc w:val="right"/>
      <w:pPr>
        <w:ind w:left="7270" w:hanging="180"/>
      </w:pPr>
    </w:lvl>
  </w:abstractNum>
  <w:abstractNum w:abstractNumId="15" w15:restartNumberingAfterBreak="0">
    <w:nsid w:val="6A226974"/>
    <w:multiLevelType w:val="hybridMultilevel"/>
    <w:tmpl w:val="B5FC146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75A32D63"/>
    <w:multiLevelType w:val="hybridMultilevel"/>
    <w:tmpl w:val="E7B46D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4"/>
  </w:num>
  <w:num w:numId="2">
    <w:abstractNumId w:val="6"/>
  </w:num>
  <w:num w:numId="3">
    <w:abstractNumId w:val="2"/>
  </w:num>
  <w:num w:numId="4">
    <w:abstractNumId w:val="9"/>
  </w:num>
  <w:num w:numId="5">
    <w:abstractNumId w:val="0"/>
  </w:num>
  <w:num w:numId="6">
    <w:abstractNumId w:val="10"/>
  </w:num>
  <w:num w:numId="7">
    <w:abstractNumId w:val="1"/>
  </w:num>
  <w:num w:numId="8">
    <w:abstractNumId w:val="12"/>
  </w:num>
  <w:num w:numId="9">
    <w:abstractNumId w:val="4"/>
  </w:num>
  <w:num w:numId="10">
    <w:abstractNumId w:val="16"/>
  </w:num>
  <w:num w:numId="11">
    <w:abstractNumId w:val="13"/>
  </w:num>
  <w:num w:numId="12">
    <w:abstractNumId w:val="8"/>
  </w:num>
  <w:num w:numId="13">
    <w:abstractNumId w:val="11"/>
  </w:num>
  <w:num w:numId="14">
    <w:abstractNumId w:val="15"/>
  </w:num>
  <w:num w:numId="15">
    <w:abstractNumId w:val="5"/>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3C3"/>
    <w:rsid w:val="00386D0A"/>
    <w:rsid w:val="005F1115"/>
    <w:rsid w:val="00603845"/>
    <w:rsid w:val="008673C3"/>
    <w:rsid w:val="00D63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0613A"/>
  <w15:docId w15:val="{D2361671-58CF-4B11-86A5-76B3F78F3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HEA Grapalat"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pPr>
      <w:spacing w:after="0" w:line="240" w:lineRule="auto"/>
      <w:ind w:left="720"/>
    </w:pPr>
    <w:rPr>
      <w:rFonts w:ascii="Times New Roman" w:eastAsia="Times New Roman" w:hAnsi="Times New Roman" w:cs="Times New Roman"/>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Char Char Char1, webb,Обычный (Web)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paragraph" w:customStyle="1" w:styleId="Armenian">
    <w:name w:val="Armenian"/>
    <w:basedOn w:val="Normal"/>
    <w:link w:val="ArmenianChar"/>
    <w:qFormat/>
    <w:pPr>
      <w:spacing w:after="0" w:line="240" w:lineRule="auto"/>
    </w:pPr>
    <w:rPr>
      <w:rFonts w:ascii="Agg_Times1" w:eastAsia="Times New Roman" w:hAnsi="Agg_Times1" w:cs="Times New Roman"/>
      <w:szCs w:val="20"/>
      <w:lang w:val="en-GB"/>
    </w:rPr>
  </w:style>
  <w:style w:type="character" w:customStyle="1" w:styleId="ArmenianChar">
    <w:name w:val="Armenian Char"/>
    <w:link w:val="Armenian"/>
    <w:locked/>
    <w:rPr>
      <w:rFonts w:ascii="Agg_Times1" w:eastAsia="Times New Roman" w:hAnsi="Agg_Times1" w:cs="Times New Roman"/>
      <w:sz w:val="24"/>
      <w:szCs w:val="20"/>
      <w:lang w:val="en-GB"/>
    </w:rPr>
  </w:style>
  <w:style w:type="character" w:styleId="Hyperlink">
    <w:name w:val="Hyperlink"/>
    <w:basedOn w:val="DefaultParagraphFont"/>
    <w:uiPriority w:val="99"/>
    <w:semiHidden/>
    <w:unhideWhenUs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666761">
      <w:bodyDiv w:val="1"/>
      <w:marLeft w:val="0"/>
      <w:marRight w:val="0"/>
      <w:marTop w:val="0"/>
      <w:marBottom w:val="0"/>
      <w:divBdr>
        <w:top w:val="none" w:sz="0" w:space="0" w:color="auto"/>
        <w:left w:val="none" w:sz="0" w:space="0" w:color="auto"/>
        <w:bottom w:val="none" w:sz="0" w:space="0" w:color="auto"/>
        <w:right w:val="none" w:sz="0" w:space="0" w:color="auto"/>
      </w:divBdr>
    </w:div>
    <w:div w:id="735594337">
      <w:bodyDiv w:val="1"/>
      <w:marLeft w:val="0"/>
      <w:marRight w:val="0"/>
      <w:marTop w:val="0"/>
      <w:marBottom w:val="0"/>
      <w:divBdr>
        <w:top w:val="none" w:sz="0" w:space="0" w:color="auto"/>
        <w:left w:val="none" w:sz="0" w:space="0" w:color="auto"/>
        <w:bottom w:val="none" w:sz="0" w:space="0" w:color="auto"/>
        <w:right w:val="none" w:sz="0" w:space="0" w:color="auto"/>
      </w:divBdr>
    </w:div>
    <w:div w:id="1142891202">
      <w:bodyDiv w:val="1"/>
      <w:marLeft w:val="0"/>
      <w:marRight w:val="0"/>
      <w:marTop w:val="0"/>
      <w:marBottom w:val="0"/>
      <w:divBdr>
        <w:top w:val="none" w:sz="0" w:space="0" w:color="auto"/>
        <w:left w:val="none" w:sz="0" w:space="0" w:color="auto"/>
        <w:bottom w:val="none" w:sz="0" w:space="0" w:color="auto"/>
        <w:right w:val="none" w:sz="0" w:space="0" w:color="auto"/>
      </w:divBdr>
      <w:divsChild>
        <w:div w:id="1470517765">
          <w:marLeft w:val="0"/>
          <w:marRight w:val="0"/>
          <w:marTop w:val="0"/>
          <w:marBottom w:val="0"/>
          <w:divBdr>
            <w:top w:val="none" w:sz="0" w:space="0" w:color="auto"/>
            <w:left w:val="none" w:sz="0" w:space="0" w:color="auto"/>
            <w:bottom w:val="none" w:sz="0" w:space="0" w:color="auto"/>
            <w:right w:val="none" w:sz="0" w:space="0" w:color="auto"/>
          </w:divBdr>
        </w:div>
      </w:divsChild>
    </w:div>
    <w:div w:id="1444500432">
      <w:bodyDiv w:val="1"/>
      <w:marLeft w:val="0"/>
      <w:marRight w:val="0"/>
      <w:marTop w:val="0"/>
      <w:marBottom w:val="0"/>
      <w:divBdr>
        <w:top w:val="none" w:sz="0" w:space="0" w:color="auto"/>
        <w:left w:val="none" w:sz="0" w:space="0" w:color="auto"/>
        <w:bottom w:val="none" w:sz="0" w:space="0" w:color="auto"/>
        <w:right w:val="none" w:sz="0" w:space="0" w:color="auto"/>
      </w:divBdr>
    </w:div>
    <w:div w:id="198373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DocumentView.aspx?docid=19414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59945"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38DC7-1BDA-4D27-BF83-57C5AA715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4</Pages>
  <Words>698</Words>
  <Characters>5407</Characters>
  <Application>Microsoft Office Word</Application>
  <DocSecurity>0</DocSecurity>
  <Lines>105</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https://mul2-mss.gov.am/tasks/1925040/oneclick?token=724ad32a34379a9f19c9a5e9a4ebf176</cp:keywords>
  <cp:lastModifiedBy>Tatevik.Mikayelyan</cp:lastModifiedBy>
  <cp:revision>44</cp:revision>
  <dcterms:created xsi:type="dcterms:W3CDTF">2024-10-03T10:36:00Z</dcterms:created>
  <dcterms:modified xsi:type="dcterms:W3CDTF">2025-03-18T11:20:00Z</dcterms:modified>
</cp:coreProperties>
</file>