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6C147" w14:textId="23C62484" w:rsidR="003B654E" w:rsidRPr="006529EB" w:rsidRDefault="003B654E" w:rsidP="00905F7E">
      <w:pPr>
        <w:tabs>
          <w:tab w:val="left" w:pos="5666"/>
          <w:tab w:val="center" w:pos="7171"/>
        </w:tabs>
        <w:spacing w:after="0" w:line="240" w:lineRule="auto"/>
        <w:contextualSpacing/>
        <w:jc w:val="center"/>
        <w:rPr>
          <w:rFonts w:cs="Times New Roman"/>
          <w:b/>
        </w:rPr>
      </w:pPr>
      <w:r w:rsidRPr="006529EB">
        <w:rPr>
          <w:rFonts w:cs="Times New Roman"/>
          <w:b/>
        </w:rPr>
        <w:t>ԱՄՓՈՓԱԹԵՐԹ</w:t>
      </w:r>
    </w:p>
    <w:p w14:paraId="0373A071" w14:textId="05DEC348" w:rsidR="00D704E5" w:rsidRPr="006529EB" w:rsidRDefault="00D704E5" w:rsidP="00905F7E">
      <w:pPr>
        <w:tabs>
          <w:tab w:val="left" w:pos="5666"/>
          <w:tab w:val="center" w:pos="7171"/>
        </w:tabs>
        <w:spacing w:after="0" w:line="240" w:lineRule="auto"/>
        <w:contextualSpacing/>
        <w:jc w:val="center"/>
        <w:rPr>
          <w:rFonts w:cs="Times New Roman"/>
          <w:b/>
        </w:rPr>
      </w:pPr>
    </w:p>
    <w:p w14:paraId="4DF6456C" w14:textId="77777777" w:rsidR="00D704E5" w:rsidRPr="006529EB" w:rsidRDefault="00D704E5" w:rsidP="00905F7E">
      <w:pPr>
        <w:tabs>
          <w:tab w:val="left" w:pos="5666"/>
          <w:tab w:val="center" w:pos="7171"/>
        </w:tabs>
        <w:spacing w:after="0" w:line="240" w:lineRule="auto"/>
        <w:contextualSpacing/>
        <w:jc w:val="center"/>
        <w:rPr>
          <w:rFonts w:cs="Times New Roman"/>
          <w:b/>
        </w:rPr>
      </w:pPr>
    </w:p>
    <w:p w14:paraId="1586E6BC" w14:textId="77777777" w:rsidR="00135252" w:rsidRPr="006529EB" w:rsidRDefault="00135252" w:rsidP="00905F7E">
      <w:pPr>
        <w:tabs>
          <w:tab w:val="left" w:pos="5760"/>
        </w:tabs>
        <w:spacing w:after="0" w:line="240" w:lineRule="auto"/>
        <w:contextualSpacing/>
        <w:jc w:val="center"/>
        <w:rPr>
          <w:rFonts w:cs="Times New Roman"/>
          <w:b/>
        </w:rPr>
      </w:pPr>
    </w:p>
    <w:p w14:paraId="433AAFF9" w14:textId="20C2BC16" w:rsidR="001E5813" w:rsidRPr="006529EB" w:rsidRDefault="00961D10" w:rsidP="00905F7E">
      <w:pPr>
        <w:shd w:val="clear" w:color="auto" w:fill="FFFFFF"/>
        <w:tabs>
          <w:tab w:val="left" w:pos="1350"/>
        </w:tabs>
        <w:spacing w:after="0" w:line="240" w:lineRule="auto"/>
        <w:contextualSpacing/>
        <w:jc w:val="center"/>
        <w:rPr>
          <w:rFonts w:cs="Times New Roman"/>
          <w:b/>
          <w:caps/>
        </w:rPr>
      </w:pPr>
      <w:r w:rsidRPr="006529EB">
        <w:rPr>
          <w:rFonts w:cs="Times New Roman"/>
          <w:b/>
          <w:caps/>
        </w:rPr>
        <w:t>«ԿրիպտոԱԿՏԻՎՆԵՐԻ ՄԱՍԻՆ»</w:t>
      </w:r>
      <w:r w:rsidR="00203638" w:rsidRPr="006529EB">
        <w:rPr>
          <w:rFonts w:cs="Times New Roman"/>
          <w:b/>
          <w:caps/>
        </w:rPr>
        <w:t xml:space="preserve"> օրենքի </w:t>
      </w:r>
      <w:r w:rsidR="00D704E5" w:rsidRPr="006529EB">
        <w:rPr>
          <w:rFonts w:cs="Times New Roman"/>
          <w:b/>
          <w:caps/>
        </w:rPr>
        <w:t>ԵՎ</w:t>
      </w:r>
      <w:r w:rsidR="00203638" w:rsidRPr="006529EB">
        <w:rPr>
          <w:rFonts w:cs="Times New Roman"/>
          <w:b/>
          <w:caps/>
        </w:rPr>
        <w:t xml:space="preserve"> հարակից օրենքների նախագծերի վերաբերյալ</w:t>
      </w:r>
    </w:p>
    <w:p w14:paraId="4F87255C" w14:textId="03B9A9CF" w:rsidR="00A534E5" w:rsidRPr="006529EB" w:rsidRDefault="00A534E5" w:rsidP="00905F7E">
      <w:pPr>
        <w:spacing w:after="0" w:line="240" w:lineRule="auto"/>
        <w:contextualSpacing/>
        <w:jc w:val="center"/>
        <w:rPr>
          <w:rFonts w:cs="Times New Roman"/>
          <w:b/>
          <w:caps/>
        </w:rPr>
      </w:pPr>
      <w:r w:rsidRPr="006529EB">
        <w:rPr>
          <w:rFonts w:cs="Times New Roman"/>
          <w:b/>
          <w:caps/>
        </w:rPr>
        <w:t>ՀՀ ՎԱՐՉԱՊԵՏԻ ԱՇԽԱՏԱԿԱԶՄի</w:t>
      </w:r>
    </w:p>
    <w:p w14:paraId="6161893F" w14:textId="387011F7" w:rsidR="003B654E" w:rsidRPr="006529EB" w:rsidRDefault="003B654E" w:rsidP="00905F7E">
      <w:pPr>
        <w:spacing w:after="0" w:line="240" w:lineRule="auto"/>
        <w:contextualSpacing/>
        <w:jc w:val="center"/>
        <w:rPr>
          <w:rFonts w:cs="Times New Roman"/>
          <w:b/>
          <w:caps/>
        </w:rPr>
      </w:pPr>
      <w:r w:rsidRPr="006529EB">
        <w:rPr>
          <w:rFonts w:cs="Times New Roman"/>
          <w:b/>
          <w:caps/>
        </w:rPr>
        <w:t>առաջարկություններ ԵՎ դիտողություններ</w:t>
      </w:r>
    </w:p>
    <w:p w14:paraId="3E6E125D" w14:textId="1FC34743" w:rsidR="00D704E5" w:rsidRPr="006529EB" w:rsidRDefault="00D704E5" w:rsidP="00905F7E">
      <w:pPr>
        <w:spacing w:after="0" w:line="240" w:lineRule="auto"/>
        <w:contextualSpacing/>
        <w:jc w:val="center"/>
        <w:rPr>
          <w:rFonts w:cs="Times New Roman"/>
          <w:b/>
          <w:caps/>
        </w:rPr>
      </w:pPr>
    </w:p>
    <w:p w14:paraId="5B032C44" w14:textId="77777777" w:rsidR="00D704E5" w:rsidRPr="006529EB" w:rsidRDefault="00D704E5" w:rsidP="00905F7E">
      <w:pPr>
        <w:spacing w:after="0" w:line="240" w:lineRule="auto"/>
        <w:contextualSpacing/>
        <w:jc w:val="center"/>
        <w:rPr>
          <w:rFonts w:cs="Times New Roman"/>
          <w:b/>
          <w:caps/>
        </w:rPr>
      </w:pPr>
    </w:p>
    <w:p w14:paraId="288CAD27" w14:textId="77777777" w:rsidR="00634E94" w:rsidRPr="006529EB" w:rsidRDefault="00634E94" w:rsidP="00E57A08">
      <w:pPr>
        <w:spacing w:after="0" w:line="240" w:lineRule="auto"/>
        <w:contextualSpacing/>
        <w:jc w:val="both"/>
        <w:rPr>
          <w:rFonts w:eastAsia="GHEA Grapalat" w:cs="Times New Roman"/>
          <w:b/>
          <w:bCs/>
          <w:shd w:val="clear" w:color="auto" w:fill="FFFFFF"/>
        </w:rPr>
      </w:pPr>
    </w:p>
    <w:tbl>
      <w:tblPr>
        <w:tblStyle w:val="TableGrid"/>
        <w:tblW w:w="15660" w:type="dxa"/>
        <w:tblInd w:w="-725" w:type="dxa"/>
        <w:tblLayout w:type="fixed"/>
        <w:tblLook w:val="04A0" w:firstRow="1" w:lastRow="0" w:firstColumn="1" w:lastColumn="0" w:noHBand="0" w:noVBand="1"/>
      </w:tblPr>
      <w:tblGrid>
        <w:gridCol w:w="2160"/>
        <w:gridCol w:w="5580"/>
        <w:gridCol w:w="7920"/>
      </w:tblGrid>
      <w:tr w:rsidR="00203638" w:rsidRPr="006529EB" w14:paraId="2BCD6074" w14:textId="77777777" w:rsidTr="00D704E5">
        <w:trPr>
          <w:trHeight w:val="710"/>
        </w:trPr>
        <w:tc>
          <w:tcPr>
            <w:tcW w:w="2160" w:type="dxa"/>
          </w:tcPr>
          <w:p w14:paraId="367AF6AF" w14:textId="21C0CF0E" w:rsidR="00203638" w:rsidRPr="006529EB" w:rsidRDefault="00203638" w:rsidP="00D704E5">
            <w:pPr>
              <w:contextualSpacing/>
              <w:jc w:val="center"/>
              <w:rPr>
                <w:rFonts w:cs="Times New Roman"/>
                <w:b/>
              </w:rPr>
            </w:pPr>
            <w:r w:rsidRPr="006529EB">
              <w:rPr>
                <w:rFonts w:cs="Times New Roman"/>
                <w:b/>
              </w:rPr>
              <w:t>Առաջարկության հեղինակը</w:t>
            </w:r>
          </w:p>
        </w:tc>
        <w:tc>
          <w:tcPr>
            <w:tcW w:w="5580" w:type="dxa"/>
            <w:vAlign w:val="center"/>
          </w:tcPr>
          <w:p w14:paraId="64F228CC" w14:textId="2B9CB93C" w:rsidR="00203638" w:rsidRPr="006529EB" w:rsidRDefault="00203638" w:rsidP="00D704E5">
            <w:pPr>
              <w:contextualSpacing/>
              <w:jc w:val="center"/>
              <w:rPr>
                <w:rFonts w:cs="Times New Roman"/>
                <w:b/>
              </w:rPr>
            </w:pPr>
            <w:r w:rsidRPr="006529EB">
              <w:rPr>
                <w:rFonts w:cs="Times New Roman"/>
                <w:b/>
              </w:rPr>
              <w:t>Առաջարկության բովանդակությունը</w:t>
            </w:r>
          </w:p>
        </w:tc>
        <w:tc>
          <w:tcPr>
            <w:tcW w:w="7920" w:type="dxa"/>
            <w:vAlign w:val="center"/>
          </w:tcPr>
          <w:p w14:paraId="391419CA" w14:textId="77777777" w:rsidR="00203638" w:rsidRPr="006529EB" w:rsidRDefault="00203638" w:rsidP="00D704E5">
            <w:pPr>
              <w:contextualSpacing/>
              <w:jc w:val="center"/>
              <w:rPr>
                <w:rFonts w:cs="Times New Roman"/>
                <w:b/>
              </w:rPr>
            </w:pPr>
            <w:r w:rsidRPr="006529EB">
              <w:rPr>
                <w:rFonts w:cs="Times New Roman"/>
                <w:b/>
              </w:rPr>
              <w:t>Եզրակացություն</w:t>
            </w:r>
          </w:p>
          <w:p w14:paraId="532E21A4" w14:textId="77777777" w:rsidR="00203638" w:rsidRPr="006529EB" w:rsidRDefault="00203638" w:rsidP="00D704E5">
            <w:pPr>
              <w:contextualSpacing/>
              <w:jc w:val="center"/>
              <w:rPr>
                <w:rFonts w:cs="Times New Roman"/>
              </w:rPr>
            </w:pPr>
          </w:p>
        </w:tc>
      </w:tr>
      <w:tr w:rsidR="00D704E5" w:rsidRPr="006529EB" w14:paraId="45C3DF4A" w14:textId="77777777" w:rsidTr="00D704E5">
        <w:trPr>
          <w:trHeight w:val="4022"/>
        </w:trPr>
        <w:tc>
          <w:tcPr>
            <w:tcW w:w="2160" w:type="dxa"/>
            <w:vMerge w:val="restart"/>
          </w:tcPr>
          <w:p w14:paraId="391E7690" w14:textId="77777777" w:rsidR="00D704E5" w:rsidRPr="006529EB" w:rsidRDefault="00D704E5" w:rsidP="009F333A">
            <w:pPr>
              <w:jc w:val="both"/>
              <w:rPr>
                <w:color w:val="000000"/>
                <w:shd w:val="clear" w:color="auto" w:fill="FFFFFF"/>
              </w:rPr>
            </w:pPr>
          </w:p>
          <w:p w14:paraId="73F11A54" w14:textId="77777777" w:rsidR="00D704E5" w:rsidRPr="006529EB" w:rsidRDefault="00D704E5" w:rsidP="009F333A">
            <w:pPr>
              <w:jc w:val="both"/>
              <w:rPr>
                <w:color w:val="000000"/>
                <w:shd w:val="clear" w:color="auto" w:fill="FFFFFF"/>
              </w:rPr>
            </w:pPr>
          </w:p>
          <w:p w14:paraId="2AED128F" w14:textId="77777777" w:rsidR="00D704E5" w:rsidRPr="006529EB" w:rsidRDefault="00D704E5" w:rsidP="009F333A">
            <w:pPr>
              <w:jc w:val="both"/>
              <w:rPr>
                <w:color w:val="000000"/>
                <w:shd w:val="clear" w:color="auto" w:fill="FFFFFF"/>
              </w:rPr>
            </w:pPr>
          </w:p>
          <w:p w14:paraId="34962F91" w14:textId="77777777" w:rsidR="00D704E5" w:rsidRPr="006529EB" w:rsidRDefault="00D704E5" w:rsidP="009F333A">
            <w:pPr>
              <w:jc w:val="both"/>
              <w:rPr>
                <w:b/>
                <w:bCs/>
                <w:color w:val="000000"/>
                <w:shd w:val="clear" w:color="auto" w:fill="FFFFFF"/>
              </w:rPr>
            </w:pPr>
          </w:p>
          <w:p w14:paraId="45FF9CD8" w14:textId="7F9C4EC2" w:rsidR="00D704E5" w:rsidRPr="006529EB" w:rsidRDefault="006F45F1" w:rsidP="009F333A">
            <w:pPr>
              <w:jc w:val="both"/>
              <w:rPr>
                <w:b/>
                <w:bCs/>
                <w:color w:val="000000"/>
                <w:shd w:val="clear" w:color="auto" w:fill="FFFFFF"/>
                <w:lang w:val="en-US"/>
              </w:rPr>
            </w:pPr>
            <w:r w:rsidRPr="006529EB">
              <w:rPr>
                <w:b/>
                <w:bCs/>
                <w:color w:val="000000"/>
                <w:shd w:val="clear" w:color="auto" w:fill="FFFFFF"/>
              </w:rPr>
              <w:t xml:space="preserve">Իրավաբանական վարչություն </w:t>
            </w:r>
          </w:p>
          <w:p w14:paraId="5ACB9DE4" w14:textId="77777777" w:rsidR="00D704E5" w:rsidRPr="006529EB" w:rsidRDefault="00D704E5" w:rsidP="00E57A08">
            <w:pPr>
              <w:contextualSpacing/>
              <w:jc w:val="both"/>
              <w:rPr>
                <w:rFonts w:cs="Times New Roman"/>
              </w:rPr>
            </w:pPr>
          </w:p>
        </w:tc>
        <w:tc>
          <w:tcPr>
            <w:tcW w:w="5580" w:type="dxa"/>
          </w:tcPr>
          <w:p w14:paraId="7616975C" w14:textId="309A1A61" w:rsidR="00D704E5" w:rsidRPr="006529EB" w:rsidRDefault="00D704E5" w:rsidP="00D704E5">
            <w:pPr>
              <w:contextualSpacing/>
              <w:jc w:val="both"/>
              <w:rPr>
                <w:rFonts w:cs="Times New Roman"/>
              </w:rPr>
            </w:pPr>
            <w:r w:rsidRPr="006529EB">
              <w:rPr>
                <w:rFonts w:cs="Times New Roman"/>
              </w:rPr>
              <w:t>1</w:t>
            </w:r>
            <w:r w:rsidRPr="006529EB">
              <w:rPr>
                <w:rFonts w:ascii="Cambria Math" w:hAnsi="Cambria Math" w:cs="Cambria Math"/>
              </w:rPr>
              <w:t>․</w:t>
            </w:r>
            <w:r w:rsidRPr="006529EB">
              <w:rPr>
                <w:rFonts w:cs="Times New Roman"/>
              </w:rPr>
              <w:t xml:space="preserve"> Նախագծի վերաբերյալ, որպես ընդհանուր դիտարկում հարկ է նշել, որ  մի շարք դեպքերում հիմնական և լրացուցիչ կարգավորումների բովանդակությունը բավարար չափով տարանջատված չեն, որի արդյունքում առաջարկվող կարգավորումները դառնում են հատվածական, ոչ համակարգային, արդյունքում՝ նախագծում սահմանվել են մի շարք ընթացակարգային կարգավորումներ, միաժամանակ ԿԲ-ին վերապահելով այդ հարցերով լրացուցիչ կարգավորումներ նախատեսելու իրավասություն, սակայն, գտնում ենք, որ այդպիսի մոտեցումը իրավական որոշակության, արդյունքում նաև՝ իրավակիրառելիության տեսանկյունից ընդունելի մոտեցում չէ (օրինակ՝ 8-րդ հոդվածի 5-րդ, 9-րդ հոդվածի 3-րդ, 4-րդ մասեր, 10-րդ հոդված, 13-րդ հոդված, 14-րդ հոդված, 20-րդ հոդված, 22-րդ հոդված, 32-րդ հոդված, 34-րդ հոդվածի 1-ին մաս, 36-րդ հոդվածի 2-րդ և 3-րդ մասեր 40-րդ հոդվածի 6-րդ մաս, 43-րդ հոդված, 53-րդ հոդվածի 13-րդ մաս, 57-րդ հոդված, 71-րդ հոդվածի 6-րդ մաս, 73-րդ </w:t>
            </w:r>
            <w:r w:rsidRPr="006529EB">
              <w:rPr>
                <w:rFonts w:cs="Times New Roman"/>
              </w:rPr>
              <w:lastRenderedPageBreak/>
              <w:t xml:space="preserve">հոդվածի 3-րդ մաս և այլն): Բացի այդ, որոշ դեպքերում կարգավորումներ կառուցված են «արգելքների» և «բացառությունների» տրամաբանությամբ, որի պարագայում հիմնական նորմատիվ պահանջների բովանդակությունը բավարար չափով չի որոշակիացվում  կամ որոշ դեպքերում շղթայական ձևով բացառություններ են նախատեսվում, որոնք իրավական անհստակությունների են հանգեցնում (օրինակ՝ 5-րդ հոդված 1-ին մաս, 6-րդ հոդված 1-ին մաս, 17-րդ հոդվածի 1-ին մաս, 5-րդ հոդված, 17-րդ հոդվածի 3-րդ և 7-րդ մասեր): </w:t>
            </w:r>
          </w:p>
        </w:tc>
        <w:tc>
          <w:tcPr>
            <w:tcW w:w="7920" w:type="dxa"/>
          </w:tcPr>
          <w:p w14:paraId="305ADB20" w14:textId="2680FD2D" w:rsidR="00D704E5" w:rsidRPr="006529EB" w:rsidRDefault="00D704E5" w:rsidP="006B51FE">
            <w:pPr>
              <w:contextualSpacing/>
              <w:jc w:val="both"/>
              <w:rPr>
                <w:rFonts w:cs="Times New Roman"/>
              </w:rPr>
            </w:pPr>
            <w:r w:rsidRPr="006529EB">
              <w:rPr>
                <w:rFonts w:cs="Times New Roman"/>
                <w:b/>
                <w:bCs/>
              </w:rPr>
              <w:lastRenderedPageBreak/>
              <w:t>Չի ընդունվել:</w:t>
            </w:r>
          </w:p>
          <w:p w14:paraId="0FC5F905" w14:textId="13F68EFD" w:rsidR="00D704E5" w:rsidRPr="006529EB" w:rsidRDefault="00D704E5" w:rsidP="009F333A">
            <w:pPr>
              <w:pStyle w:val="CommentText"/>
              <w:jc w:val="both"/>
              <w:rPr>
                <w:sz w:val="22"/>
                <w:szCs w:val="22"/>
              </w:rPr>
            </w:pPr>
            <w:r w:rsidRPr="006529EB">
              <w:rPr>
                <w:rFonts w:cs="Times New Roman"/>
                <w:sz w:val="22"/>
                <w:szCs w:val="22"/>
              </w:rPr>
              <w:t xml:space="preserve">Ֆինանսական ոլորտը կարգավորող և վերահսկող մարմնի կողմից ռիսկերի վրա հիմնված վերահսկողության իրականացման համար կարևոր նշանակություն ունի ենթաօրենսդրական ճկուն կարգավորումը:  Կենտրոնական բանկի խորհրդի կողմից սահմանման ենթակա պահանջներն օրենքով սահմանելը նպատակահարմար չէ, քանի որ դրանց սահմանումն անկախ կարգավորող մարմնի կարևորագույն գործառույթն է, որն իրականացվում է օրենքով սահմանված շրջանակներում՝ հիմք ընդունելով ոլորտում տեղի ունեցող զարգացումները: Այսպիսով օրենքով ամրագրվում են ոլորտի առավել կարևոր հարաբերությունների կարգավորման ուղղված պահանջները, իսկ Կենտրոնական բանկն ապահովելու է դրանց նորմատիվ իրավական կարգավորումը:  </w:t>
            </w:r>
            <w:r w:rsidRPr="006529EB">
              <w:rPr>
                <w:sz w:val="22"/>
                <w:szCs w:val="22"/>
              </w:rPr>
              <w:t xml:space="preserve">Օրինակ, օրենքը սահմանում է կրիպտոակտիվներով ծառայություններ մատուցող անձանց կողմից Կենտրոնական բանկին հաշվետվություններ ներկայացնելու պարտականությունը՝ միաժամանակ լիազորելով Կենտրոնական բանկին սահմանելու հաշվետվությունների կոնկրետ ձևերը, հաճախականությունը և ներկայացման կարգը։ Կամ, օրենքը սահմանում է կրիպտոակտիվներով ծառայություններ մատուցող անձանց կողմից հաճախորդների հանդեպ արդար վերաբերմունքի պարտականությունը՝ միևնույն ժամանակ լիազորելով Կենտրոնական բանկին սահմանելու գործունեության նկատմամբ առավել մանրամասն տեխնիկական </w:t>
            </w:r>
            <w:r w:rsidRPr="006529EB">
              <w:rPr>
                <w:sz w:val="22"/>
                <w:szCs w:val="22"/>
              </w:rPr>
              <w:lastRenderedPageBreak/>
              <w:t>պահանջները, որոնք ուղղված են հաճախորդների հանդեպ արդար վերաբերմունք ապահովելուն (օրինակ, պատվերների կատարման կանոններ, տեղեկությունների տրամադրման կանոններ, սակագների փոփոխության դեպքում հաճախորդներին ծանուցման կանոններ և այլն)։</w:t>
            </w:r>
          </w:p>
          <w:p w14:paraId="4C58B1C3" w14:textId="38EEE705" w:rsidR="00D704E5" w:rsidRPr="006529EB" w:rsidRDefault="00D704E5" w:rsidP="006B51FE">
            <w:pPr>
              <w:contextualSpacing/>
              <w:jc w:val="both"/>
              <w:rPr>
                <w:rFonts w:cs="Times New Roman"/>
              </w:rPr>
            </w:pPr>
          </w:p>
          <w:p w14:paraId="0C210CC2" w14:textId="356DFCDA" w:rsidR="00D704E5" w:rsidRPr="006529EB" w:rsidRDefault="00D704E5" w:rsidP="00BC253A">
            <w:pPr>
              <w:contextualSpacing/>
              <w:jc w:val="both"/>
              <w:rPr>
                <w:rFonts w:cs="Times New Roman"/>
              </w:rPr>
            </w:pPr>
            <w:r w:rsidRPr="006529EB">
              <w:rPr>
                <w:rFonts w:cs="Times New Roman"/>
              </w:rPr>
              <w:t>Հետևաբար՝ կարծում ենք, որ տվյալ դեպքում իրավական որոշակիության սկզբունքը չի խախտվում, քանզի որոշումները պետք է կայացվեն ոչ թե հայեցողականորեն, այլ օրենքով սահմանված շրջանակներում։ Ավելին, այդ պայմանները և պահանջները սահմանվում են նորմատիվ իրավական ակտերով, որոնք նույնպես պաշտոնապես հրապարակվում են, և որոնց ուժի մեջ մտնելու համար անձանց իրավունքներն ու օրինական շահերը ապահովող հստակ մեխանիզմներ են ներդրված և գործում ՀՀ-ում։ Բացի այդ, ոլորտի զարգացումներին և դրանցով պայմանավորված նոր ռիսկերին պատշաճ արձագանքելու նպատակով անհրաժեշտ է, որ Կենտրոնական բանկն ունենա ճկուն իրավասություն՝ նորմատիվ իրավական ակտեր ընդունելու միջոցով սահմանելու լրացուցիչ պահանջներ:</w:t>
            </w:r>
          </w:p>
          <w:p w14:paraId="0E16AC0C" w14:textId="77777777" w:rsidR="00D704E5" w:rsidRPr="006529EB" w:rsidRDefault="00D704E5" w:rsidP="00BC253A">
            <w:pPr>
              <w:contextualSpacing/>
              <w:jc w:val="both"/>
              <w:rPr>
                <w:rFonts w:cs="Times New Roman"/>
              </w:rPr>
            </w:pPr>
          </w:p>
          <w:p w14:paraId="36FD1373" w14:textId="77777777" w:rsidR="00D704E5" w:rsidRPr="006529EB" w:rsidRDefault="00D704E5" w:rsidP="00BC253A">
            <w:pPr>
              <w:contextualSpacing/>
              <w:jc w:val="both"/>
              <w:rPr>
                <w:rFonts w:cs="Times New Roman"/>
              </w:rPr>
            </w:pPr>
          </w:p>
          <w:p w14:paraId="4ACD6C63" w14:textId="16D2FB3D" w:rsidR="00D704E5" w:rsidRPr="006529EB" w:rsidRDefault="00D704E5" w:rsidP="00BC253A">
            <w:pPr>
              <w:contextualSpacing/>
              <w:jc w:val="both"/>
              <w:rPr>
                <w:rFonts w:cs="Times New Roman"/>
              </w:rPr>
            </w:pPr>
            <w:r w:rsidRPr="006529EB">
              <w:rPr>
                <w:rFonts w:cs="Times New Roman"/>
              </w:rPr>
              <w:t xml:space="preserve"> </w:t>
            </w:r>
          </w:p>
        </w:tc>
      </w:tr>
      <w:tr w:rsidR="00D704E5" w:rsidRPr="006529EB" w14:paraId="70F8999F" w14:textId="77777777" w:rsidTr="00D704E5">
        <w:tc>
          <w:tcPr>
            <w:tcW w:w="2160" w:type="dxa"/>
            <w:vMerge/>
          </w:tcPr>
          <w:p w14:paraId="34A8B5A8" w14:textId="77777777" w:rsidR="00D704E5" w:rsidRPr="006529EB" w:rsidRDefault="00D704E5" w:rsidP="00E57A08">
            <w:pPr>
              <w:keepNext/>
              <w:suppressAutoHyphens/>
              <w:contextualSpacing/>
              <w:jc w:val="both"/>
              <w:rPr>
                <w:rFonts w:cs="Times New Roman"/>
                <w:bCs/>
              </w:rPr>
            </w:pPr>
          </w:p>
        </w:tc>
        <w:tc>
          <w:tcPr>
            <w:tcW w:w="5580" w:type="dxa"/>
          </w:tcPr>
          <w:p w14:paraId="19E7CD57" w14:textId="5075075F" w:rsidR="00D704E5" w:rsidRPr="006529EB" w:rsidRDefault="00D704E5" w:rsidP="00E57A08">
            <w:pPr>
              <w:keepNext/>
              <w:suppressAutoHyphens/>
              <w:contextualSpacing/>
              <w:jc w:val="both"/>
              <w:rPr>
                <w:rFonts w:cs="Times New Roman"/>
                <w:bCs/>
              </w:rPr>
            </w:pPr>
          </w:p>
          <w:p w14:paraId="5F5210CC" w14:textId="77777777" w:rsidR="00F65103" w:rsidRPr="006529EB" w:rsidRDefault="00D704E5" w:rsidP="00E57A08">
            <w:pPr>
              <w:contextualSpacing/>
              <w:jc w:val="both"/>
              <w:rPr>
                <w:rFonts w:cs="Times New Roman"/>
              </w:rPr>
            </w:pPr>
            <w:r w:rsidRPr="006529EB">
              <w:rPr>
                <w:rFonts w:cs="Times New Roman"/>
              </w:rPr>
              <w:t>2</w:t>
            </w:r>
            <w:r w:rsidRPr="006529EB">
              <w:rPr>
                <w:rFonts w:ascii="Cambria Math" w:hAnsi="Cambria Math" w:cs="Cambria Math"/>
              </w:rPr>
              <w:t>․</w:t>
            </w:r>
            <w:r w:rsidRPr="006529EB">
              <w:rPr>
                <w:rFonts w:cs="Times New Roman"/>
              </w:rPr>
              <w:t xml:space="preserve"> Նախագծի մի շարք կարգավորումներով </w:t>
            </w:r>
            <w:r w:rsidRPr="006529EB">
              <w:rPr>
                <w:rFonts w:cs="Times New Roman"/>
                <w:i/>
                <w:u w:val="single"/>
              </w:rPr>
              <w:t>կենտրոնական բանկին վերապահվում են նորմատիվ իրավական ակտեր ընդունելու լիազորություն</w:t>
            </w:r>
            <w:r w:rsidRPr="006529EB">
              <w:rPr>
                <w:rFonts w:cs="Times New Roman"/>
              </w:rPr>
              <w:t xml:space="preserve">, սակայն նշված լիազորող նորմերը </w:t>
            </w:r>
            <w:r w:rsidRPr="006529EB">
              <w:rPr>
                <w:rFonts w:cs="Times New Roman"/>
                <w:i/>
                <w:u w:val="single"/>
              </w:rPr>
              <w:t>չեն համապատասխանում իրավական որոշակիության սկզբունքին</w:t>
            </w:r>
            <w:r w:rsidRPr="006529EB">
              <w:rPr>
                <w:rFonts w:cs="Times New Roman"/>
              </w:rPr>
              <w:t xml:space="preserve">։ </w:t>
            </w:r>
          </w:p>
          <w:p w14:paraId="790C5274" w14:textId="586124A3" w:rsidR="00D704E5" w:rsidRPr="006529EB" w:rsidRDefault="00D704E5" w:rsidP="00F65103">
            <w:pPr>
              <w:pStyle w:val="ListParagraph"/>
              <w:numPr>
                <w:ilvl w:val="0"/>
                <w:numId w:val="47"/>
              </w:numPr>
              <w:ind w:left="-99" w:firstLine="459"/>
              <w:jc w:val="both"/>
              <w:rPr>
                <w:rFonts w:cs="Times New Roman"/>
              </w:rPr>
            </w:pPr>
            <w:r w:rsidRPr="006529EB">
              <w:rPr>
                <w:rFonts w:cs="Times New Roman"/>
              </w:rPr>
              <w:t xml:space="preserve">Օրինակ՝ նախագծի 1-ին հոդվածի 7-րդ մասի 2-րդ կետի համաձայն՝ օրենքով սահմանված դրույթները չեն տարածվում (…) ԿԲ-ի կողմից սահմանված ցանկում ընդգրկված միջազգային կազմակերպությունների վրա, սակայն </w:t>
            </w:r>
            <w:r w:rsidRPr="006529EB">
              <w:rPr>
                <w:rFonts w:cs="Times New Roman"/>
                <w:i/>
                <w:u w:val="single"/>
              </w:rPr>
              <w:t>պարզ չէ, թե ինչ հանգամանքների հաշվառմամբ է ԿԲ-ն որոշում այդ ցանկը</w:t>
            </w:r>
            <w:r w:rsidRPr="006529EB">
              <w:rPr>
                <w:rFonts w:cs="Times New Roman"/>
              </w:rPr>
              <w:t xml:space="preserve">։ </w:t>
            </w:r>
          </w:p>
          <w:p w14:paraId="1C0AD529" w14:textId="77777777" w:rsidR="00D704E5" w:rsidRPr="006529EB" w:rsidRDefault="00D704E5" w:rsidP="00D704E5">
            <w:pPr>
              <w:contextualSpacing/>
              <w:jc w:val="both"/>
              <w:rPr>
                <w:rFonts w:cs="Times New Roman"/>
              </w:rPr>
            </w:pPr>
            <w:r w:rsidRPr="006529EB">
              <w:rPr>
                <w:rFonts w:cs="Times New Roman"/>
              </w:rPr>
              <w:t xml:space="preserve">Կամ, օրինակ, նախագծի 32-րդ հոդվածի 8-րդ մասի համաձայն՝ </w:t>
            </w:r>
            <w:r w:rsidRPr="006529EB">
              <w:rPr>
                <w:rFonts w:cs="Times New Roman"/>
                <w:i/>
                <w:u w:val="single"/>
              </w:rPr>
              <w:t>ԿԲ-ն սահմանում է</w:t>
            </w:r>
            <w:r w:rsidRPr="006529EB">
              <w:rPr>
                <w:rFonts w:cs="Times New Roman"/>
              </w:rPr>
              <w:t xml:space="preserve"> կրիպտոակտիվներով ծառայություններ մատուցող անձանց գործունեության նկատմամբ </w:t>
            </w:r>
            <w:r w:rsidRPr="006529EB">
              <w:rPr>
                <w:rFonts w:cs="Times New Roman"/>
                <w:i/>
                <w:u w:val="single"/>
              </w:rPr>
              <w:t>այլ մանրամասն չափանիշներ կամ պահանջներ</w:t>
            </w:r>
            <w:r w:rsidRPr="006529EB">
              <w:rPr>
                <w:rFonts w:cs="Times New Roman"/>
              </w:rPr>
              <w:t xml:space="preserve">, սակայն նշված լիազորությունը որևէ չափանիշով սահմանափակված չէ, որի արդյունքում ԿԲ-ն կարող է համապատասխան ծառայություններ մատուցող անձանց համար սահմանել ցանկացած պահանջ։ </w:t>
            </w:r>
          </w:p>
          <w:p w14:paraId="2DE22ADF" w14:textId="77777777" w:rsidR="00D704E5" w:rsidRPr="006529EB" w:rsidRDefault="00D704E5" w:rsidP="00D704E5">
            <w:pPr>
              <w:contextualSpacing/>
              <w:jc w:val="both"/>
              <w:rPr>
                <w:rFonts w:cs="Times New Roman"/>
              </w:rPr>
            </w:pPr>
          </w:p>
          <w:p w14:paraId="3B41A499" w14:textId="66A04774" w:rsidR="00D704E5" w:rsidRPr="006529EB" w:rsidRDefault="00D704E5" w:rsidP="00D704E5">
            <w:pPr>
              <w:contextualSpacing/>
              <w:jc w:val="both"/>
              <w:rPr>
                <w:rFonts w:cs="Times New Roman"/>
              </w:rPr>
            </w:pPr>
          </w:p>
        </w:tc>
        <w:tc>
          <w:tcPr>
            <w:tcW w:w="7920" w:type="dxa"/>
          </w:tcPr>
          <w:p w14:paraId="36D4CF16" w14:textId="77777777" w:rsidR="00D704E5" w:rsidRPr="006529EB" w:rsidRDefault="00D704E5" w:rsidP="00E57A08">
            <w:pPr>
              <w:contextualSpacing/>
              <w:jc w:val="both"/>
              <w:rPr>
                <w:rFonts w:cs="Times New Roman"/>
                <w:b/>
                <w:bCs/>
              </w:rPr>
            </w:pPr>
          </w:p>
          <w:p w14:paraId="138FBAFC" w14:textId="0AADFC3A" w:rsidR="00D704E5" w:rsidRPr="006529EB" w:rsidRDefault="00D704E5" w:rsidP="00E57A08">
            <w:pPr>
              <w:contextualSpacing/>
              <w:jc w:val="both"/>
              <w:rPr>
                <w:rFonts w:cs="Times New Roman"/>
                <w:b/>
                <w:bCs/>
              </w:rPr>
            </w:pPr>
            <w:r w:rsidRPr="006529EB">
              <w:rPr>
                <w:rFonts w:cs="Times New Roman"/>
                <w:b/>
                <w:bCs/>
              </w:rPr>
              <w:t>Ընդունվել է մասնակի։</w:t>
            </w:r>
          </w:p>
          <w:p w14:paraId="4FB1E65B" w14:textId="77777777" w:rsidR="00D704E5" w:rsidRPr="006529EB" w:rsidRDefault="00D704E5" w:rsidP="00E57A08">
            <w:pPr>
              <w:contextualSpacing/>
              <w:jc w:val="both"/>
              <w:rPr>
                <w:rFonts w:cs="Times New Roman"/>
                <w:b/>
                <w:bCs/>
              </w:rPr>
            </w:pPr>
          </w:p>
          <w:p w14:paraId="06C21A65" w14:textId="76DF0E1E" w:rsidR="00D704E5" w:rsidRPr="006529EB" w:rsidRDefault="00D704E5" w:rsidP="00E57A08">
            <w:pPr>
              <w:contextualSpacing/>
              <w:jc w:val="both"/>
              <w:rPr>
                <w:rFonts w:cs="Times New Roman"/>
              </w:rPr>
            </w:pPr>
            <w:r w:rsidRPr="006529EB">
              <w:rPr>
                <w:rFonts w:cs="Times New Roman"/>
              </w:rPr>
              <w:t xml:space="preserve">Տե՛ս 1-ին կետի մեկնաբանությունը։  </w:t>
            </w:r>
          </w:p>
          <w:p w14:paraId="662D85AA" w14:textId="77777777" w:rsidR="00D704E5" w:rsidRPr="006529EB" w:rsidRDefault="00D704E5" w:rsidP="00E57A08">
            <w:pPr>
              <w:contextualSpacing/>
              <w:jc w:val="both"/>
              <w:rPr>
                <w:rFonts w:cs="Times New Roman"/>
              </w:rPr>
            </w:pPr>
          </w:p>
          <w:p w14:paraId="6E79579E" w14:textId="302A666C" w:rsidR="00D704E5" w:rsidRPr="006529EB" w:rsidRDefault="00D704E5" w:rsidP="00E57A08">
            <w:pPr>
              <w:contextualSpacing/>
              <w:jc w:val="both"/>
              <w:rPr>
                <w:rFonts w:cs="Times New Roman"/>
              </w:rPr>
            </w:pPr>
            <w:r w:rsidRPr="006529EB">
              <w:rPr>
                <w:rFonts w:cs="Times New Roman"/>
              </w:rPr>
              <w:t xml:space="preserve">Նախագծի 1-ին հոդվածի 7-րդ մասի 2-րդ դիտարկումը չի ընդունվել։ </w:t>
            </w:r>
            <w:r w:rsidRPr="006529EB">
              <w:t>Միջազգային կազմակերպությունների ցանկը սահմանվում է՝ ելնելով մի շարք հանգամանքներից, այդ թվում՝ տվյալ կազմակերպության գործունեության շրջանակից, երկրներում իրականացվող գործառույթներից, սույն նախագծով կարգավորվող հարաբերություններին կազմակերպության գործունեության առնչությունից և այլն։</w:t>
            </w:r>
          </w:p>
          <w:p w14:paraId="1949F740" w14:textId="77777777" w:rsidR="00D704E5" w:rsidRPr="006529EB" w:rsidRDefault="00D704E5" w:rsidP="00E57A08">
            <w:pPr>
              <w:contextualSpacing/>
              <w:jc w:val="both"/>
              <w:rPr>
                <w:rFonts w:cs="Times New Roman"/>
              </w:rPr>
            </w:pPr>
          </w:p>
          <w:p w14:paraId="553BC4C5" w14:textId="7572E042" w:rsidR="00D704E5" w:rsidRPr="006529EB" w:rsidRDefault="00D704E5" w:rsidP="00E57A08">
            <w:pPr>
              <w:contextualSpacing/>
              <w:jc w:val="both"/>
              <w:rPr>
                <w:rFonts w:cs="Times New Roman"/>
              </w:rPr>
            </w:pPr>
            <w:r w:rsidRPr="006529EB">
              <w:t>Նախագծի 32-րդ հոդվածի 8-րդ մասի վերաբերյալ</w:t>
            </w:r>
            <w:r w:rsidRPr="006529EB" w:rsidDel="006B51FE">
              <w:rPr>
                <w:rFonts w:cs="Times New Roman"/>
              </w:rPr>
              <w:t xml:space="preserve"> </w:t>
            </w:r>
            <w:r w:rsidRPr="006529EB">
              <w:rPr>
                <w:rFonts w:cs="Times New Roman"/>
              </w:rPr>
              <w:t xml:space="preserve"> դիտարկումն ընդունվել է</w:t>
            </w:r>
            <w:r w:rsidR="00AC7B49" w:rsidRPr="006529EB">
              <w:rPr>
                <w:rFonts w:cs="Times New Roman"/>
              </w:rPr>
              <w:t>։</w:t>
            </w:r>
            <w:r w:rsidRPr="006529EB">
              <w:rPr>
                <w:rFonts w:cs="Times New Roman"/>
              </w:rPr>
              <w:t xml:space="preserve"> </w:t>
            </w:r>
            <w:r w:rsidR="00AC7B49" w:rsidRPr="006529EB">
              <w:rPr>
                <w:rFonts w:cs="Times New Roman"/>
              </w:rPr>
              <w:t>Մ</w:t>
            </w:r>
            <w:r w:rsidRPr="006529EB">
              <w:rPr>
                <w:rFonts w:cs="Times New Roman"/>
              </w:rPr>
              <w:t>ասնավորապես</w:t>
            </w:r>
            <w:r w:rsidR="00AC7B49" w:rsidRPr="006529EB">
              <w:rPr>
                <w:rFonts w:cs="Times New Roman"/>
              </w:rPr>
              <w:t>,</w:t>
            </w:r>
            <w:r w:rsidRPr="006529EB">
              <w:rPr>
                <w:rFonts w:cs="Times New Roman"/>
              </w:rPr>
              <w:t xml:space="preserve"> </w:t>
            </w:r>
            <w:r w:rsidR="00AC7B49" w:rsidRPr="006529EB">
              <w:rPr>
                <w:rFonts w:cs="Times New Roman"/>
              </w:rPr>
              <w:t xml:space="preserve">ըստ խմբագրված </w:t>
            </w:r>
            <w:r w:rsidRPr="006529EB">
              <w:rPr>
                <w:rFonts w:cs="Times New Roman"/>
              </w:rPr>
              <w:t>նախագծ</w:t>
            </w:r>
            <w:r w:rsidR="00AC7B49" w:rsidRPr="006529EB">
              <w:rPr>
                <w:rFonts w:cs="Times New Roman"/>
              </w:rPr>
              <w:t>ի</w:t>
            </w:r>
            <w:r w:rsidRPr="006529EB">
              <w:rPr>
                <w:rFonts w:cs="Times New Roman"/>
              </w:rPr>
              <w:t>՝ ԿԲ-ին իրավասություն է տրվել օրենքով սահմանված ընդհանուր պահանջների ներքո միայն մանրամասն կանոններ սահմանել։</w:t>
            </w:r>
          </w:p>
        </w:tc>
      </w:tr>
      <w:tr w:rsidR="00D704E5" w:rsidRPr="006529EB" w14:paraId="688F1F77" w14:textId="77777777" w:rsidTr="00D704E5">
        <w:tc>
          <w:tcPr>
            <w:tcW w:w="2160" w:type="dxa"/>
            <w:vMerge/>
          </w:tcPr>
          <w:p w14:paraId="0E0AC6E9" w14:textId="77777777" w:rsidR="00D704E5" w:rsidRPr="006529EB" w:rsidRDefault="00D704E5" w:rsidP="00E57A08">
            <w:pPr>
              <w:contextualSpacing/>
              <w:jc w:val="both"/>
              <w:rPr>
                <w:rFonts w:cs="Times New Roman"/>
              </w:rPr>
            </w:pPr>
          </w:p>
        </w:tc>
        <w:tc>
          <w:tcPr>
            <w:tcW w:w="5580" w:type="dxa"/>
          </w:tcPr>
          <w:p w14:paraId="143F3823" w14:textId="474DC852" w:rsidR="00D704E5" w:rsidRPr="006529EB" w:rsidRDefault="00D704E5" w:rsidP="00E57A08">
            <w:pPr>
              <w:contextualSpacing/>
              <w:jc w:val="both"/>
              <w:rPr>
                <w:rFonts w:cs="Times New Roman"/>
              </w:rPr>
            </w:pPr>
            <w:r w:rsidRPr="006529EB">
              <w:rPr>
                <w:rFonts w:cs="Times New Roman"/>
              </w:rPr>
              <w:t xml:space="preserve">2) նախագծի 20-րդ հոդվածի 10-րդ մասի համաձայն՝ ԿԲ-ն </w:t>
            </w:r>
            <w:r w:rsidRPr="006529EB">
              <w:rPr>
                <w:rFonts w:cs="Times New Roman"/>
                <w:i/>
                <w:u w:val="single"/>
              </w:rPr>
              <w:t>կարող է</w:t>
            </w:r>
            <w:r w:rsidRPr="006529EB">
              <w:rPr>
                <w:rFonts w:cs="Times New Roman"/>
              </w:rPr>
              <w:t xml:space="preserve"> մերժել դիմորդի լիցենզավորումը կամ կրիպտոակտիվներով լրացուցիչ ծառայություն մատուցելու լիցենզիայի տրամադրումը (…)։ Պարզ չէ, թե ինչու է ԿԲ-ին լիցենզիայի տրամադրումը մերժելու հայեցողություն վերապահվում։ </w:t>
            </w:r>
          </w:p>
          <w:p w14:paraId="34E6BDEA" w14:textId="3040C899" w:rsidR="00D704E5" w:rsidRPr="006529EB" w:rsidRDefault="00D704E5" w:rsidP="00E57A08">
            <w:pPr>
              <w:contextualSpacing/>
              <w:jc w:val="both"/>
              <w:rPr>
                <w:rFonts w:cs="Times New Roman"/>
              </w:rPr>
            </w:pPr>
            <w:r w:rsidRPr="006529EB">
              <w:t xml:space="preserve">Միաժամանակ՝ </w:t>
            </w:r>
            <w:r w:rsidRPr="006529EB">
              <w:rPr>
                <w:i/>
                <w:u w:val="single"/>
              </w:rPr>
              <w:t>հստակ չեն</w:t>
            </w:r>
            <w:r w:rsidRPr="006529EB">
              <w:t xml:space="preserve"> նաև լիցենզիայի տրամադրումը </w:t>
            </w:r>
            <w:r w:rsidRPr="006529EB">
              <w:rPr>
                <w:i/>
                <w:u w:val="single"/>
              </w:rPr>
              <w:t>մերժելու հիմքերը</w:t>
            </w:r>
            <w:r w:rsidRPr="006529EB">
              <w:t xml:space="preserve">։ Օրինակ՝ 6-րդ կետի համաձայն՝ լիցենզիայի տրամադրումը կարող է </w:t>
            </w:r>
            <w:r w:rsidRPr="006529EB">
              <w:lastRenderedPageBreak/>
              <w:t xml:space="preserve">մերժվել, եթե ԿԲ-ի </w:t>
            </w:r>
            <w:r w:rsidRPr="006529EB">
              <w:rPr>
                <w:i/>
                <w:u w:val="single"/>
              </w:rPr>
              <w:t>հիմնավորված կարծիքով գործարար ծրագիրն անիրատեսական է</w:t>
            </w:r>
            <w:r w:rsidRPr="006529EB">
              <w:t xml:space="preserve">, կամ գործելով գործարար ծրագրին համապատասխան` </w:t>
            </w:r>
            <w:r w:rsidRPr="006529EB">
              <w:rPr>
                <w:i/>
                <w:u w:val="single"/>
              </w:rPr>
              <w:t>դիմորդը չի կարող բնականոն մատուցել կրիպտոակտիվներով ծառայություններ</w:t>
            </w:r>
            <w:r w:rsidRPr="006529EB">
              <w:t xml:space="preserve"> կամ </w:t>
            </w:r>
            <w:r w:rsidRPr="006529EB">
              <w:rPr>
                <w:i/>
                <w:u w:val="single"/>
              </w:rPr>
              <w:t>կարող է խաթարել կրիպտոակտիվների շուկայի անաղարտությունը</w:t>
            </w:r>
            <w:r w:rsidRPr="006529EB">
              <w:t xml:space="preserve"> կամ ֆինանսական կայունությունը։ Պարզ չէ, թե ինչպես և ինչու պետք է ԿԲ-ն գործարար ծրագիր գնահատի՝ լիցենզիա տրամադրելու համար։ </w:t>
            </w:r>
          </w:p>
          <w:p w14:paraId="535A9998" w14:textId="45B58F4E" w:rsidR="00D704E5" w:rsidRPr="006529EB" w:rsidRDefault="00D704E5" w:rsidP="00E57A08">
            <w:pPr>
              <w:contextualSpacing/>
              <w:jc w:val="both"/>
              <w:rPr>
                <w:rFonts w:cs="Times New Roman"/>
                <w:noProof w:val="0"/>
              </w:rPr>
            </w:pPr>
            <w:r w:rsidRPr="006529EB">
              <w:rPr>
                <w:rFonts w:cs="Times New Roman"/>
              </w:rPr>
              <w:t>Դիտարկումը վերաբերելի է նաև 8-րդ, 10-րդ և 13-րդ կետերին, ինչպես նաև լիցենզիայի կամ թույլտվության տրամադրման մերժման հիմքեր սահմանող՝ փաթեթի այլ համանման կարգավորումներին,</w:t>
            </w:r>
          </w:p>
          <w:p w14:paraId="4427C49A" w14:textId="77777777" w:rsidR="00D704E5" w:rsidRPr="006529EB" w:rsidRDefault="00D704E5" w:rsidP="00E57A08">
            <w:pPr>
              <w:keepNext/>
              <w:suppressAutoHyphens/>
              <w:contextualSpacing/>
              <w:jc w:val="both"/>
              <w:rPr>
                <w:rFonts w:cs="Times New Roman"/>
                <w:bCs/>
                <w:i/>
                <w:iCs/>
              </w:rPr>
            </w:pPr>
          </w:p>
        </w:tc>
        <w:tc>
          <w:tcPr>
            <w:tcW w:w="7920" w:type="dxa"/>
          </w:tcPr>
          <w:p w14:paraId="5C3C8A46" w14:textId="074A4CA6" w:rsidR="00D704E5" w:rsidRPr="006529EB" w:rsidRDefault="00D704E5" w:rsidP="00E57A08">
            <w:pPr>
              <w:contextualSpacing/>
              <w:jc w:val="both"/>
              <w:rPr>
                <w:rFonts w:cs="Times New Roman"/>
              </w:rPr>
            </w:pPr>
            <w:r w:rsidRPr="006529EB">
              <w:rPr>
                <w:rFonts w:cs="Times New Roman"/>
                <w:b/>
                <w:bCs/>
              </w:rPr>
              <w:lastRenderedPageBreak/>
              <w:t>Չի ընդունվել։</w:t>
            </w:r>
            <w:r w:rsidRPr="006529EB">
              <w:rPr>
                <w:rFonts w:cs="Times New Roman"/>
                <w:bCs/>
              </w:rPr>
              <w:t xml:space="preserve"> Քանի որ կրիպտոակտիվներով ծառայությունները, ըստ էության, հանդիսանում են ֆինանսական ծառայություններ, </w:t>
            </w:r>
            <w:r w:rsidRPr="006529EB">
              <w:rPr>
                <w:rFonts w:cs="Times New Roman"/>
              </w:rPr>
              <w:t>կրիպտոակտիվներով ծառայություններ մատուցող անձանց լիցենզիայի տրամադրման որոշման իրավասությունը ըստ նախագծերի տրված է Կենտրոնական բանկին։ Հետևաբար, Կենտրոնական բանկն է որոշում կայացնում դիմորդին լիցենզիայի տրամադրման կամ տրամադրումը մերժելու վերաբերյալ։</w:t>
            </w:r>
          </w:p>
          <w:p w14:paraId="09C37381" w14:textId="02032E12" w:rsidR="00D704E5" w:rsidRPr="006529EB" w:rsidRDefault="00D704E5" w:rsidP="00E57A08">
            <w:pPr>
              <w:contextualSpacing/>
              <w:jc w:val="both"/>
              <w:rPr>
                <w:rFonts w:cs="Times New Roman"/>
              </w:rPr>
            </w:pPr>
            <w:r w:rsidRPr="006529EB">
              <w:rPr>
                <w:rFonts w:cs="Times New Roman"/>
              </w:rPr>
              <w:t xml:space="preserve">Ինչ վերաբերում է նախագծով սահմանված մերժման հիմքերին, ապա դրանք կարող են լինել ինչպես օբյեկտիվ հիմքեր, այնպես էլ հիմնված լինեն </w:t>
            </w:r>
            <w:r w:rsidRPr="006529EB">
              <w:rPr>
                <w:rFonts w:cs="Times New Roman"/>
              </w:rPr>
              <w:lastRenderedPageBreak/>
              <w:t>սուբյեկտիվ դատողությունների հիման վրա։ Ընդ որում, վերջին դեպքում, ըստ նախագծի, Կենտրոնական բանկը պետք է հիմնավորի իր կարծիքը։ Այս մոտեցումը համապատասխանում է միջազգային լավագույն պրակտիկային, և բխում է ռիսկերի վրա հիմնված կարգավորման սկզբունքներից։</w:t>
            </w:r>
          </w:p>
          <w:p w14:paraId="5B4C6454" w14:textId="606BBEF0" w:rsidR="00D704E5" w:rsidRPr="006529EB" w:rsidRDefault="00D704E5" w:rsidP="00E57A08">
            <w:pPr>
              <w:contextualSpacing/>
              <w:jc w:val="both"/>
              <w:rPr>
                <w:rFonts w:cs="Times New Roman"/>
                <w:b/>
                <w:bCs/>
              </w:rPr>
            </w:pPr>
            <w:r w:rsidRPr="006529EB">
              <w:rPr>
                <w:rFonts w:cs="Times New Roman"/>
              </w:rPr>
              <w:t>Օրինակ, եթե անձը ներկայացնում է իր բիզնես մոդելը, որը հիմնված է անիրատեսական գործարար ծրագրի վրա (օրինակ, նախատեսում է առաջին մեկ ամսում ներգրավել 2 մլն հաճախորդ), ապա դրա ձախողելու հավանակությունը շատ մեծ է՝ հաճախորդների միջոցների կորստի, և ընդհանրապես, շուկայի հանդեպ վստահությունը խարխլելու հետ կապված բացասական հետևանքներով։ Կամ օրինակ, ներկայացված բիզնես մոդելը հիմնված է հանրությանը մոլորեցնող, շուկայի չարաշահումները խթանող (այն է՝ շուկայի անաղարտությունը վտանգող) մեխանիզմների վրա։ Նմանատիպ բոլոր դեպքերում կարգավորողը պետք է իրավասություն ունենա մերժելու լիցենզիայի տրամադրումը։</w:t>
            </w:r>
          </w:p>
          <w:p w14:paraId="44AE2A07" w14:textId="5F097B13" w:rsidR="00D704E5" w:rsidRPr="006529EB" w:rsidRDefault="00D704E5" w:rsidP="00E57A08">
            <w:pPr>
              <w:contextualSpacing/>
              <w:jc w:val="both"/>
              <w:rPr>
                <w:rFonts w:cs="Times New Roman"/>
                <w:b/>
                <w:bCs/>
              </w:rPr>
            </w:pPr>
          </w:p>
        </w:tc>
      </w:tr>
      <w:tr w:rsidR="00D704E5" w:rsidRPr="006529EB" w14:paraId="6EEF97CB" w14:textId="77777777" w:rsidTr="00D704E5">
        <w:tc>
          <w:tcPr>
            <w:tcW w:w="2160" w:type="dxa"/>
            <w:vMerge/>
          </w:tcPr>
          <w:p w14:paraId="436F3C2C" w14:textId="77777777" w:rsidR="00D704E5" w:rsidRPr="006529EB" w:rsidRDefault="00D704E5" w:rsidP="00E57A08">
            <w:pPr>
              <w:keepNext/>
              <w:suppressAutoHyphens/>
              <w:contextualSpacing/>
              <w:jc w:val="both"/>
              <w:rPr>
                <w:rFonts w:cs="Times New Roman"/>
                <w:bCs/>
                <w:i/>
                <w:iCs/>
              </w:rPr>
            </w:pPr>
          </w:p>
        </w:tc>
        <w:tc>
          <w:tcPr>
            <w:tcW w:w="5580" w:type="dxa"/>
          </w:tcPr>
          <w:p w14:paraId="676E62D4" w14:textId="4E7D994F" w:rsidR="00D704E5" w:rsidRPr="006529EB" w:rsidRDefault="00D704E5" w:rsidP="00E57A08">
            <w:pPr>
              <w:keepNext/>
              <w:suppressAutoHyphens/>
              <w:contextualSpacing/>
              <w:jc w:val="both"/>
              <w:rPr>
                <w:rFonts w:cs="Times New Roman"/>
                <w:bCs/>
                <w:i/>
                <w:iCs/>
              </w:rPr>
            </w:pPr>
            <w:r w:rsidRPr="006529EB">
              <w:rPr>
                <w:rFonts w:cs="Times New Roman"/>
                <w:bCs/>
                <w:i/>
                <w:iCs/>
              </w:rPr>
              <w:t xml:space="preserve">3) </w:t>
            </w:r>
            <w:r w:rsidRPr="006529EB">
              <w:rPr>
                <w:rFonts w:cs="Times New Roman"/>
              </w:rPr>
              <w:t xml:space="preserve">նախագծի 24-րդ հոդվածի 2-րդ մասի 4-րդ կետի համաձայն՝ լիցենզիան կարող է ուժը կորցրած ճանաչվել, եթե  կրիպտոակտիվներով ծառայություններ մատուցող անձը կամ նրա ղեկավարները թույլ են տվել սույն օրենքի, այլ օրենքների, դրանց հիման վրա ընդունված նորմատիվ իրավական ակտերի, ինչպես նաև կրիպտոակտիվներով ծառայություններ մատուցող անձի ներքին իրավական ակտերի պահանջների (…) </w:t>
            </w:r>
            <w:r w:rsidRPr="006529EB">
              <w:rPr>
                <w:rFonts w:cs="Times New Roman"/>
                <w:i/>
                <w:u w:val="single"/>
              </w:rPr>
              <w:t>էական խախտումներ</w:t>
            </w:r>
            <w:r w:rsidRPr="006529EB">
              <w:rPr>
                <w:rFonts w:cs="Times New Roman"/>
              </w:rPr>
              <w:t xml:space="preserve">: Նախագծի կարգավորումներից հստակ չէ, թե </w:t>
            </w:r>
            <w:r w:rsidRPr="006529EB">
              <w:rPr>
                <w:rFonts w:cs="Times New Roman"/>
                <w:i/>
                <w:u w:val="single"/>
              </w:rPr>
              <w:t>որ խախտումներն են համարվում էական</w:t>
            </w:r>
          </w:p>
        </w:tc>
        <w:tc>
          <w:tcPr>
            <w:tcW w:w="7920" w:type="dxa"/>
          </w:tcPr>
          <w:p w14:paraId="10D24D63" w14:textId="53C9774F" w:rsidR="00D704E5" w:rsidRPr="006529EB" w:rsidRDefault="00D704E5" w:rsidP="00E57A08">
            <w:pPr>
              <w:contextualSpacing/>
              <w:jc w:val="both"/>
              <w:rPr>
                <w:rFonts w:cs="Times New Roman"/>
                <w:b/>
                <w:bCs/>
              </w:rPr>
            </w:pPr>
            <w:r w:rsidRPr="006529EB">
              <w:rPr>
                <w:rFonts w:cs="Times New Roman"/>
                <w:b/>
                <w:bCs/>
              </w:rPr>
              <w:t xml:space="preserve">Չի ընդունվել։ </w:t>
            </w:r>
            <w:r w:rsidRPr="006529EB">
              <w:rPr>
                <w:rFonts w:cs="Times New Roman"/>
              </w:rPr>
              <w:t>Կենտրոնական  բանկը խախտումների էականությունը գնահատելիս հաշվի է առնում մի շարք գործոններ և հանգամանքներ, այդ թվում՝ խախտման ազդեցությունը ֆինանսական համակարգի, կազմակերպության, հաճախորդների վրա, խախտման արդյունքում ստացված օգուտ/վնասը, խախտումը դիտավորությամբ կատարելու հանգամանքի առկայությունը և մի  շարք այլ գործոնները (տե՛ս նաև Նախագծի 83-րդ հոդվածը)։ Պետք է հաշվի առնել, որ խախտման էականությունն որոշող գործոնների սպառիչ ցանկ հնարավոր չէ նախագծում ամրագրել՝ հաշվի առնելով, որ խախտումները բազմաբնույթ են և տարբեր դրսևորումներ ունեն։</w:t>
            </w:r>
          </w:p>
        </w:tc>
      </w:tr>
      <w:tr w:rsidR="00D704E5" w:rsidRPr="006529EB" w14:paraId="7D5251E0" w14:textId="77777777" w:rsidTr="00D704E5">
        <w:tc>
          <w:tcPr>
            <w:tcW w:w="2160" w:type="dxa"/>
            <w:vMerge/>
          </w:tcPr>
          <w:p w14:paraId="2A1D53E5" w14:textId="77777777" w:rsidR="00D704E5" w:rsidRPr="006529EB" w:rsidRDefault="00D704E5" w:rsidP="00E57A08">
            <w:pPr>
              <w:autoSpaceDE w:val="0"/>
              <w:autoSpaceDN w:val="0"/>
              <w:adjustRightInd w:val="0"/>
              <w:contextualSpacing/>
              <w:jc w:val="both"/>
              <w:rPr>
                <w:rFonts w:cs="Times New Roman"/>
              </w:rPr>
            </w:pPr>
          </w:p>
        </w:tc>
        <w:tc>
          <w:tcPr>
            <w:tcW w:w="5580" w:type="dxa"/>
          </w:tcPr>
          <w:p w14:paraId="032559F2" w14:textId="1D6440F9" w:rsidR="00D704E5" w:rsidRPr="006529EB" w:rsidRDefault="00D704E5" w:rsidP="00E57A08">
            <w:pPr>
              <w:autoSpaceDE w:val="0"/>
              <w:autoSpaceDN w:val="0"/>
              <w:adjustRightInd w:val="0"/>
              <w:contextualSpacing/>
              <w:jc w:val="both"/>
              <w:rPr>
                <w:rFonts w:cs="Times New Roman"/>
              </w:rPr>
            </w:pPr>
            <w:r w:rsidRPr="006529EB">
              <w:rPr>
                <w:rFonts w:cs="Times New Roman"/>
              </w:rPr>
              <w:t xml:space="preserve">4) նախագծով կրիպտոակտիվներով ծառայություններ մատուցող անձանց ներկայացվող մի շարք պահանջներ </w:t>
            </w:r>
            <w:r w:rsidRPr="006529EB">
              <w:rPr>
                <w:rFonts w:cs="Times New Roman"/>
                <w:i/>
                <w:u w:val="single"/>
              </w:rPr>
              <w:t>խիստ գնահատողական են</w:t>
            </w:r>
            <w:r w:rsidRPr="006529EB">
              <w:rPr>
                <w:rFonts w:cs="Times New Roman"/>
              </w:rPr>
              <w:t xml:space="preserve">։ Օրինակ՝ 32-րդ հոդվածի 1-ին մասի 1-ին կետի համաձայն՝ կրիպտոակտիվներով ծառայություններ մատուցող անձը ծառայությունները մատուցելիս </w:t>
            </w:r>
            <w:r w:rsidRPr="006529EB">
              <w:rPr>
                <w:rFonts w:cs="Times New Roman"/>
              </w:rPr>
              <w:lastRenderedPageBreak/>
              <w:t xml:space="preserve">պարտավոր է գործել </w:t>
            </w:r>
            <w:r w:rsidRPr="006529EB">
              <w:rPr>
                <w:rFonts w:cs="Times New Roman"/>
                <w:i/>
                <w:u w:val="single"/>
              </w:rPr>
              <w:t>արդար</w:t>
            </w:r>
            <w:r w:rsidRPr="006529EB">
              <w:rPr>
                <w:rFonts w:cs="Times New Roman"/>
              </w:rPr>
              <w:t xml:space="preserve"> և </w:t>
            </w:r>
            <w:r w:rsidRPr="006529EB">
              <w:rPr>
                <w:rFonts w:cs="Times New Roman"/>
                <w:i/>
                <w:u w:val="single"/>
              </w:rPr>
              <w:t>պրոֆեսիոնալ</w:t>
            </w:r>
            <w:r w:rsidRPr="006529EB">
              <w:rPr>
                <w:rFonts w:cs="Times New Roman"/>
              </w:rPr>
              <w:t xml:space="preserve"> մակարդակով։ 20-րդ հոդվածի 10-րդ մասի 6-րդ կետից բխում է, որ լիցենզիա ստանալու համար դիմած անձինք պետք է ներկայացնեն </w:t>
            </w:r>
            <w:r w:rsidRPr="006529EB">
              <w:rPr>
                <w:rFonts w:cs="Times New Roman"/>
                <w:i/>
                <w:u w:val="single"/>
              </w:rPr>
              <w:t xml:space="preserve">իրատեսական </w:t>
            </w:r>
            <w:r w:rsidRPr="006529EB">
              <w:rPr>
                <w:rFonts w:cs="Times New Roman"/>
              </w:rPr>
              <w:t>գործարար ծրագիր, որը կրկին խիստ գնահատողական պահանջ է։</w:t>
            </w:r>
          </w:p>
          <w:p w14:paraId="66089C94" w14:textId="51C96764" w:rsidR="00D704E5" w:rsidRPr="006529EB" w:rsidRDefault="00D704E5" w:rsidP="00E57A08">
            <w:pPr>
              <w:autoSpaceDE w:val="0"/>
              <w:autoSpaceDN w:val="0"/>
              <w:adjustRightInd w:val="0"/>
              <w:contextualSpacing/>
              <w:jc w:val="both"/>
              <w:rPr>
                <w:rFonts w:cs="Times New Roman"/>
                <w:noProof w:val="0"/>
              </w:rPr>
            </w:pPr>
            <w:r w:rsidRPr="006529EB">
              <w:rPr>
                <w:rFonts w:cs="Times New Roman"/>
              </w:rPr>
              <w:t>Նմանատիպ դրույթներ առկա են նաև նախագծի 40-րդ հոդվածի 1-ին, 57-րդ հոդվածի 7-րդ մասերում։</w:t>
            </w:r>
          </w:p>
          <w:p w14:paraId="0EE24784" w14:textId="77777777" w:rsidR="00D704E5" w:rsidRPr="006529EB" w:rsidRDefault="00D704E5" w:rsidP="00E57A08">
            <w:pPr>
              <w:keepNext/>
              <w:suppressAutoHyphens/>
              <w:contextualSpacing/>
              <w:jc w:val="both"/>
              <w:rPr>
                <w:rFonts w:cs="Times New Roman"/>
                <w:bCs/>
                <w:i/>
                <w:iCs/>
              </w:rPr>
            </w:pPr>
          </w:p>
        </w:tc>
        <w:tc>
          <w:tcPr>
            <w:tcW w:w="7920" w:type="dxa"/>
          </w:tcPr>
          <w:p w14:paraId="54993DB4" w14:textId="77777777" w:rsidR="00D704E5" w:rsidRPr="006529EB" w:rsidRDefault="00D704E5" w:rsidP="00E57A08">
            <w:pPr>
              <w:contextualSpacing/>
              <w:jc w:val="both"/>
              <w:rPr>
                <w:rFonts w:cs="Times New Roman"/>
                <w:b/>
                <w:bCs/>
              </w:rPr>
            </w:pPr>
          </w:p>
          <w:p w14:paraId="6D6AF17B" w14:textId="0F53018C" w:rsidR="00D704E5" w:rsidRPr="006529EB" w:rsidRDefault="008F0F55" w:rsidP="00E57A08">
            <w:pPr>
              <w:contextualSpacing/>
              <w:jc w:val="both"/>
              <w:rPr>
                <w:rFonts w:cs="Times New Roman"/>
                <w:b/>
                <w:bCs/>
              </w:rPr>
            </w:pPr>
            <w:r w:rsidRPr="006529EB">
              <w:rPr>
                <w:rFonts w:cs="Times New Roman"/>
                <w:b/>
                <w:bCs/>
              </w:rPr>
              <w:t>Չի ընդունվել</w:t>
            </w:r>
            <w:r w:rsidR="00D704E5" w:rsidRPr="006529EB">
              <w:rPr>
                <w:rFonts w:cs="Times New Roman"/>
                <w:b/>
                <w:bCs/>
              </w:rPr>
              <w:t xml:space="preserve">։ </w:t>
            </w:r>
          </w:p>
          <w:p w14:paraId="15E10693" w14:textId="31C6584B" w:rsidR="00D704E5" w:rsidRPr="006529EB" w:rsidRDefault="00D704E5" w:rsidP="00E57A08">
            <w:pPr>
              <w:contextualSpacing/>
              <w:jc w:val="both"/>
              <w:rPr>
                <w:rFonts w:cs="Times New Roman"/>
              </w:rPr>
            </w:pPr>
            <w:r w:rsidRPr="006529EB">
              <w:rPr>
                <w:rFonts w:cs="Times New Roman"/>
              </w:rPr>
              <w:t xml:space="preserve">Ծառայություններ մատուցողների </w:t>
            </w:r>
            <w:r w:rsidRPr="006529EB">
              <w:rPr>
                <w:rFonts w:cs="Times New Roman"/>
                <w:b/>
                <w:bCs/>
              </w:rPr>
              <w:t>արդար և պրոֆեսիոնալ</w:t>
            </w:r>
            <w:r w:rsidRPr="006529EB">
              <w:rPr>
                <w:rFonts w:cs="Times New Roman"/>
              </w:rPr>
              <w:t xml:space="preserve"> որակները կրիպտոակտիվների ոլորտում</w:t>
            </w:r>
            <w:r w:rsidR="00836166" w:rsidRPr="006529EB">
              <w:rPr>
                <w:rFonts w:cs="Times New Roman"/>
              </w:rPr>
              <w:t>,</w:t>
            </w:r>
            <w:r w:rsidRPr="006529EB">
              <w:rPr>
                <w:rFonts w:cs="Times New Roman"/>
              </w:rPr>
              <w:t xml:space="preserve"> և ընդհանրապես</w:t>
            </w:r>
            <w:r w:rsidR="00836166" w:rsidRPr="006529EB">
              <w:rPr>
                <w:rFonts w:cs="Times New Roman"/>
              </w:rPr>
              <w:t>,</w:t>
            </w:r>
            <w:r w:rsidRPr="006529EB">
              <w:rPr>
                <w:rFonts w:cs="Times New Roman"/>
              </w:rPr>
              <w:t xml:space="preserve"> ֆինանսական ոոլորտում լայնորեն կիրառվող հասկացություններ են և ենթադրում են</w:t>
            </w:r>
            <w:r w:rsidR="00836166" w:rsidRPr="006529EB">
              <w:rPr>
                <w:rFonts w:cs="Times New Roman"/>
              </w:rPr>
              <w:t xml:space="preserve"> հետևյալը։</w:t>
            </w:r>
          </w:p>
          <w:p w14:paraId="7C613338" w14:textId="7D748966" w:rsidR="00D704E5" w:rsidRPr="006529EB" w:rsidRDefault="00D704E5" w:rsidP="00E57A08">
            <w:pPr>
              <w:pStyle w:val="ListParagraph"/>
              <w:numPr>
                <w:ilvl w:val="0"/>
                <w:numId w:val="32"/>
              </w:numPr>
              <w:jc w:val="both"/>
              <w:rPr>
                <w:rFonts w:cs="Times New Roman"/>
                <w:b/>
                <w:bCs/>
              </w:rPr>
            </w:pPr>
            <w:r w:rsidRPr="006529EB">
              <w:rPr>
                <w:rFonts w:cs="Times New Roman"/>
                <w:b/>
                <w:bCs/>
              </w:rPr>
              <w:lastRenderedPageBreak/>
              <w:t>Արդար վեր</w:t>
            </w:r>
            <w:r w:rsidR="00836166" w:rsidRPr="006529EB">
              <w:rPr>
                <w:rFonts w:cs="Times New Roman"/>
                <w:b/>
                <w:bCs/>
              </w:rPr>
              <w:t>ա</w:t>
            </w:r>
            <w:r w:rsidRPr="006529EB">
              <w:rPr>
                <w:rFonts w:cs="Times New Roman"/>
                <w:b/>
                <w:bCs/>
              </w:rPr>
              <w:t xml:space="preserve">բերմունքն </w:t>
            </w:r>
            <w:r w:rsidRPr="006529EB">
              <w:rPr>
                <w:rFonts w:cs="Times New Roman"/>
              </w:rPr>
              <w:t xml:space="preserve">առկա է, երբ, օրինակ, կրիպտոակտիվներով ծառայություններ մատուցող անձը հնարավոր բոլոր քայլերն իրականացնում է հաճախորդների համար շահերի բախումով գործարքներ չկնքելու համար, չի մոլորեցնում հաճախորդին՝ ծառայություն մատուցողի համար շահավետ (հաճախորդի համար անշահավետ) պայմաններով գործարք կնքելու համար, նախապատվությունը չի տալիս իր փոխկապակցված անձի կողմից առաջարկվող կրիպտոակտիվներին,  ուսումնասիրում  է շուկան և հաճախորդին առաջարկում հնարավոր լավագույն պայմաններով տարբերակ: Կամ, օրինակ, կրիպտոակտիվներով ծառայություններ մատուցող անձը հաճախորդին տրամադրում է իր որոշումների կայացման համար ողջ ինֆորմացիան, չի թաքցնում ռիսկային կողմերը՝ այն մտավախությամբ, որ դրանք ներկայացնելու դեպքում հաճախորդ կկորցնի: </w:t>
            </w:r>
          </w:p>
          <w:p w14:paraId="15589251" w14:textId="54E841E1" w:rsidR="00D704E5" w:rsidRPr="006529EB" w:rsidRDefault="00D704E5" w:rsidP="00E57A08">
            <w:pPr>
              <w:pStyle w:val="ListParagraph"/>
              <w:numPr>
                <w:ilvl w:val="0"/>
                <w:numId w:val="32"/>
              </w:numPr>
              <w:jc w:val="both"/>
              <w:rPr>
                <w:rFonts w:cs="Times New Roman"/>
                <w:b/>
                <w:bCs/>
              </w:rPr>
            </w:pPr>
            <w:r w:rsidRPr="006529EB">
              <w:rPr>
                <w:rFonts w:cs="Times New Roman"/>
                <w:b/>
                <w:bCs/>
              </w:rPr>
              <w:t>Պրոֆեսիոնալ</w:t>
            </w:r>
            <w:r w:rsidR="00836166" w:rsidRPr="006529EB">
              <w:rPr>
                <w:rFonts w:cs="Times New Roman"/>
                <w:b/>
                <w:bCs/>
              </w:rPr>
              <w:t xml:space="preserve"> մակարդակով </w:t>
            </w:r>
            <w:r w:rsidR="00836166" w:rsidRPr="006529EB">
              <w:rPr>
                <w:rFonts w:cs="Times New Roman"/>
              </w:rPr>
              <w:t>գործելու դեպքում</w:t>
            </w:r>
            <w:r w:rsidR="00836166" w:rsidRPr="006529EB">
              <w:rPr>
                <w:rFonts w:cs="Times New Roman"/>
                <w:b/>
                <w:bCs/>
              </w:rPr>
              <w:t xml:space="preserve"> </w:t>
            </w:r>
            <w:r w:rsidRPr="006529EB">
              <w:rPr>
                <w:rFonts w:cs="Times New Roman"/>
              </w:rPr>
              <w:t xml:space="preserve">կրիպտոակտիվներով ծառայություններ մատուցող անձը ապահովում է բոլոր ընթացակարգերը՝ հաճախորդների համար որակյալ ծառայություններ մատուցելու համար: Օրինակ, երբ խորհրդատվություն մատուցող կրիպտոաակտիվներով ծառայություններ մատուցող անձը </w:t>
            </w:r>
            <w:r w:rsidR="00836166" w:rsidRPr="006529EB">
              <w:rPr>
                <w:rFonts w:cs="Times New Roman"/>
              </w:rPr>
              <w:t xml:space="preserve">իր խորհրդատվությունը մատուցելիս հիմնվում է բավարար հետազոտությունների վրա, </w:t>
            </w:r>
            <w:r w:rsidRPr="006529EB">
              <w:rPr>
                <w:rFonts w:cs="Times New Roman"/>
              </w:rPr>
              <w:t xml:space="preserve">մանրակրկիտ վերլուծում է ողջ շուկան և կրիպտոակտիվներ ձեռքբերող հաճախորդի նպատակներին, ֆինանսական վիճակին, հաճախորդի ռիսկի ախորժակին համահունչ կրիպտոակտիվներ է </w:t>
            </w:r>
            <w:r w:rsidR="00836166" w:rsidRPr="006529EB">
              <w:rPr>
                <w:rFonts w:cs="Times New Roman"/>
              </w:rPr>
              <w:t>առաջարկում</w:t>
            </w:r>
            <w:r w:rsidRPr="006529EB">
              <w:rPr>
                <w:rFonts w:cs="Times New Roman"/>
              </w:rPr>
              <w:t>: Մեկ այլ օրինակ</w:t>
            </w:r>
            <w:r w:rsidRPr="006529EB">
              <w:rPr>
                <w:rFonts w:ascii="Cambria Math" w:hAnsi="Cambria Math" w:cs="Cambria Math"/>
              </w:rPr>
              <w:t>․</w:t>
            </w:r>
            <w:r w:rsidRPr="006529EB">
              <w:rPr>
                <w:rFonts w:cs="Times New Roman"/>
              </w:rPr>
              <w:t xml:space="preserve"> կրիպտոակտիվներով ծառայություններ մատուցող անձը հետևում է իր աշխատակիցներին, որպեսզի վերջիններս շուկայի չարաշահումներ չիրականացնեն, օրինակ, արգելում է իր աշխատակիցներին իր կողմից կառավարվող հարթակում թույլտվության ենթակա կրիպտոակտիվներով գործարքներ կնքել նախքան տվյալ կրիպտոակտիվի իր հարթակում շրջանառության սկիզբը՝ կանխելու համար անարդար ինֆորմացիոն առավելությունների հիման որոշումների կայացման հնարավորությունը: </w:t>
            </w:r>
          </w:p>
          <w:p w14:paraId="37AF2403" w14:textId="77777777" w:rsidR="00D704E5" w:rsidRPr="006529EB" w:rsidRDefault="00D704E5" w:rsidP="00344E95">
            <w:pPr>
              <w:pStyle w:val="ListParagraph"/>
              <w:ind w:left="501"/>
              <w:jc w:val="both"/>
              <w:rPr>
                <w:rFonts w:cs="Times New Roman"/>
                <w:b/>
                <w:bCs/>
              </w:rPr>
            </w:pPr>
          </w:p>
          <w:p w14:paraId="2919894E" w14:textId="77777777" w:rsidR="00D704E5" w:rsidRPr="006529EB" w:rsidRDefault="00D704E5" w:rsidP="00C14D92">
            <w:pPr>
              <w:jc w:val="both"/>
              <w:rPr>
                <w:rFonts w:cs="Times New Roman"/>
              </w:rPr>
            </w:pPr>
          </w:p>
          <w:p w14:paraId="7A24925E" w14:textId="26E4C139" w:rsidR="00D704E5" w:rsidRPr="006529EB" w:rsidRDefault="00836166" w:rsidP="00C14D92">
            <w:pPr>
              <w:jc w:val="both"/>
              <w:rPr>
                <w:rFonts w:cs="Times New Roman"/>
              </w:rPr>
            </w:pPr>
            <w:r w:rsidRPr="006529EB">
              <w:rPr>
                <w:rFonts w:cs="Times New Roman"/>
              </w:rPr>
              <w:lastRenderedPageBreak/>
              <w:t xml:space="preserve">Ինչ վերաբերում է </w:t>
            </w:r>
            <w:r w:rsidRPr="006529EB">
              <w:rPr>
                <w:rFonts w:cs="Times New Roman"/>
                <w:b/>
                <w:bCs/>
              </w:rPr>
              <w:t>գ</w:t>
            </w:r>
            <w:r w:rsidR="00D704E5" w:rsidRPr="006529EB">
              <w:rPr>
                <w:rFonts w:cs="Times New Roman"/>
                <w:b/>
                <w:bCs/>
              </w:rPr>
              <w:t>ործարար ծրագրի իրատեսական</w:t>
            </w:r>
            <w:r w:rsidR="00D704E5" w:rsidRPr="006529EB">
              <w:rPr>
                <w:rFonts w:cs="Times New Roman"/>
              </w:rPr>
              <w:t xml:space="preserve"> լինել</w:t>
            </w:r>
            <w:r w:rsidRPr="006529EB">
              <w:rPr>
                <w:rFonts w:cs="Times New Roman"/>
              </w:rPr>
              <w:t>ուն, ապա այն</w:t>
            </w:r>
            <w:r w:rsidR="00D704E5" w:rsidRPr="006529EB">
              <w:rPr>
                <w:rFonts w:cs="Times New Roman"/>
              </w:rPr>
              <w:t xml:space="preserve"> լիցենզիայի տրամադրման ամենակարևոր նախապայմաններից մեկն է, քանի որ գործարար ծրագրի իրատեսականությունն է հաստատում, որ  կազմակերպությունը պատրաստ է ֆինանսական համակարգում գործել անվտանգ և կայուն։ Ընդհանուր առմամբ, ֆինանսական կազմակերպությունների գործարար ծրագրերի իրատեսականությունը գնահատելիս Կենտրոնական բանկի կողմից տարբեր գործիքներ են օգտագործվում (թե քանակական, թե որակական)։ Դրանք  մշտապես վերլուծվում են, համադրվում և դրանց համակցմամբ որոշվում է, թե արդյոք գործարար ծրագիրն իրատեսական է, թե ոչ</w:t>
            </w:r>
            <w:r w:rsidR="00D704E5" w:rsidRPr="006529EB">
              <w:rPr>
                <w:rFonts w:cs="Cambria Math"/>
              </w:rPr>
              <w:t>։</w:t>
            </w:r>
            <w:r w:rsidR="00D704E5" w:rsidRPr="006529EB">
              <w:rPr>
                <w:rFonts w:cs="Times New Roman"/>
              </w:rPr>
              <w:t xml:space="preserve">  </w:t>
            </w:r>
          </w:p>
          <w:p w14:paraId="617E46A9" w14:textId="5A9D3011" w:rsidR="00D704E5" w:rsidRPr="006529EB" w:rsidRDefault="00D704E5" w:rsidP="00C14D92">
            <w:pPr>
              <w:jc w:val="both"/>
              <w:rPr>
                <w:rFonts w:cs="Times New Roman"/>
              </w:rPr>
            </w:pPr>
            <w:r w:rsidRPr="006529EB">
              <w:rPr>
                <w:rFonts w:cs="Times New Roman"/>
              </w:rPr>
              <w:t xml:space="preserve">Օրինակ, </w:t>
            </w:r>
            <w:r w:rsidR="00836166" w:rsidRPr="006529EB">
              <w:rPr>
                <w:rFonts w:cs="Times New Roman"/>
              </w:rPr>
              <w:t>գործարար ծրագիրը</w:t>
            </w:r>
            <w:r w:rsidRPr="006529EB">
              <w:rPr>
                <w:rFonts w:cs="Times New Roman"/>
              </w:rPr>
              <w:t xml:space="preserve"> կհամարվի իրատեսական, եթե բավարարում է ստորև չափանիշներին</w:t>
            </w:r>
            <w:r w:rsidRPr="006529EB">
              <w:rPr>
                <w:rFonts w:ascii="Cambria Math" w:hAnsi="Cambria Math" w:cs="Cambria Math"/>
              </w:rPr>
              <w:t>․</w:t>
            </w:r>
          </w:p>
          <w:p w14:paraId="5A741218" w14:textId="5F44BB2E" w:rsidR="00D704E5" w:rsidRPr="006529EB" w:rsidRDefault="00D704E5" w:rsidP="00C14D92">
            <w:pPr>
              <w:pStyle w:val="ListParagraph"/>
              <w:numPr>
                <w:ilvl w:val="0"/>
                <w:numId w:val="32"/>
              </w:numPr>
              <w:jc w:val="both"/>
              <w:rPr>
                <w:rFonts w:cs="Times New Roman"/>
              </w:rPr>
            </w:pPr>
            <w:r w:rsidRPr="006529EB">
              <w:rPr>
                <w:rFonts w:cs="Times New Roman"/>
              </w:rPr>
              <w:t>բավարար մանրակրկիտ և հիմնավորված ներկայացվել են անձի կողմից կրիպտոակտիվներով ծառայությունների մատուցման նպատակները, դրանք իրագործելու քայլերն ու խնդիրների լուծումները</w:t>
            </w:r>
            <w:r w:rsidRPr="006529EB">
              <w:rPr>
                <w:rFonts w:ascii="Cambria Math" w:hAnsi="Cambria Math" w:cs="Cambria Math"/>
              </w:rPr>
              <w:t>․</w:t>
            </w:r>
          </w:p>
          <w:p w14:paraId="2B2296C4" w14:textId="24867852" w:rsidR="00D704E5" w:rsidRPr="006529EB" w:rsidRDefault="00D704E5" w:rsidP="00C14D92">
            <w:pPr>
              <w:pStyle w:val="ListParagraph"/>
              <w:numPr>
                <w:ilvl w:val="0"/>
                <w:numId w:val="32"/>
              </w:numPr>
              <w:jc w:val="both"/>
              <w:rPr>
                <w:rFonts w:cs="Times New Roman"/>
              </w:rPr>
            </w:pPr>
            <w:r w:rsidRPr="006529EB">
              <w:rPr>
                <w:rFonts w:cs="Times New Roman"/>
              </w:rPr>
              <w:t>սահմանվել են ընկերության գործունեության բոլոր կարճաժամկետ և երկարաժամկետ նպատակները,</w:t>
            </w:r>
          </w:p>
          <w:p w14:paraId="241EC7CC" w14:textId="23F031F7" w:rsidR="00D704E5" w:rsidRPr="006529EB" w:rsidRDefault="00D704E5" w:rsidP="00C14D92">
            <w:pPr>
              <w:pStyle w:val="ListParagraph"/>
              <w:numPr>
                <w:ilvl w:val="0"/>
                <w:numId w:val="32"/>
              </w:numPr>
              <w:jc w:val="both"/>
              <w:rPr>
                <w:rFonts w:cs="Times New Roman"/>
              </w:rPr>
            </w:pPr>
            <w:r w:rsidRPr="006529EB">
              <w:rPr>
                <w:rFonts w:cs="Times New Roman"/>
              </w:rPr>
              <w:t>գործունեության փուլերի, արդյունքներին հասնելու ժամանակացույցը ներկայացվել է հստակ, հիմնավորված և խելամտության շրջանակում</w:t>
            </w:r>
            <w:r w:rsidRPr="006529EB">
              <w:rPr>
                <w:rFonts w:ascii="Cambria Math" w:hAnsi="Cambria Math" w:cs="Cambria Math"/>
              </w:rPr>
              <w:t>․</w:t>
            </w:r>
          </w:p>
          <w:p w14:paraId="748A9806" w14:textId="0F7023F8" w:rsidR="00D704E5" w:rsidRPr="006529EB" w:rsidRDefault="00D704E5" w:rsidP="00C14D92">
            <w:pPr>
              <w:pStyle w:val="ListParagraph"/>
              <w:numPr>
                <w:ilvl w:val="0"/>
                <w:numId w:val="32"/>
              </w:numPr>
              <w:jc w:val="both"/>
              <w:rPr>
                <w:rFonts w:cs="Times New Roman"/>
              </w:rPr>
            </w:pPr>
            <w:r w:rsidRPr="006529EB">
              <w:rPr>
                <w:rFonts w:cs="Times New Roman"/>
              </w:rPr>
              <w:t>բոլոր կանխատեսվող ցուցանիշները խորը վերլուծվել և  հիմնավորվել են կոնկրետ հաշվարկներով</w:t>
            </w:r>
            <w:r w:rsidRPr="006529EB">
              <w:rPr>
                <w:rFonts w:ascii="Cambria Math" w:hAnsi="Cambria Math" w:cs="Cambria Math"/>
              </w:rPr>
              <w:t>․</w:t>
            </w:r>
            <w:r w:rsidRPr="006529EB">
              <w:rPr>
                <w:rFonts w:cs="Times New Roman"/>
              </w:rPr>
              <w:t xml:space="preserve"> </w:t>
            </w:r>
          </w:p>
          <w:p w14:paraId="66277ED6" w14:textId="7B362B75" w:rsidR="00D704E5" w:rsidRPr="006529EB" w:rsidRDefault="00D704E5" w:rsidP="00C14D92">
            <w:pPr>
              <w:pStyle w:val="ListParagraph"/>
              <w:numPr>
                <w:ilvl w:val="0"/>
                <w:numId w:val="32"/>
              </w:numPr>
              <w:jc w:val="both"/>
              <w:rPr>
                <w:rFonts w:cs="Times New Roman"/>
              </w:rPr>
            </w:pPr>
            <w:r w:rsidRPr="006529EB">
              <w:rPr>
                <w:rFonts w:cs="Times New Roman"/>
              </w:rPr>
              <w:t>նկարագրվել են գործունեության հետ կապված հնարավոր էական ռիսկերը և դրանց նվազեցման հիմնավոր մոդելները</w:t>
            </w:r>
            <w:r w:rsidRPr="006529EB">
              <w:rPr>
                <w:rFonts w:ascii="Cambria Math" w:hAnsi="Cambria Math" w:cs="Cambria Math"/>
              </w:rPr>
              <w:t>․</w:t>
            </w:r>
          </w:p>
          <w:p w14:paraId="437C915C" w14:textId="45DCC677" w:rsidR="00D704E5" w:rsidRPr="006529EB" w:rsidRDefault="00D704E5" w:rsidP="00C14D92">
            <w:pPr>
              <w:pStyle w:val="ListParagraph"/>
              <w:numPr>
                <w:ilvl w:val="0"/>
                <w:numId w:val="32"/>
              </w:numPr>
              <w:jc w:val="both"/>
              <w:rPr>
                <w:rFonts w:cs="Times New Roman"/>
              </w:rPr>
            </w:pPr>
            <w:r w:rsidRPr="006529EB">
              <w:rPr>
                <w:rFonts w:cs="Times New Roman"/>
              </w:rPr>
              <w:t xml:space="preserve">ներկայացված նպատակները և դրանք իրագործելու մեթոդները կարգավորման դաշտի ներքո են։  </w:t>
            </w:r>
          </w:p>
          <w:p w14:paraId="179285F6" w14:textId="77777777" w:rsidR="00D704E5" w:rsidRPr="006529EB" w:rsidRDefault="00D704E5" w:rsidP="00E57A08">
            <w:pPr>
              <w:ind w:left="141"/>
              <w:contextualSpacing/>
              <w:jc w:val="both"/>
              <w:rPr>
                <w:rFonts w:cs="Times New Roman"/>
              </w:rPr>
            </w:pPr>
          </w:p>
          <w:p w14:paraId="19DE398B" w14:textId="17E41243" w:rsidR="00D704E5" w:rsidRPr="006529EB" w:rsidRDefault="00D704E5" w:rsidP="00D704E5">
            <w:pPr>
              <w:ind w:left="141"/>
              <w:contextualSpacing/>
              <w:jc w:val="both"/>
              <w:rPr>
                <w:rFonts w:cs="Times New Roman"/>
                <w:b/>
                <w:bCs/>
              </w:rPr>
            </w:pPr>
            <w:r w:rsidRPr="006529EB">
              <w:rPr>
                <w:rFonts w:cs="Times New Roman"/>
              </w:rPr>
              <w:t>Վերոնշյալ չափանիշները, օրինակները բազմաթիվ են և տարաբնույթ և պետք է գնահատվեն (լինեն գնահատողական)՝ ըստ կոնկրետ դեպքի, ուստի՝ դրանց սպառիչ ցանկ կամ սահմանում տալը հնարավոր չէ և չի բխում ռիսկերի վրա հիմնված կարգավորման սկզբունքներից։ Միևնույն ժամանակ, Կենտրոնական բանկն իր նորմատիվ իրավական ակտերով կարող է սահմանել ավելի մանրամասն պահանջներ, որոնք ուղղված են նմանատիպ դրույթների կիրառման ապահովմանը։</w:t>
            </w:r>
          </w:p>
        </w:tc>
      </w:tr>
      <w:tr w:rsidR="00D704E5" w:rsidRPr="006529EB" w14:paraId="223166D3" w14:textId="77777777" w:rsidTr="00D704E5">
        <w:trPr>
          <w:trHeight w:val="6110"/>
        </w:trPr>
        <w:tc>
          <w:tcPr>
            <w:tcW w:w="2160" w:type="dxa"/>
            <w:vMerge/>
          </w:tcPr>
          <w:p w14:paraId="1CDD713D" w14:textId="77777777" w:rsidR="00D704E5" w:rsidRPr="006529EB" w:rsidRDefault="00D704E5" w:rsidP="00E57A08">
            <w:pPr>
              <w:autoSpaceDE w:val="0"/>
              <w:autoSpaceDN w:val="0"/>
              <w:adjustRightInd w:val="0"/>
              <w:contextualSpacing/>
              <w:jc w:val="both"/>
              <w:rPr>
                <w:rFonts w:cs="Times New Roman"/>
                <w:bCs/>
                <w:i/>
                <w:iCs/>
              </w:rPr>
            </w:pPr>
          </w:p>
        </w:tc>
        <w:tc>
          <w:tcPr>
            <w:tcW w:w="5580" w:type="dxa"/>
          </w:tcPr>
          <w:p w14:paraId="5E2317DA" w14:textId="42283DF3" w:rsidR="00D704E5" w:rsidRPr="006529EB" w:rsidRDefault="00D704E5" w:rsidP="00E57A08">
            <w:pPr>
              <w:autoSpaceDE w:val="0"/>
              <w:autoSpaceDN w:val="0"/>
              <w:adjustRightInd w:val="0"/>
              <w:contextualSpacing/>
              <w:jc w:val="both"/>
              <w:rPr>
                <w:rFonts w:cs="Times New Roman"/>
                <w:noProof w:val="0"/>
              </w:rPr>
            </w:pPr>
            <w:r w:rsidRPr="006529EB">
              <w:rPr>
                <w:rFonts w:cs="Times New Roman"/>
                <w:bCs/>
                <w:i/>
                <w:iCs/>
              </w:rPr>
              <w:t>3</w:t>
            </w:r>
            <w:r w:rsidRPr="006529EB">
              <w:rPr>
                <w:rFonts w:ascii="Cambria Math" w:hAnsi="Cambria Math" w:cs="Cambria Math"/>
                <w:bCs/>
                <w:i/>
                <w:iCs/>
              </w:rPr>
              <w:t>․</w:t>
            </w:r>
            <w:r w:rsidRPr="006529EB">
              <w:rPr>
                <w:rFonts w:cs="Times New Roman"/>
                <w:bCs/>
                <w:i/>
                <w:iCs/>
              </w:rPr>
              <w:t xml:space="preserve"> </w:t>
            </w:r>
            <w:r w:rsidRPr="006529EB">
              <w:rPr>
                <w:rFonts w:cs="Times New Roman"/>
              </w:rPr>
              <w:t xml:space="preserve">Նախագծի 17-րդ հոդվածի 2-րդ մասի համաձայն՝ կրիպտոակտիվներով ծառայություն մատուցող անձը (…) ՀՀ տարածքում ծառայությունների մատուցման լիցենզիա ստացած </w:t>
            </w:r>
            <w:r w:rsidRPr="006529EB">
              <w:rPr>
                <w:rFonts w:cs="Times New Roman"/>
                <w:i/>
                <w:u w:val="single"/>
              </w:rPr>
              <w:t>բաժնետիրական կամ սահմանափակ պատասխանատվությամբ ընկերությունն է</w:t>
            </w:r>
            <w:r w:rsidRPr="006529EB">
              <w:rPr>
                <w:rFonts w:cs="Times New Roman"/>
              </w:rPr>
              <w:t>, որի գործունեությունը կրիպտոակտիվներով ծառայությունների մատուցումն է։</w:t>
            </w:r>
          </w:p>
          <w:p w14:paraId="0356F398" w14:textId="77777777" w:rsidR="00D704E5" w:rsidRPr="006529EB" w:rsidRDefault="00D704E5" w:rsidP="00E57A08">
            <w:pPr>
              <w:autoSpaceDE w:val="0"/>
              <w:autoSpaceDN w:val="0"/>
              <w:adjustRightInd w:val="0"/>
              <w:contextualSpacing/>
              <w:jc w:val="both"/>
              <w:rPr>
                <w:rFonts w:cs="Times New Roman"/>
              </w:rPr>
            </w:pPr>
            <w:r w:rsidRPr="006529EB">
              <w:rPr>
                <w:rFonts w:cs="Times New Roman"/>
              </w:rPr>
              <w:t xml:space="preserve">     </w:t>
            </w:r>
            <w:r w:rsidRPr="006529EB">
              <w:rPr>
                <w:rFonts w:cs="Times New Roman"/>
                <w:i/>
                <w:u w:val="single"/>
              </w:rPr>
              <w:t>Պարզաբանված չէ</w:t>
            </w:r>
            <w:r w:rsidRPr="006529EB">
              <w:rPr>
                <w:rFonts w:cs="Times New Roman"/>
              </w:rPr>
              <w:t xml:space="preserve"> նախագծով նման սահմանափակում նախատեսելու </w:t>
            </w:r>
            <w:r w:rsidRPr="006529EB">
              <w:rPr>
                <w:rFonts w:cs="Times New Roman"/>
                <w:i/>
                <w:u w:val="single"/>
              </w:rPr>
              <w:t>անհրաժեշտությունը</w:t>
            </w:r>
            <w:r w:rsidRPr="006529EB">
              <w:rPr>
                <w:rFonts w:cs="Times New Roman"/>
              </w:rPr>
              <w:t xml:space="preserve"> և </w:t>
            </w:r>
            <w:r w:rsidRPr="006529EB">
              <w:rPr>
                <w:rFonts w:cs="Times New Roman"/>
                <w:i/>
                <w:u w:val="single"/>
              </w:rPr>
              <w:t>նպատակը</w:t>
            </w:r>
            <w:r w:rsidRPr="006529EB">
              <w:rPr>
                <w:rFonts w:cs="Times New Roman"/>
              </w:rPr>
              <w:t>։ Ինչու, օրինակ, անհատ ձեռնարկատերը չի կարող կրիպտոակտիվների հետ կապված խորհրդատվության տրամադրման գործունեություն իրականացնել։</w:t>
            </w:r>
          </w:p>
          <w:p w14:paraId="39CBC930" w14:textId="77777777" w:rsidR="00D704E5" w:rsidRPr="006529EB" w:rsidRDefault="00D704E5" w:rsidP="00E57A08">
            <w:pPr>
              <w:autoSpaceDE w:val="0"/>
              <w:autoSpaceDN w:val="0"/>
              <w:adjustRightInd w:val="0"/>
              <w:contextualSpacing/>
              <w:jc w:val="both"/>
              <w:rPr>
                <w:rFonts w:cs="Times New Roman"/>
              </w:rPr>
            </w:pPr>
            <w:r w:rsidRPr="006529EB">
              <w:rPr>
                <w:rFonts w:cs="Times New Roman"/>
              </w:rPr>
              <w:tab/>
              <w:t>Նույն դիտարկումը վերաբերում է 47-րդ հոդվածի 1-ին մասով սահմանված վերակազմակերպման ձևերի մասով սահմանված սահմանափակմանը:</w:t>
            </w:r>
          </w:p>
          <w:p w14:paraId="7BEEA8F2" w14:textId="59F20E67" w:rsidR="00D704E5" w:rsidRPr="006529EB" w:rsidRDefault="00D704E5" w:rsidP="00E57A08">
            <w:pPr>
              <w:keepNext/>
              <w:suppressAutoHyphens/>
              <w:contextualSpacing/>
              <w:jc w:val="both"/>
              <w:rPr>
                <w:rFonts w:cs="Times New Roman"/>
                <w:bCs/>
                <w:i/>
                <w:iCs/>
              </w:rPr>
            </w:pPr>
          </w:p>
        </w:tc>
        <w:tc>
          <w:tcPr>
            <w:tcW w:w="7920" w:type="dxa"/>
          </w:tcPr>
          <w:p w14:paraId="4F6418CB" w14:textId="77777777" w:rsidR="00D704E5" w:rsidRPr="006529EB" w:rsidRDefault="00D704E5" w:rsidP="00E57A08">
            <w:pPr>
              <w:contextualSpacing/>
              <w:jc w:val="both"/>
              <w:rPr>
                <w:rFonts w:cs="Times New Roman"/>
                <w:b/>
                <w:bCs/>
              </w:rPr>
            </w:pPr>
            <w:r w:rsidRPr="006529EB">
              <w:rPr>
                <w:rFonts w:cs="Times New Roman"/>
                <w:b/>
                <w:bCs/>
              </w:rPr>
              <w:t>Ընդունվել է ի գիտություն։ Պարզաբանում</w:t>
            </w:r>
          </w:p>
          <w:p w14:paraId="09B8C0CA" w14:textId="7493B45E" w:rsidR="00D704E5" w:rsidRPr="006529EB" w:rsidRDefault="00D704E5" w:rsidP="00E57A08">
            <w:pPr>
              <w:contextualSpacing/>
              <w:jc w:val="both"/>
              <w:rPr>
                <w:rFonts w:cs="Times New Roman"/>
              </w:rPr>
            </w:pPr>
            <w:r w:rsidRPr="006529EB">
              <w:rPr>
                <w:rFonts w:cs="Times New Roman"/>
              </w:rPr>
              <w:t xml:space="preserve">Կրիպտոակտիվներով ծառայություններ մատուցող անձինք պետք է բավարարեն օրենքով սահմանված մի շարք պահանջներին՝ կապիտալի, կորպորատիվ կառավարման, գործունեության անընդհատության և այլն, որոնք ուղղված են նրանց հաճախորդների օրինական շահերի պաշտպանությանը։ Ֆիզիկական անձ ծառայություն մատուցողների դեպքում մի շարք պահանջներ կիրառելի չեն դառնում (օրինակ, անհատ ձեռնարկատիրոջ մահվան դեպքում մի շարք ռիսկեր կարող են առաջանալ կրիպտոկտիվներ ձեռքբերող անձանց միջոցների պաշտպանության, և ընդհանրապես, կրիպտոակտիվների շուկայի համար)։ </w:t>
            </w:r>
          </w:p>
          <w:p w14:paraId="55C7B2CB" w14:textId="77777777" w:rsidR="00D704E5" w:rsidRPr="006529EB" w:rsidRDefault="00D704E5" w:rsidP="00E57A08">
            <w:pPr>
              <w:contextualSpacing/>
              <w:jc w:val="both"/>
              <w:rPr>
                <w:rFonts w:cs="Times New Roman"/>
              </w:rPr>
            </w:pPr>
          </w:p>
          <w:p w14:paraId="0DD43CE9" w14:textId="1CCE9ED9" w:rsidR="00D704E5" w:rsidRPr="006529EB" w:rsidRDefault="00D704E5" w:rsidP="00D704E5">
            <w:pPr>
              <w:contextualSpacing/>
              <w:jc w:val="both"/>
              <w:rPr>
                <w:rFonts w:cs="Times New Roman"/>
                <w:b/>
                <w:bCs/>
              </w:rPr>
            </w:pPr>
            <w:r w:rsidRPr="006529EB">
              <w:rPr>
                <w:rFonts w:cs="Times New Roman"/>
              </w:rPr>
              <w:t xml:space="preserve">Ինչ վերաբերում կրիպտոակտիվներով ծառայություններ մատուցող անձանց վերակազմակերպման ձևերի սահմանափակմանը, ապա վստահելի շուկա ձևավորելու տեսանկյունից կարևոր է, որ վերակազմակերպումը առաջացնի նվազագույն ռիսկեր։ Օրինակ, եթե լիցենզավորված անձը միաձուլվում է մեկ այլ, չվերահսկվող ընկերության հետ, ապա դա կարող է նոր </w:t>
            </w:r>
            <w:r w:rsidR="00836166" w:rsidRPr="006529EB">
              <w:rPr>
                <w:rFonts w:cs="Times New Roman"/>
              </w:rPr>
              <w:t xml:space="preserve">ստեղծվող </w:t>
            </w:r>
            <w:r w:rsidRPr="006529EB">
              <w:rPr>
                <w:rFonts w:cs="Times New Roman"/>
              </w:rPr>
              <w:t xml:space="preserve">ընկերության համար հղի լինել անկանխատեսելի հետևանքներով: Մասնավորապես, քանի որ </w:t>
            </w:r>
            <w:r w:rsidRPr="006529EB">
              <w:t xml:space="preserve">ընկերությունների միաձուլման դեպքում դրանցից յուրաքանչյուրի իրավունքները և պարտավորությունները փոխանցվում են նոր ստեղծված ընկերությանը, ապա ընկերությունը կարող է ունենալ ֆինանսական գործունեության հետ առնչություն չունեցող պարտավորություններ, ենթարկվել պատասխանատվության միաձուլված ընկերությունների նախկինում կատարված իրավախախտումների համար և այլն։ Նման </w:t>
            </w:r>
            <w:r w:rsidRPr="006529EB">
              <w:rPr>
                <w:rFonts w:cs="Times New Roman"/>
              </w:rPr>
              <w:t>իրավիճակները կարող են հանգեցնել ֆինանսական շուկայի և դրա մասնակիցների հանդեպ վստահության խարխլմանը։</w:t>
            </w:r>
          </w:p>
        </w:tc>
      </w:tr>
      <w:tr w:rsidR="00D704E5" w:rsidRPr="006529EB" w14:paraId="041966C6" w14:textId="77777777" w:rsidTr="00D704E5">
        <w:tc>
          <w:tcPr>
            <w:tcW w:w="2160" w:type="dxa"/>
            <w:vMerge/>
          </w:tcPr>
          <w:p w14:paraId="29C11F6B" w14:textId="77777777" w:rsidR="00D704E5" w:rsidRPr="006529EB" w:rsidRDefault="00D704E5" w:rsidP="00BC253A">
            <w:pPr>
              <w:autoSpaceDE w:val="0"/>
              <w:autoSpaceDN w:val="0"/>
              <w:adjustRightInd w:val="0"/>
              <w:ind w:left="162"/>
              <w:contextualSpacing/>
              <w:jc w:val="both"/>
              <w:rPr>
                <w:rFonts w:cs="Times New Roman"/>
              </w:rPr>
            </w:pPr>
          </w:p>
        </w:tc>
        <w:tc>
          <w:tcPr>
            <w:tcW w:w="5580" w:type="dxa"/>
          </w:tcPr>
          <w:p w14:paraId="2571A574" w14:textId="764E0274" w:rsidR="00D704E5" w:rsidRPr="006529EB" w:rsidRDefault="00D704E5" w:rsidP="00D704E5">
            <w:pPr>
              <w:autoSpaceDE w:val="0"/>
              <w:autoSpaceDN w:val="0"/>
              <w:adjustRightInd w:val="0"/>
              <w:ind w:left="-9"/>
              <w:contextualSpacing/>
              <w:jc w:val="both"/>
              <w:rPr>
                <w:rFonts w:cs="Times New Roman"/>
                <w:noProof w:val="0"/>
              </w:rPr>
            </w:pPr>
            <w:r w:rsidRPr="006529EB">
              <w:rPr>
                <w:rFonts w:cs="Times New Roman"/>
              </w:rPr>
              <w:t>4</w:t>
            </w:r>
            <w:r w:rsidRPr="006529EB">
              <w:rPr>
                <w:rFonts w:ascii="Cambria Math" w:hAnsi="Cambria Math" w:cs="Cambria Math"/>
              </w:rPr>
              <w:t>․</w:t>
            </w:r>
            <w:r w:rsidRPr="006529EB">
              <w:rPr>
                <w:rFonts w:cs="Times New Roman"/>
              </w:rPr>
              <w:t xml:space="preserve"> Նախագծի 19-րդ հոդվածի 8-րդ մասի համաձայն՝ կրիպտոակտիվներով ծառայություններ մատուցող անձանց լիցենզավորման, ՀՀ տարածքում գործող և օտարերկրյա կրիպտոակտիվներով ծառայություններ մատուցող անձանց մասնաճյուղերի և ներկայացուցչությունների, ինչպես նաև (…) կրիպտոակտիվներով ծառայությունների մատուցման թույլտվության կարգը սահմանվում է բացառապես սույն օրենքով և ԿԲ-ի նորմատիվ իրավական </w:t>
            </w:r>
            <w:r w:rsidRPr="006529EB">
              <w:rPr>
                <w:rFonts w:cs="Times New Roman"/>
              </w:rPr>
              <w:lastRenderedPageBreak/>
              <w:t xml:space="preserve">ակտերով: </w:t>
            </w:r>
            <w:r w:rsidRPr="006529EB">
              <w:rPr>
                <w:rFonts w:cs="Times New Roman"/>
                <w:i/>
                <w:u w:val="single"/>
              </w:rPr>
              <w:t>Այլ օրենքներով այլ դրույթներ սահմանված լինելու դեպքում գործում են սույն օրենքի դրույթները</w:t>
            </w:r>
            <w:r w:rsidRPr="006529EB">
              <w:rPr>
                <w:rFonts w:cs="Times New Roman"/>
              </w:rPr>
              <w:t>:</w:t>
            </w:r>
          </w:p>
          <w:p w14:paraId="7E008F05" w14:textId="64D7A3FD" w:rsidR="00D704E5" w:rsidRPr="006529EB" w:rsidRDefault="00D704E5" w:rsidP="00D704E5">
            <w:pPr>
              <w:autoSpaceDE w:val="0"/>
              <w:autoSpaceDN w:val="0"/>
              <w:adjustRightInd w:val="0"/>
              <w:contextualSpacing/>
              <w:jc w:val="both"/>
              <w:rPr>
                <w:rFonts w:cs="Times New Roman"/>
                <w:bCs/>
                <w:i/>
                <w:iCs/>
              </w:rPr>
            </w:pPr>
            <w:r w:rsidRPr="006529EB">
              <w:rPr>
                <w:rFonts w:cs="Times New Roman"/>
              </w:rPr>
              <w:t xml:space="preserve">     Նախագծի նշված դրույթը հակասում է «Նորմատիվ իրավական ակտերի մասին» ՀՀ օրենքի 27-րդ հոդվածի 2-րդ մասին, որի համաձայն՝ արգելվում է նորմատիվ իրավական ակտով նախատեսել </w:t>
            </w:r>
            <w:r w:rsidRPr="006529EB">
              <w:rPr>
                <w:rFonts w:cs="Times New Roman"/>
                <w:i/>
                <w:u w:val="single"/>
              </w:rPr>
              <w:t>հավասար իրավաբանական ուժ ունեցող այլ նորմատիվ իրավական ակտերի նկատմամբ գերակայության մասին նորմ</w:t>
            </w:r>
            <w:r w:rsidRPr="006529EB">
              <w:rPr>
                <w:rFonts w:cs="Times New Roman"/>
              </w:rPr>
              <w:t>:</w:t>
            </w:r>
          </w:p>
        </w:tc>
        <w:tc>
          <w:tcPr>
            <w:tcW w:w="7920" w:type="dxa"/>
          </w:tcPr>
          <w:p w14:paraId="02B9E6AC" w14:textId="77777777" w:rsidR="00D704E5" w:rsidRPr="006529EB" w:rsidRDefault="00D704E5" w:rsidP="00BC253A">
            <w:pPr>
              <w:contextualSpacing/>
              <w:jc w:val="both"/>
              <w:rPr>
                <w:rFonts w:cs="Times New Roman"/>
                <w:b/>
                <w:bCs/>
              </w:rPr>
            </w:pPr>
          </w:p>
          <w:p w14:paraId="30D31599" w14:textId="77777777" w:rsidR="00D704E5" w:rsidRPr="006529EB" w:rsidRDefault="00D704E5" w:rsidP="00BC253A">
            <w:pPr>
              <w:rPr>
                <w:rFonts w:eastAsia="GHEA Grapalat" w:cs="GHEA Grapalat"/>
              </w:rPr>
            </w:pPr>
            <w:r w:rsidRPr="006529EB">
              <w:rPr>
                <w:b/>
                <w:bCs/>
              </w:rPr>
              <w:t>Ընդունվել է:</w:t>
            </w:r>
          </w:p>
          <w:p w14:paraId="767BBD48" w14:textId="2673B26E" w:rsidR="00D704E5" w:rsidRPr="006529EB" w:rsidRDefault="00D704E5" w:rsidP="00BC253A">
            <w:pPr>
              <w:contextualSpacing/>
              <w:jc w:val="both"/>
              <w:rPr>
                <w:rFonts w:cs="Times New Roman"/>
                <w:b/>
                <w:bCs/>
              </w:rPr>
            </w:pPr>
            <w:r w:rsidRPr="006529EB">
              <w:rPr>
                <w:rFonts w:eastAsia="GHEA Grapalat" w:cs="GHEA Grapalat"/>
                <w:b/>
                <w:bCs/>
              </w:rPr>
              <w:t>Նախագիծը խմբագրվել է հետևյալ մոտեցմամբ</w:t>
            </w:r>
            <w:r w:rsidRPr="006529EB">
              <w:rPr>
                <w:rFonts w:ascii="Cambria Math" w:eastAsia="GHEA Grapalat" w:hAnsi="Cambria Math" w:cs="Cambria Math"/>
                <w:b/>
                <w:bCs/>
              </w:rPr>
              <w:t>․</w:t>
            </w:r>
            <w:r w:rsidRPr="006529EB">
              <w:rPr>
                <w:rFonts w:eastAsia="GHEA Grapalat" w:cs="GHEA Grapalat"/>
              </w:rPr>
              <w:t xml:space="preserve"> (…) Այլ օրենքներով այլ դրույթներ սահմանված լինելու դեպքում գործում են սույն օրենքի դրույթները՝ որպես Հայաստանի Հանրապետության կրիպտոակտիվների շուկայում ծագող հարաբերությունները կարգավորող հատուկ նորմեր:</w:t>
            </w:r>
          </w:p>
        </w:tc>
      </w:tr>
      <w:tr w:rsidR="00D704E5" w:rsidRPr="006529EB" w14:paraId="19C47B05" w14:textId="77777777" w:rsidTr="00D704E5">
        <w:tc>
          <w:tcPr>
            <w:tcW w:w="2160" w:type="dxa"/>
            <w:vMerge/>
          </w:tcPr>
          <w:p w14:paraId="374FBB7C" w14:textId="77777777" w:rsidR="00D704E5" w:rsidRPr="006529EB" w:rsidRDefault="00D704E5" w:rsidP="00BC253A">
            <w:pPr>
              <w:autoSpaceDE w:val="0"/>
              <w:autoSpaceDN w:val="0"/>
              <w:adjustRightInd w:val="0"/>
              <w:ind w:left="162" w:firstLine="162"/>
              <w:contextualSpacing/>
              <w:jc w:val="both"/>
              <w:rPr>
                <w:rFonts w:cs="Times New Roman"/>
              </w:rPr>
            </w:pPr>
          </w:p>
        </w:tc>
        <w:tc>
          <w:tcPr>
            <w:tcW w:w="5580" w:type="dxa"/>
          </w:tcPr>
          <w:p w14:paraId="1B7975AF" w14:textId="77777777" w:rsidR="00F65103" w:rsidRPr="006529EB" w:rsidRDefault="00F65103" w:rsidP="00D704E5">
            <w:pPr>
              <w:autoSpaceDE w:val="0"/>
              <w:autoSpaceDN w:val="0"/>
              <w:adjustRightInd w:val="0"/>
              <w:contextualSpacing/>
              <w:jc w:val="both"/>
              <w:rPr>
                <w:rFonts w:cs="Times New Roman"/>
              </w:rPr>
            </w:pPr>
          </w:p>
          <w:p w14:paraId="38884C39" w14:textId="2BC764F9" w:rsidR="00D704E5" w:rsidRPr="006529EB" w:rsidRDefault="00D704E5" w:rsidP="00D704E5">
            <w:pPr>
              <w:autoSpaceDE w:val="0"/>
              <w:autoSpaceDN w:val="0"/>
              <w:adjustRightInd w:val="0"/>
              <w:contextualSpacing/>
              <w:jc w:val="both"/>
              <w:rPr>
                <w:rFonts w:cs="Times New Roman"/>
                <w:noProof w:val="0"/>
              </w:rPr>
            </w:pPr>
            <w:r w:rsidRPr="006529EB">
              <w:rPr>
                <w:rFonts w:cs="Times New Roman"/>
              </w:rPr>
              <w:t>5</w:t>
            </w:r>
            <w:r w:rsidRPr="006529EB">
              <w:rPr>
                <w:rFonts w:ascii="Cambria Math" w:hAnsi="Cambria Math" w:cs="Cambria Math"/>
              </w:rPr>
              <w:t>․</w:t>
            </w:r>
            <w:r w:rsidRPr="006529EB">
              <w:rPr>
                <w:rFonts w:cs="Times New Roman"/>
              </w:rPr>
              <w:t xml:space="preserve"> Նախագծի՝ պատասխանատվության միջոցների կիրառմանը վերաբերող </w:t>
            </w:r>
            <w:r w:rsidRPr="006529EB">
              <w:rPr>
                <w:rFonts w:cs="Times New Roman"/>
                <w:i/>
                <w:u w:val="single"/>
              </w:rPr>
              <w:t>13-րդ գլխի կարգավորումները թերի են</w:t>
            </w:r>
            <w:r w:rsidRPr="006529EB">
              <w:rPr>
                <w:rFonts w:cs="Times New Roman"/>
              </w:rPr>
              <w:t xml:space="preserve"> և ունեն վերանայման կարիք՝ հաշվի առնելով հետևյալը՝</w:t>
            </w:r>
          </w:p>
          <w:p w14:paraId="5FE10989" w14:textId="77777777" w:rsidR="00D704E5" w:rsidRPr="006529EB" w:rsidRDefault="00D704E5" w:rsidP="00BC253A">
            <w:pPr>
              <w:autoSpaceDE w:val="0"/>
              <w:autoSpaceDN w:val="0"/>
              <w:adjustRightInd w:val="0"/>
              <w:contextualSpacing/>
              <w:jc w:val="both"/>
              <w:rPr>
                <w:rFonts w:cs="Times New Roman"/>
              </w:rPr>
            </w:pPr>
            <w:r w:rsidRPr="006529EB">
              <w:rPr>
                <w:rFonts w:cs="Times New Roman"/>
              </w:rPr>
              <w:t xml:space="preserve">     1) 83-րդ հոդվածի 1-ին մասով սահմանվում են կրիպտոակտիվների շուկան կարգավորող իրավական ակտերի պահանջները խախտելու համար կիրառվող պատասխանատվության տեսակները, սակայն հետագա կարգավորումներից </w:t>
            </w:r>
            <w:r w:rsidRPr="006529EB">
              <w:rPr>
                <w:rFonts w:cs="Times New Roman"/>
                <w:i/>
                <w:u w:val="single"/>
              </w:rPr>
              <w:t>պարզ չէ, թե այդ պատասխանատվության միջոցներից յուրաքանչյուրը կոնկրետ որ իրավախախտումների դեպքում է կիրառելի</w:t>
            </w:r>
            <w:r w:rsidRPr="006529EB">
              <w:rPr>
                <w:rFonts w:cs="Times New Roman"/>
              </w:rPr>
              <w:t>, ինչը խնդրահարույց է իրավական որոշակիության տեսանկյունից,</w:t>
            </w:r>
          </w:p>
          <w:p w14:paraId="576C6E59" w14:textId="77777777" w:rsidR="00D704E5" w:rsidRPr="006529EB" w:rsidRDefault="00D704E5" w:rsidP="00BC253A">
            <w:pPr>
              <w:keepNext/>
              <w:suppressAutoHyphens/>
              <w:contextualSpacing/>
              <w:jc w:val="both"/>
              <w:rPr>
                <w:rFonts w:cs="Times New Roman"/>
                <w:bCs/>
                <w:i/>
                <w:iCs/>
              </w:rPr>
            </w:pPr>
          </w:p>
        </w:tc>
        <w:tc>
          <w:tcPr>
            <w:tcW w:w="7920" w:type="dxa"/>
          </w:tcPr>
          <w:p w14:paraId="09C80988" w14:textId="77777777" w:rsidR="00D704E5" w:rsidRPr="006529EB" w:rsidRDefault="00D704E5" w:rsidP="00BC253A">
            <w:pPr>
              <w:contextualSpacing/>
              <w:jc w:val="both"/>
              <w:rPr>
                <w:rFonts w:cs="Times New Roman"/>
                <w:b/>
                <w:bCs/>
              </w:rPr>
            </w:pPr>
            <w:r w:rsidRPr="006529EB">
              <w:rPr>
                <w:rFonts w:cs="Times New Roman"/>
                <w:b/>
                <w:bCs/>
              </w:rPr>
              <w:t xml:space="preserve">Ընդունվել է ի գիտություն: Պարզաբանում: </w:t>
            </w:r>
          </w:p>
          <w:p w14:paraId="43766B8A" w14:textId="632CB1F6" w:rsidR="00D704E5" w:rsidRPr="006529EB" w:rsidRDefault="00D704E5" w:rsidP="00BC253A">
            <w:pPr>
              <w:contextualSpacing/>
              <w:jc w:val="both"/>
              <w:rPr>
                <w:rFonts w:cs="Times New Roman"/>
              </w:rPr>
            </w:pPr>
            <w:r w:rsidRPr="006529EB">
              <w:rPr>
                <w:rFonts w:cs="Times New Roman"/>
              </w:rPr>
              <w:t>Կախված կոնկրետ խախտման սրության աստիճանից և խախտման հանգամանքներից՝ ցանկացած իրավախախտման դեպքում նախագծով ամրագրված ցանկացած պատժամիջոց կարող է կիրառվել։ Ընդ որում՝ Նախագծով (83-րդ հոդված, մաս 2) նախատեսված է նաև, որ նույն իրավախախտման համար կարող է անգամ մեկից ավելի պատասխանատվության միջոց կիրառվել: Պատասխանատվության միջոցների ընտրությունը կախված է մի շարք գործոններից (տե՛ս նախագծի  83-րդ հոդված): Կարևոր</w:t>
            </w:r>
            <w:r w:rsidR="009C11B6" w:rsidRPr="006529EB">
              <w:rPr>
                <w:rFonts w:cs="Times New Roman"/>
              </w:rPr>
              <w:t>ն այն է, որ յ</w:t>
            </w:r>
            <w:r w:rsidRPr="006529EB">
              <w:rPr>
                <w:rFonts w:cs="Times New Roman"/>
              </w:rPr>
              <w:t xml:space="preserve">ուրաքանչյուր իրավախախտման դեպքում կիրառման ենթակա պատասխանատվության միջոցները բավարարեն պատժամիջոցների կիրառման առանցքային սկզբունքներին, այն է՝ լինեն խախտմանը համաչափ, հետևողական և կանխարգելիչ: </w:t>
            </w:r>
          </w:p>
          <w:p w14:paraId="292F9DF8" w14:textId="77777777" w:rsidR="00D704E5" w:rsidRPr="006529EB" w:rsidRDefault="00D704E5" w:rsidP="00BC253A">
            <w:pPr>
              <w:contextualSpacing/>
              <w:jc w:val="both"/>
              <w:rPr>
                <w:rFonts w:cs="Times New Roman"/>
              </w:rPr>
            </w:pPr>
          </w:p>
          <w:p w14:paraId="75D22438" w14:textId="6A12202F" w:rsidR="00D704E5" w:rsidRPr="006529EB" w:rsidRDefault="00D704E5" w:rsidP="00BC253A">
            <w:pPr>
              <w:contextualSpacing/>
              <w:jc w:val="both"/>
              <w:rPr>
                <w:rFonts w:cs="Times New Roman"/>
                <w:b/>
                <w:bCs/>
              </w:rPr>
            </w:pPr>
            <w:r w:rsidRPr="006529EB">
              <w:rPr>
                <w:rFonts w:cs="Times New Roman"/>
              </w:rPr>
              <w:t>Տե՛ս նաև սույն ամփոփաթերթի 1-ին կետի 3-րդ ենթակետում նշված ԿԲ եզրակացությունը:</w:t>
            </w:r>
            <w:r w:rsidRPr="006529EB">
              <w:rPr>
                <w:rFonts w:cs="Times New Roman"/>
                <w:b/>
                <w:bCs/>
              </w:rPr>
              <w:t xml:space="preserve"> </w:t>
            </w:r>
          </w:p>
        </w:tc>
      </w:tr>
      <w:tr w:rsidR="00D704E5" w:rsidRPr="006529EB" w14:paraId="31F0F15F" w14:textId="77777777" w:rsidTr="00D704E5">
        <w:tc>
          <w:tcPr>
            <w:tcW w:w="2160" w:type="dxa"/>
            <w:vMerge/>
          </w:tcPr>
          <w:p w14:paraId="702C1869" w14:textId="77777777" w:rsidR="00D704E5" w:rsidRPr="006529EB" w:rsidRDefault="00D704E5" w:rsidP="00BC253A">
            <w:pPr>
              <w:contextualSpacing/>
              <w:jc w:val="both"/>
              <w:rPr>
                <w:rFonts w:cs="Times New Roman"/>
              </w:rPr>
            </w:pPr>
          </w:p>
        </w:tc>
        <w:tc>
          <w:tcPr>
            <w:tcW w:w="5580" w:type="dxa"/>
          </w:tcPr>
          <w:p w14:paraId="66866814" w14:textId="08D861C9" w:rsidR="00D704E5" w:rsidRPr="006529EB" w:rsidRDefault="00D704E5" w:rsidP="00BC253A">
            <w:pPr>
              <w:contextualSpacing/>
              <w:jc w:val="both"/>
              <w:rPr>
                <w:rFonts w:cs="Times New Roman"/>
                <w:noProof w:val="0"/>
              </w:rPr>
            </w:pPr>
            <w:r w:rsidRPr="006529EB">
              <w:rPr>
                <w:rFonts w:cs="Times New Roman"/>
              </w:rPr>
              <w:t xml:space="preserve">2) 83-րդ 2-րդ մասի համաձայն՝ ԿԲ-ն </w:t>
            </w:r>
            <w:r w:rsidRPr="006529EB">
              <w:rPr>
                <w:rFonts w:cs="Times New Roman"/>
                <w:i/>
                <w:u w:val="single"/>
              </w:rPr>
              <w:t>իրավունք ունի</w:t>
            </w:r>
            <w:r w:rsidRPr="006529EB">
              <w:rPr>
                <w:rFonts w:cs="Times New Roman"/>
              </w:rPr>
              <w:t xml:space="preserve"> յուրաքանչյուր խախտման համար միաժամանակ կիրառել </w:t>
            </w:r>
            <w:r w:rsidRPr="006529EB">
              <w:rPr>
                <w:rFonts w:cs="Times New Roman"/>
                <w:i/>
                <w:u w:val="single"/>
              </w:rPr>
              <w:t>օրենքով նախատեսված մեկից ավելի պատասխանատվության միջոցներ</w:t>
            </w:r>
            <w:r w:rsidRPr="006529EB">
              <w:rPr>
                <w:rFonts w:cs="Times New Roman"/>
              </w:rPr>
              <w:t xml:space="preserve"> (…), սակայն հստակեցված չէ, թե որ պատասխանատվության միջոցները կարող են միաժամանակ կիրառվել և որ իրավախախտումների դեպքում, ինչպես նաև՝ որ դեպքում մի պատասխանատվության միջոցը կարող է լինել հիմնական, մյուսը՝ լրացուցիչ։ </w:t>
            </w:r>
          </w:p>
          <w:p w14:paraId="66E86505" w14:textId="77777777" w:rsidR="00D704E5" w:rsidRPr="006529EB" w:rsidRDefault="00D704E5" w:rsidP="00BC253A">
            <w:pPr>
              <w:keepNext/>
              <w:suppressAutoHyphens/>
              <w:contextualSpacing/>
              <w:jc w:val="both"/>
              <w:rPr>
                <w:rFonts w:cs="Times New Roman"/>
                <w:bCs/>
                <w:i/>
                <w:iCs/>
              </w:rPr>
            </w:pPr>
          </w:p>
        </w:tc>
        <w:tc>
          <w:tcPr>
            <w:tcW w:w="7920" w:type="dxa"/>
          </w:tcPr>
          <w:p w14:paraId="5AC4555F" w14:textId="77777777" w:rsidR="00D704E5" w:rsidRPr="006529EB" w:rsidRDefault="00D704E5" w:rsidP="00724E82">
            <w:pPr>
              <w:rPr>
                <w:b/>
                <w:bCs/>
              </w:rPr>
            </w:pPr>
            <w:r w:rsidRPr="006529EB">
              <w:rPr>
                <w:b/>
                <w:bCs/>
              </w:rPr>
              <w:lastRenderedPageBreak/>
              <w:t>Չի ընդունվել:</w:t>
            </w:r>
          </w:p>
          <w:p w14:paraId="7C786613" w14:textId="34FB76C7" w:rsidR="00D704E5" w:rsidRPr="006529EB" w:rsidRDefault="00D704E5" w:rsidP="00D704E5">
            <w:pPr>
              <w:pStyle w:val="NormalWeb"/>
              <w:shd w:val="clear" w:color="auto" w:fill="FFFFFF"/>
              <w:spacing w:before="0" w:beforeAutospacing="0" w:after="0" w:afterAutospacing="0"/>
              <w:jc w:val="both"/>
              <w:rPr>
                <w:rFonts w:ascii="GHEA Grapalat" w:hAnsi="GHEA Grapalat"/>
                <w:sz w:val="22"/>
                <w:szCs w:val="22"/>
                <w:lang w:val="hy-AM"/>
              </w:rPr>
            </w:pPr>
            <w:r w:rsidRPr="006529EB">
              <w:rPr>
                <w:rFonts w:ascii="GHEA Grapalat" w:eastAsiaTheme="minorHAnsi" w:hAnsi="GHEA Grapalat" w:cstheme="minorBidi"/>
                <w:sz w:val="22"/>
                <w:szCs w:val="22"/>
                <w:lang w:val="hy-AM" w:eastAsia="en-US"/>
              </w:rPr>
              <w:t>Համաձայն «Վարչարարության հիմունքների և վարչական վարույթի մասին» օրենքի 37-րդ հոդվածի կարգավորումների՝ Կենտրոնական բանկը՝ որպես վարչական մարմին, պարտավոր է ապահովել փաստական հանգամանքների բազմակողմանի, լրիվ և օբյեկտիվ ուսումնասիրություն` բացահայտելով գործի բոլոր, այդ թվում` վարույթի մասնակիցների օգտին առկա հանգամանքները</w:t>
            </w:r>
            <w:r w:rsidR="009C11B6" w:rsidRPr="006529EB">
              <w:rPr>
                <w:rFonts w:ascii="GHEA Grapalat" w:eastAsiaTheme="minorHAnsi" w:hAnsi="GHEA Grapalat" w:cstheme="minorBidi"/>
                <w:sz w:val="22"/>
                <w:szCs w:val="22"/>
                <w:lang w:val="hy-AM" w:eastAsia="en-US"/>
              </w:rPr>
              <w:t>,</w:t>
            </w:r>
            <w:r w:rsidRPr="006529EB">
              <w:rPr>
                <w:rFonts w:ascii="GHEA Grapalat" w:eastAsiaTheme="minorHAnsi" w:hAnsi="GHEA Grapalat" w:cstheme="minorBidi"/>
                <w:sz w:val="22"/>
                <w:szCs w:val="22"/>
                <w:lang w:val="hy-AM" w:eastAsia="en-US"/>
              </w:rPr>
              <w:t xml:space="preserve"> և հետևաբար</w:t>
            </w:r>
            <w:r w:rsidR="009C11B6" w:rsidRPr="006529EB">
              <w:rPr>
                <w:rFonts w:ascii="GHEA Grapalat" w:eastAsiaTheme="minorHAnsi" w:hAnsi="GHEA Grapalat" w:cstheme="minorBidi"/>
                <w:sz w:val="22"/>
                <w:szCs w:val="22"/>
                <w:lang w:val="hy-AM" w:eastAsia="en-US"/>
              </w:rPr>
              <w:t>,</w:t>
            </w:r>
            <w:r w:rsidRPr="006529EB">
              <w:rPr>
                <w:rFonts w:ascii="GHEA Grapalat" w:eastAsiaTheme="minorHAnsi" w:hAnsi="GHEA Grapalat" w:cstheme="minorBidi"/>
                <w:sz w:val="22"/>
                <w:szCs w:val="22"/>
                <w:lang w:val="hy-AM" w:eastAsia="en-US"/>
              </w:rPr>
              <w:t xml:space="preserve"> չի կարող ի սկզբանե բացահայտել</w:t>
            </w:r>
            <w:r w:rsidR="009C11B6" w:rsidRPr="006529EB">
              <w:rPr>
                <w:rFonts w:ascii="GHEA Grapalat" w:eastAsiaTheme="minorHAnsi" w:hAnsi="GHEA Grapalat" w:cstheme="minorBidi"/>
                <w:sz w:val="22"/>
                <w:szCs w:val="22"/>
                <w:lang w:val="hy-AM" w:eastAsia="en-US"/>
              </w:rPr>
              <w:t>,</w:t>
            </w:r>
            <w:r w:rsidRPr="006529EB">
              <w:rPr>
                <w:rFonts w:ascii="GHEA Grapalat" w:eastAsiaTheme="minorHAnsi" w:hAnsi="GHEA Grapalat" w:cstheme="minorBidi"/>
                <w:sz w:val="22"/>
                <w:szCs w:val="22"/>
                <w:lang w:val="hy-AM" w:eastAsia="en-US"/>
              </w:rPr>
              <w:t xml:space="preserve"> թե որ իրավախախտումների դեպքում ինչ պատասխանատվության միջոցներ կարող են կիրառվել միաժամանակ: Գտնում ենք, որ </w:t>
            </w:r>
            <w:r w:rsidRPr="006529EB">
              <w:rPr>
                <w:rFonts w:ascii="GHEA Grapalat" w:eastAsiaTheme="minorHAnsi" w:hAnsi="GHEA Grapalat" w:cstheme="minorBidi"/>
                <w:sz w:val="22"/>
                <w:szCs w:val="22"/>
                <w:lang w:val="hy-AM" w:eastAsia="en-US"/>
              </w:rPr>
              <w:lastRenderedPageBreak/>
              <w:t>Կենտրոնական բանկին պետք է վերապահված լինի հայեցողություն՝ որոշելու կոնկրետ դեպքի փաստական հանգամանքների համար կիրառելի պատասխանատվության միջոց և չի կարող կիրառել բոլոր դեպքերում միևնույն պատասխանատվության միջոցը, քանի որ վերջինների հիմքում ընկած փաստական հանգամանքները տարբեր են յուրաքանչյուր դեպքում, իսկ յուրաքանչյուր իրավախախտման համար կանխորոշված պատասխանատվության միջոցի կամ հիմնական-լրացուցիչ պատասխանատվության միջոցների տարանջատումը անարդարացիորեն սահմանափակելու է համաչափ պատասխանատվության միջոցի ընտրության հնարավորությունը: Միևնույն ժամանակ, Կենտրոնական բանկի վերահսկողական հայեցողությունը սահմանափակված է լինելու պատասխանատվության միջոցների կիրառման ընդհանուր սկզբունքներով, ներառյալ՝ համաչափության սկզբունքի պահպանմամբ:</w:t>
            </w:r>
          </w:p>
        </w:tc>
      </w:tr>
      <w:tr w:rsidR="00D704E5" w:rsidRPr="006529EB" w14:paraId="57F01A4B" w14:textId="77777777" w:rsidTr="00D704E5">
        <w:tc>
          <w:tcPr>
            <w:tcW w:w="2160" w:type="dxa"/>
            <w:vMerge/>
          </w:tcPr>
          <w:p w14:paraId="3D59B3A7" w14:textId="77777777" w:rsidR="00D704E5" w:rsidRPr="006529EB" w:rsidRDefault="00D704E5" w:rsidP="00BC253A">
            <w:pPr>
              <w:autoSpaceDE w:val="0"/>
              <w:autoSpaceDN w:val="0"/>
              <w:adjustRightInd w:val="0"/>
              <w:ind w:left="166"/>
              <w:contextualSpacing/>
              <w:jc w:val="both"/>
              <w:rPr>
                <w:rFonts w:cs="Times New Roman"/>
              </w:rPr>
            </w:pPr>
          </w:p>
        </w:tc>
        <w:tc>
          <w:tcPr>
            <w:tcW w:w="5580" w:type="dxa"/>
          </w:tcPr>
          <w:p w14:paraId="3201E6E9" w14:textId="66B15D6B" w:rsidR="00D704E5" w:rsidRPr="006529EB" w:rsidRDefault="00D704E5" w:rsidP="00D704E5">
            <w:pPr>
              <w:autoSpaceDE w:val="0"/>
              <w:autoSpaceDN w:val="0"/>
              <w:adjustRightInd w:val="0"/>
              <w:ind w:left="-9"/>
              <w:contextualSpacing/>
              <w:jc w:val="both"/>
              <w:rPr>
                <w:rFonts w:cs="Times New Roman"/>
                <w:noProof w:val="0"/>
              </w:rPr>
            </w:pPr>
            <w:r w:rsidRPr="006529EB">
              <w:rPr>
                <w:rFonts w:cs="Times New Roman"/>
              </w:rPr>
              <w:t xml:space="preserve">3) 85-րդ հոդվածի 2-րդ մասի համաձայն՝ (…) եթե հնարավոր չէ որոշել խախտման արդյունքում ստացված շահույթի կամ խուսափած վնասի չափը, ապա կիրառվում է տուգանք իրավաբանական անձանց համար՝ ստացված տարեկան </w:t>
            </w:r>
            <w:r w:rsidRPr="006529EB">
              <w:rPr>
                <w:rFonts w:cs="Times New Roman"/>
                <w:i/>
                <w:u w:val="single"/>
              </w:rPr>
              <w:t>հասույթի (եկամուտի) 15 տոկոսի չափով</w:t>
            </w:r>
            <w:r w:rsidRPr="006529EB">
              <w:rPr>
                <w:rFonts w:cs="Times New Roman"/>
              </w:rPr>
              <w:t xml:space="preserve"> (…):</w:t>
            </w:r>
          </w:p>
          <w:p w14:paraId="0E045901" w14:textId="77777777" w:rsidR="00D704E5" w:rsidRPr="006529EB" w:rsidRDefault="00D704E5" w:rsidP="00BC253A">
            <w:pPr>
              <w:autoSpaceDE w:val="0"/>
              <w:autoSpaceDN w:val="0"/>
              <w:adjustRightInd w:val="0"/>
              <w:contextualSpacing/>
              <w:jc w:val="both"/>
              <w:rPr>
                <w:rFonts w:cs="Times New Roman"/>
              </w:rPr>
            </w:pPr>
            <w:r w:rsidRPr="006529EB">
              <w:rPr>
                <w:rFonts w:cs="Times New Roman"/>
              </w:rPr>
              <w:t xml:space="preserve">     Նախագծի նշված դրույթով նախատեսված կարգավորումը խնդրահարույց է Սահմանադրության 78-րդ հոդվածով սահմանված համաչափության սկզբունքի համատեքստում, ըստ որի՝ հիմնական իրավունքների և ազատությունների սահմանափակման համար ընտրված միջոցները պետք է </w:t>
            </w:r>
            <w:r w:rsidRPr="006529EB">
              <w:rPr>
                <w:rFonts w:cs="Times New Roman"/>
                <w:i/>
                <w:u w:val="single"/>
              </w:rPr>
              <w:t>պիտանի</w:t>
            </w:r>
            <w:r w:rsidRPr="006529EB">
              <w:rPr>
                <w:rFonts w:cs="Times New Roman"/>
              </w:rPr>
              <w:t xml:space="preserve"> և </w:t>
            </w:r>
            <w:r w:rsidRPr="006529EB">
              <w:rPr>
                <w:rFonts w:cs="Times New Roman"/>
                <w:i/>
                <w:u w:val="single"/>
              </w:rPr>
              <w:t>անհրաժեշտ</w:t>
            </w:r>
            <w:r w:rsidRPr="006529EB">
              <w:rPr>
                <w:rFonts w:cs="Times New Roman"/>
              </w:rPr>
              <w:t xml:space="preserve"> լինեն Սահմանադրությամբ սահմանված </w:t>
            </w:r>
            <w:r w:rsidRPr="006529EB">
              <w:rPr>
                <w:rFonts w:cs="Times New Roman"/>
                <w:i/>
                <w:u w:val="single"/>
              </w:rPr>
              <w:t>նպատակին</w:t>
            </w:r>
            <w:r w:rsidRPr="006529EB">
              <w:rPr>
                <w:rFonts w:cs="Times New Roman"/>
              </w:rPr>
              <w:t xml:space="preserve"> հասնելու համար: Սահմանափակման համար ընտրված միջոցները պետք է համարժեք լինեն սահմանափակվող հիմնական իրավունքի և ազատության նշանակությանը:</w:t>
            </w:r>
          </w:p>
          <w:p w14:paraId="57D74577" w14:textId="77777777" w:rsidR="00D704E5" w:rsidRPr="006529EB" w:rsidRDefault="00D704E5" w:rsidP="00BC253A">
            <w:pPr>
              <w:autoSpaceDE w:val="0"/>
              <w:autoSpaceDN w:val="0"/>
              <w:adjustRightInd w:val="0"/>
              <w:contextualSpacing/>
              <w:jc w:val="both"/>
              <w:rPr>
                <w:rFonts w:cs="Times New Roman"/>
              </w:rPr>
            </w:pPr>
            <w:r w:rsidRPr="006529EB">
              <w:rPr>
                <w:rFonts w:cs="Times New Roman"/>
              </w:rPr>
              <w:t xml:space="preserve">        Այս առումով Սահմանադրական դատարանը 2010 թ. նոյեմբերի 16-ի ՍԴՈ–924 որոշմամբ նշել է հետևյալը. հանրային իշխանության իրականացումը </w:t>
            </w:r>
            <w:r w:rsidRPr="006529EB">
              <w:rPr>
                <w:rFonts w:cs="Times New Roman"/>
              </w:rPr>
              <w:lastRenderedPageBreak/>
              <w:t xml:space="preserve">նախևառաջ սահմանափակվում է իրավական պետության գաղափարից բխող` հասարակական հարաբերությունների կարգավորման համաչափության ընդհանուր սկզբունքով։ Այս սկզբունքը հանդիսանում է նաև իրավաբանական պատասխանատվության, այդ թվում` վարչական պատասխանատվության հիմքում ընկած կարևորագույն սկզբունքներից մեկը։ Համաչափության սկզբունքն առաջին հերթին </w:t>
            </w:r>
            <w:r w:rsidRPr="006529EB">
              <w:rPr>
                <w:rFonts w:cs="Times New Roman"/>
                <w:i/>
                <w:u w:val="single"/>
              </w:rPr>
              <w:t>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w:t>
            </w:r>
            <w:r w:rsidRPr="006529EB">
              <w:rPr>
                <w:rFonts w:cs="Times New Roman"/>
              </w:rPr>
              <w:t>։</w:t>
            </w:r>
          </w:p>
          <w:p w14:paraId="7890D8B8" w14:textId="77777777" w:rsidR="00D704E5" w:rsidRPr="006529EB" w:rsidRDefault="00D704E5" w:rsidP="00BC253A">
            <w:pPr>
              <w:autoSpaceDE w:val="0"/>
              <w:autoSpaceDN w:val="0"/>
              <w:adjustRightInd w:val="0"/>
              <w:contextualSpacing/>
              <w:jc w:val="both"/>
              <w:rPr>
                <w:rFonts w:cs="Times New Roman"/>
              </w:rPr>
            </w:pPr>
            <w:r w:rsidRPr="006529EB">
              <w:rPr>
                <w:rFonts w:cs="Times New Roman"/>
              </w:rPr>
              <w:t xml:space="preserve">       Այնուհետև նշում է հետևյալը. իրավաբանական պատասխանատվության հիմքում ընկած համաչափության սահմանադրական սկզբունքը պահանջում է նաև, որ սահմանված </w:t>
            </w:r>
            <w:r w:rsidRPr="006529EB">
              <w:rPr>
                <w:rFonts w:cs="Times New Roman"/>
                <w:i/>
                <w:u w:val="single"/>
              </w:rPr>
              <w:t>պատասխանատվության չափը լինի տարբերակված` ելնելով կատարված արարքի ծանրությունից, հանրային վտանգավորության աստիճանից, պատճառված վնասից, մեղքի աստիճանից և այլ էական հանգամանքներից</w:t>
            </w:r>
            <w:r w:rsidRPr="006529EB">
              <w:rPr>
                <w:rFonts w:cs="Times New Roman"/>
              </w:rPr>
              <w:t xml:space="preserve">։ Ըստ այդմ, օրենսդրից պահանջվում է սահմանել պատասխանատվության այնպիսի իրավակարգավորում, որը պատասխանատվության ենթարկող իրավասու մարմնին հնարավորություն ընձեռի </w:t>
            </w:r>
            <w:r w:rsidRPr="006529EB">
              <w:rPr>
                <w:rFonts w:cs="Times New Roman"/>
                <w:i/>
                <w:u w:val="single"/>
              </w:rPr>
              <w:t>որոշելու նշանակվող</w:t>
            </w:r>
            <w:r w:rsidRPr="006529EB">
              <w:rPr>
                <w:rFonts w:cs="Times New Roman"/>
              </w:rPr>
              <w:t xml:space="preserve"> </w:t>
            </w:r>
            <w:r w:rsidRPr="006529EB">
              <w:rPr>
                <w:rFonts w:cs="Times New Roman"/>
                <w:i/>
                <w:u w:val="single"/>
              </w:rPr>
              <w:t>պատասխանատվության կոնկրետ չափը` ելնելով զանցանքի բնույթից և լրջությունից</w:t>
            </w:r>
            <w:r w:rsidRPr="006529EB">
              <w:rPr>
                <w:rFonts w:cs="Times New Roman"/>
              </w:rPr>
              <w:t>։</w:t>
            </w:r>
          </w:p>
          <w:p w14:paraId="5E6C9B18" w14:textId="77777777" w:rsidR="00D704E5" w:rsidRPr="006529EB" w:rsidRDefault="00D704E5" w:rsidP="00BC253A">
            <w:pPr>
              <w:keepNext/>
              <w:suppressAutoHyphens/>
              <w:contextualSpacing/>
              <w:jc w:val="both"/>
              <w:rPr>
                <w:rFonts w:cs="Times New Roman"/>
                <w:bCs/>
                <w:i/>
                <w:iCs/>
              </w:rPr>
            </w:pPr>
          </w:p>
        </w:tc>
        <w:tc>
          <w:tcPr>
            <w:tcW w:w="7920" w:type="dxa"/>
          </w:tcPr>
          <w:p w14:paraId="0786C2E9" w14:textId="2E088676" w:rsidR="00D704E5" w:rsidRPr="006529EB" w:rsidRDefault="00D704E5" w:rsidP="00BC253A">
            <w:pPr>
              <w:contextualSpacing/>
              <w:jc w:val="both"/>
              <w:rPr>
                <w:rFonts w:cs="Times New Roman"/>
                <w:b/>
                <w:bCs/>
              </w:rPr>
            </w:pPr>
            <w:r w:rsidRPr="006529EB">
              <w:rPr>
                <w:rFonts w:cs="Times New Roman"/>
                <w:b/>
                <w:bCs/>
              </w:rPr>
              <w:lastRenderedPageBreak/>
              <w:t xml:space="preserve">Ընդունվել է։ </w:t>
            </w:r>
            <w:r w:rsidRPr="006529EB">
              <w:rPr>
                <w:rFonts w:cs="Times New Roman"/>
              </w:rPr>
              <w:t>Նախագծի համապատասխան մասում «15 տոկոս» արտահայտությունը փոխարինվել է «մինչև 15 տոկոս» արտահայտությամբ։</w:t>
            </w:r>
          </w:p>
        </w:tc>
      </w:tr>
      <w:tr w:rsidR="00D704E5" w:rsidRPr="006529EB" w14:paraId="40A4DEB5" w14:textId="77777777" w:rsidTr="00D704E5">
        <w:tc>
          <w:tcPr>
            <w:tcW w:w="2160" w:type="dxa"/>
            <w:vMerge/>
          </w:tcPr>
          <w:p w14:paraId="08F39530" w14:textId="77777777" w:rsidR="00D704E5" w:rsidRPr="006529EB" w:rsidRDefault="00D704E5" w:rsidP="00BC253A">
            <w:pPr>
              <w:contextualSpacing/>
              <w:jc w:val="both"/>
              <w:rPr>
                <w:rFonts w:cs="Times New Roman"/>
              </w:rPr>
            </w:pPr>
          </w:p>
        </w:tc>
        <w:tc>
          <w:tcPr>
            <w:tcW w:w="5580" w:type="dxa"/>
          </w:tcPr>
          <w:p w14:paraId="4B49BF04" w14:textId="354DE915" w:rsidR="00D704E5" w:rsidRPr="006529EB" w:rsidRDefault="00D704E5" w:rsidP="00BC253A">
            <w:pPr>
              <w:contextualSpacing/>
              <w:jc w:val="both"/>
              <w:rPr>
                <w:rFonts w:cs="Times New Roman"/>
                <w:noProof w:val="0"/>
              </w:rPr>
            </w:pPr>
            <w:r w:rsidRPr="006529EB">
              <w:rPr>
                <w:rFonts w:cs="Times New Roman"/>
              </w:rPr>
              <w:t>6</w:t>
            </w:r>
            <w:r w:rsidRPr="006529EB">
              <w:rPr>
                <w:rFonts w:ascii="Cambria Math" w:hAnsi="Cambria Math" w:cs="Cambria Math"/>
              </w:rPr>
              <w:t>․</w:t>
            </w:r>
            <w:r w:rsidRPr="006529EB">
              <w:rPr>
                <w:rFonts w:cs="Times New Roman"/>
              </w:rPr>
              <w:t xml:space="preserve"> Նախագծի եզրափակիչ մասում հարկ է ապահովել «Նորմատիվ իրավական ակտերի մասին» օրենքի 13-րդ հոդվածի 5-րդ մասի պահանջները:  </w:t>
            </w:r>
          </w:p>
          <w:p w14:paraId="3B415F0B" w14:textId="77777777" w:rsidR="00D704E5" w:rsidRPr="006529EB" w:rsidRDefault="00D704E5" w:rsidP="00BC253A">
            <w:pPr>
              <w:keepNext/>
              <w:suppressAutoHyphens/>
              <w:contextualSpacing/>
              <w:jc w:val="both"/>
              <w:rPr>
                <w:rFonts w:cs="Times New Roman"/>
                <w:bCs/>
                <w:i/>
                <w:iCs/>
              </w:rPr>
            </w:pPr>
          </w:p>
        </w:tc>
        <w:tc>
          <w:tcPr>
            <w:tcW w:w="7920" w:type="dxa"/>
          </w:tcPr>
          <w:p w14:paraId="55E80216" w14:textId="6A1DB562" w:rsidR="00D704E5" w:rsidRPr="006529EB" w:rsidRDefault="00D704E5" w:rsidP="009F333A">
            <w:pPr>
              <w:rPr>
                <w:rFonts w:cs="Times New Roman"/>
                <w:b/>
                <w:bCs/>
              </w:rPr>
            </w:pPr>
            <w:r w:rsidRPr="006529EB">
              <w:rPr>
                <w:b/>
                <w:bCs/>
              </w:rPr>
              <w:t xml:space="preserve">Ընդունվել է: </w:t>
            </w:r>
            <w:r w:rsidRPr="006529EB">
              <w:t>Նախագծում համապատասխան լրացումներ են կատարվել։</w:t>
            </w:r>
            <w:r w:rsidRPr="006529EB">
              <w:rPr>
                <w:b/>
                <w:bCs/>
              </w:rPr>
              <w:t xml:space="preserve">  </w:t>
            </w:r>
          </w:p>
        </w:tc>
      </w:tr>
      <w:tr w:rsidR="00D704E5" w:rsidRPr="006529EB" w14:paraId="5A768AC5" w14:textId="77777777" w:rsidTr="00D704E5">
        <w:tc>
          <w:tcPr>
            <w:tcW w:w="2160" w:type="dxa"/>
            <w:vMerge w:val="restart"/>
          </w:tcPr>
          <w:p w14:paraId="52346217" w14:textId="2A865533" w:rsidR="00D704E5" w:rsidRPr="006529EB" w:rsidRDefault="00EA5313" w:rsidP="00247B76">
            <w:pPr>
              <w:pStyle w:val="ListParagraph"/>
              <w:spacing w:line="276" w:lineRule="auto"/>
              <w:ind w:left="-20" w:right="619" w:firstLine="190"/>
              <w:jc w:val="right"/>
              <w:rPr>
                <w:b/>
                <w:color w:val="0D0D0D" w:themeColor="text1" w:themeTint="F2"/>
                <w:lang w:val="en-US"/>
              </w:rPr>
            </w:pPr>
            <w:r w:rsidRPr="006529EB">
              <w:rPr>
                <w:b/>
                <w:color w:val="0D0D0D" w:themeColor="text1" w:themeTint="F2"/>
              </w:rPr>
              <w:lastRenderedPageBreak/>
              <w:t xml:space="preserve">Փոխվարչապետ Մհեր Գրիգորյանի գրասենյակ </w:t>
            </w:r>
          </w:p>
          <w:p w14:paraId="6AF8E565" w14:textId="77777777" w:rsidR="00D704E5" w:rsidRPr="006529EB" w:rsidDel="00203638" w:rsidRDefault="00D704E5" w:rsidP="00BC253A">
            <w:pPr>
              <w:keepNext/>
              <w:suppressAutoHyphens/>
              <w:contextualSpacing/>
              <w:jc w:val="both"/>
              <w:rPr>
                <w:rFonts w:cs="Times New Roman"/>
              </w:rPr>
            </w:pPr>
          </w:p>
        </w:tc>
        <w:tc>
          <w:tcPr>
            <w:tcW w:w="5580" w:type="dxa"/>
          </w:tcPr>
          <w:p w14:paraId="36EF6392" w14:textId="43FD01FC" w:rsidR="00D704E5" w:rsidRPr="006529EB" w:rsidRDefault="00D704E5" w:rsidP="00BC253A">
            <w:pPr>
              <w:keepNext/>
              <w:suppressAutoHyphens/>
              <w:contextualSpacing/>
              <w:jc w:val="both"/>
              <w:rPr>
                <w:rFonts w:cs="Times New Roman"/>
                <w:bCs/>
                <w:i/>
                <w:iCs/>
              </w:rPr>
            </w:pPr>
            <w:r w:rsidRPr="006529EB">
              <w:rPr>
                <w:rFonts w:cs="Times New Roman"/>
              </w:rPr>
              <w:t>7</w:t>
            </w:r>
            <w:r w:rsidRPr="006529EB">
              <w:rPr>
                <w:rFonts w:ascii="Cambria Math" w:hAnsi="Cambria Math" w:cs="Cambria Math"/>
              </w:rPr>
              <w:t>․</w:t>
            </w:r>
            <w:r w:rsidRPr="006529EB">
              <w:rPr>
                <w:rFonts w:cs="Times New Roman"/>
              </w:rPr>
              <w:t xml:space="preserve"> Հաշվի առնելով «Կրիպտոակտիվների մասին» օրենքի նախագծով (այսուհետ՝ նախագիծ) ամրագրված՝ կրիպտոաակտիվներով ծառայությունների մատուցման համար անհրաժեշտ լիցենզիայի կամ թույլտվություն ստանալու նախատեսվող պահանջը, ինչպես նաև այս ոլորտում հասարակության տեղեկացվածության մակարդակի բարձրացման անհրաժեշտությունը՝ առաջարկում ենք օրենքում սահմանել տվյալ ոլորտում գործուենության լիցենզիա կամ թույլտվություն ստացած սուբյեկտների ցանկի՝ ԿԲ կողմից պարտադիր հրապարակման պահանջ</w:t>
            </w:r>
          </w:p>
        </w:tc>
        <w:tc>
          <w:tcPr>
            <w:tcW w:w="7920" w:type="dxa"/>
          </w:tcPr>
          <w:p w14:paraId="18CBB8A0" w14:textId="10C45CF3" w:rsidR="00D704E5" w:rsidRPr="006529EB" w:rsidRDefault="00D704E5" w:rsidP="00BC253A">
            <w:pPr>
              <w:contextualSpacing/>
              <w:jc w:val="both"/>
              <w:rPr>
                <w:rFonts w:cs="Times New Roman"/>
                <w:b/>
                <w:bCs/>
              </w:rPr>
            </w:pPr>
            <w:r w:rsidRPr="006529EB">
              <w:rPr>
                <w:rFonts w:cs="Times New Roman"/>
                <w:b/>
                <w:bCs/>
              </w:rPr>
              <w:t xml:space="preserve">Ընդունվել է։ </w:t>
            </w:r>
            <w:r w:rsidRPr="006529EB">
              <w:rPr>
                <w:rFonts w:cs="Times New Roman"/>
                <w:bCs/>
              </w:rPr>
              <w:t>Նախագծում կատարվել է համապատասխան փոփոխություն</w:t>
            </w:r>
          </w:p>
        </w:tc>
      </w:tr>
      <w:tr w:rsidR="00D704E5" w:rsidRPr="006529EB" w14:paraId="647263E2" w14:textId="77777777" w:rsidTr="00D704E5">
        <w:tc>
          <w:tcPr>
            <w:tcW w:w="2160" w:type="dxa"/>
            <w:vMerge/>
          </w:tcPr>
          <w:p w14:paraId="393E3D64" w14:textId="77777777" w:rsidR="00D704E5" w:rsidRPr="006529EB" w:rsidRDefault="00D704E5" w:rsidP="00BC253A">
            <w:pPr>
              <w:ind w:right="158"/>
              <w:contextualSpacing/>
              <w:jc w:val="both"/>
              <w:rPr>
                <w:rFonts w:cs="Times New Roman"/>
              </w:rPr>
            </w:pPr>
          </w:p>
        </w:tc>
        <w:tc>
          <w:tcPr>
            <w:tcW w:w="5580" w:type="dxa"/>
          </w:tcPr>
          <w:p w14:paraId="406F03E5" w14:textId="5F508CA5" w:rsidR="00D704E5" w:rsidRPr="006529EB" w:rsidRDefault="00D704E5" w:rsidP="00BC253A">
            <w:pPr>
              <w:ind w:right="158"/>
              <w:contextualSpacing/>
              <w:jc w:val="both"/>
              <w:rPr>
                <w:rFonts w:cs="Times New Roman"/>
                <w:b/>
              </w:rPr>
            </w:pPr>
            <w:r w:rsidRPr="006529EB">
              <w:rPr>
                <w:rFonts w:cs="Times New Roman"/>
              </w:rPr>
              <w:t>8</w:t>
            </w:r>
            <w:r w:rsidRPr="006529EB">
              <w:rPr>
                <w:rFonts w:ascii="Cambria Math" w:hAnsi="Cambria Math" w:cs="Cambria Math"/>
              </w:rPr>
              <w:t>․</w:t>
            </w:r>
            <w:r w:rsidRPr="006529EB">
              <w:rPr>
                <w:rFonts w:cs="Times New Roman"/>
              </w:rPr>
              <w:t xml:space="preserve"> Նախագծի 15-րդ հոդվածի 1-ին մասով առաջարկվում է նախատեսել </w:t>
            </w:r>
            <w:r w:rsidRPr="006529EB">
              <w:rPr>
                <w:rFonts w:cs="Times New Roman"/>
                <w:color w:val="0D0D0D" w:themeColor="text1" w:themeTint="F2"/>
              </w:rPr>
              <w:t xml:space="preserve">որակավորված ներդրող չհամարվող կրիպտոակտիվներ ձեռքբերողներին «մտածելու ժամանակ» տրամադրելու վերաբերյալ կառուցակարգ, որի ընթացքում ձեռքբերողը կարող է հրաժարվել թողարկողի կամ տեղաբաշխողի հետ կնքված՝ կրիպտոակտիվների ձեռքբերման պայմանագրից՝ առանց որևէ իրավական հետևանքների (այդ թվում՝ տուգանքների) և </w:t>
            </w:r>
            <w:sdt>
              <w:sdtPr>
                <w:tag w:val="goog_rdk_27"/>
                <w:id w:val="1409352853"/>
              </w:sdtPr>
              <w:sdtContent>
                <w:r w:rsidRPr="006529EB">
                  <w:rPr>
                    <w:rFonts w:cs="Times New Roman"/>
                    <w:color w:val="0D0D0D" w:themeColor="text1" w:themeTint="F2"/>
                  </w:rPr>
                  <w:t>հրաժարվելու</w:t>
                </w:r>
              </w:sdtContent>
            </w:sdt>
            <w:sdt>
              <w:sdtPr>
                <w:tag w:val="goog_rdk_28"/>
                <w:id w:val="-1501733703"/>
              </w:sdtPr>
              <w:sdtContent>
                <w:sdt>
                  <w:sdtPr>
                    <w:tag w:val="goog_rdk_29"/>
                    <w:id w:val="26152699"/>
                  </w:sdtPr>
                  <w:sdtContent/>
                </w:sdt>
                <w:r w:rsidRPr="006529EB">
                  <w:rPr>
                    <w:rFonts w:cs="Times New Roman"/>
                    <w:color w:val="0D0D0D" w:themeColor="text1" w:themeTint="F2"/>
                  </w:rPr>
                  <w:t xml:space="preserve"> </w:t>
                </w:r>
              </w:sdtContent>
            </w:sdt>
            <w:r w:rsidRPr="006529EB">
              <w:rPr>
                <w:rFonts w:cs="Times New Roman"/>
                <w:color w:val="0D0D0D" w:themeColor="text1" w:themeTint="F2"/>
              </w:rPr>
              <w:t xml:space="preserve">պատճառների բացահայտման պարտավորության։ Միաժամանակ, նախագծի 33-րդ հոդվածի 4-րդ մասի համաձայն՝ </w:t>
            </w:r>
            <w:r w:rsidRPr="006529EB">
              <w:rPr>
                <w:rFonts w:cs="Times New Roman"/>
                <w:i/>
                <w:color w:val="0D0D0D" w:themeColor="text1" w:themeTint="F2"/>
              </w:rPr>
              <w:t xml:space="preserve">հաճախորդն իրավունք ունի միակողմանի հրաժարվել կրիպտոակտիվներով ծառայությունների մատուցման պայմանագրից: Պայմանագիրը լուծելուց հետո՝ </w:t>
            </w:r>
            <w:sdt>
              <w:sdtPr>
                <w:rPr>
                  <w:i/>
                </w:rPr>
                <w:tag w:val="goog_rdk_92"/>
                <w:id w:val="1594977684"/>
              </w:sdtPr>
              <w:sdtContent/>
            </w:sdt>
            <w:r w:rsidRPr="006529EB">
              <w:rPr>
                <w:rFonts w:cs="Times New Roman"/>
                <w:i/>
                <w:color w:val="0D0D0D" w:themeColor="text1" w:themeTint="F2"/>
              </w:rPr>
              <w:t xml:space="preserve">3 աշխատանքային օրվա ընթացքում, կրիպտոակտիվներով ծառայություններ մատուցող անձը պարտավոր է պայմանագրով սահմանված կարգով հաճախորդին կամ նրա ներկայացուցչին փոխանցել հաճախորդին պատկանող կրիպտոակտիվներն ու դրամական միջոցները: Սույն մասով սահմանված իրավունքը չի </w:t>
            </w:r>
            <w:r w:rsidRPr="006529EB">
              <w:rPr>
                <w:rFonts w:cs="Times New Roman"/>
                <w:i/>
                <w:color w:val="0D0D0D" w:themeColor="text1" w:themeTint="F2"/>
              </w:rPr>
              <w:lastRenderedPageBreak/>
              <w:t xml:space="preserve">կարող սահմանափակվել պայմանագրով: </w:t>
            </w:r>
            <w:r w:rsidRPr="006529EB">
              <w:rPr>
                <w:rFonts w:cs="Times New Roman"/>
                <w:color w:val="0D0D0D" w:themeColor="text1" w:themeTint="F2"/>
              </w:rPr>
              <w:t>Այս առումով հարկ ենք համարում առաջին հերթին փաստել, որ նախագծի 33-րդ հոդվածի 4-րդ մասի առկայությունը ինքնին ներքին հակասություն է ստեղծում 15-րդ հոդվածի 1-ին մասի հետ, քանի որ երկու դեպքում էլ սահմանվում է անձի՝ կրիպտոակտիվներով ծառայությունների մատուցման պայմանագրից (այս թվում՝ (այդ թվում՝ հաճախորդի հաշվին կրիպտոակտիվների առուվաճառքի   իրականացումը) հրաժարվելու հնարավորությունը՝ առանց տվյալ իրավունքի սահմանափակման հնարավորության: Նման պայմաններում, կրիպտոակտիվներ ձեռքբերողներին «մտածելու ժամանակ» տրամադրելու վերաբերյալ կառուցակարգի նախատեսումը, մեր գնահատմամբ, նպատակահարմար չէ: Վ</w:t>
            </w:r>
            <w:r w:rsidRPr="006529EB">
              <w:rPr>
                <w:rFonts w:cs="Times New Roman"/>
              </w:rPr>
              <w:t>երոգրյալից զատ, կրիպտոակտիվներով</w:t>
            </w:r>
            <w:r w:rsidRPr="006529EB">
              <w:rPr>
                <w:rFonts w:cs="Times New Roman"/>
                <w:color w:val="0D0D0D" w:themeColor="text1" w:themeTint="F2"/>
              </w:rPr>
              <w:t xml:space="preserve"> ծառայությունների մատուցման պայմանագրից հրաժարվելու հնարավորությունը չպետք է բացառի ծառայություններ մատուցող անձի կատարած փաստացի ծախսերի հատուցման պահանջը՝ հաշվի առնելով ՀՀ քաղաքացիական օրենսգրքի վերաբերելի կարգավորումները:</w:t>
            </w:r>
          </w:p>
          <w:p w14:paraId="4666AF3E" w14:textId="77777777" w:rsidR="00D704E5" w:rsidRPr="006529EB" w:rsidRDefault="00D704E5" w:rsidP="00BC253A">
            <w:pPr>
              <w:keepNext/>
              <w:suppressAutoHyphens/>
              <w:contextualSpacing/>
              <w:jc w:val="both"/>
              <w:rPr>
                <w:rFonts w:cs="Times New Roman"/>
                <w:bCs/>
                <w:i/>
                <w:iCs/>
              </w:rPr>
            </w:pPr>
          </w:p>
        </w:tc>
        <w:tc>
          <w:tcPr>
            <w:tcW w:w="7920" w:type="dxa"/>
          </w:tcPr>
          <w:p w14:paraId="6C5DC599" w14:textId="6B18020D" w:rsidR="00D704E5" w:rsidRPr="006529EB" w:rsidRDefault="00D704E5" w:rsidP="00BC253A">
            <w:pPr>
              <w:contextualSpacing/>
              <w:jc w:val="both"/>
              <w:rPr>
                <w:rFonts w:cs="Times New Roman"/>
              </w:rPr>
            </w:pPr>
            <w:bookmarkStart w:id="0" w:name="_Hlk183163986"/>
            <w:r w:rsidRPr="006529EB">
              <w:rPr>
                <w:rFonts w:cs="Times New Roman"/>
                <w:b/>
                <w:bCs/>
              </w:rPr>
              <w:lastRenderedPageBreak/>
              <w:t xml:space="preserve">Չի ընդունվել: </w:t>
            </w:r>
            <w:r w:rsidRPr="006529EB">
              <w:rPr>
                <w:rFonts w:cs="Times New Roman"/>
              </w:rPr>
              <w:t xml:space="preserve">Նախագծի 15-րդ հոդվածի 1-ին մասը և 33-րդ hոդվածի 4-րդ մասը կարգավորում են կրիպտոակտիվների շուկայի տարբեր մասնակիցների միջև հարաբերությունները և դրանց կողմից իրականացվող գործունեության նկատմամբ պահանջները, հետևաբար, ներկայացված հոդվածների միջև որևէ հակասություն չի կարող լինել: Մասնավորապես՝  Նախագծի 15-րդ հոդվածի 1-ին մասը կարգավորում է կրիպտոակտիվների թողարկումն ու առաջարկը, ըստ այդմ՝ թողարկողի և կրիպտոակտիվներ ձեռքբերողների միջև փոխհարաբերությունները: Մինչդեռ </w:t>
            </w:r>
            <w:r w:rsidRPr="006529EB">
              <w:rPr>
                <w:rFonts w:cs="Times New Roman"/>
                <w:color w:val="0D0D0D" w:themeColor="text1" w:themeTint="F2"/>
              </w:rPr>
              <w:t xml:space="preserve">նախագծի 33-րդ հոդվածի 4-րդ մասն առնչվում է կրիպտոակտիվներով ծառայություններին, ծառայություն մատուցող անձի և իր հաճախորդների միջև փոխհարաբերություններին: </w:t>
            </w:r>
            <w:bookmarkEnd w:id="0"/>
          </w:p>
        </w:tc>
      </w:tr>
      <w:tr w:rsidR="00D704E5" w:rsidRPr="006529EB" w14:paraId="7CE2AA53" w14:textId="77777777" w:rsidTr="00D704E5">
        <w:tc>
          <w:tcPr>
            <w:tcW w:w="2160" w:type="dxa"/>
            <w:vMerge/>
          </w:tcPr>
          <w:p w14:paraId="7F0E7874" w14:textId="77777777" w:rsidR="00D704E5" w:rsidRPr="006529EB" w:rsidRDefault="00D704E5" w:rsidP="00BC253A">
            <w:pPr>
              <w:pStyle w:val="ListParagraph"/>
              <w:ind w:left="171" w:right="255"/>
              <w:jc w:val="both"/>
              <w:rPr>
                <w:rFonts w:cs="Times New Roman"/>
              </w:rPr>
            </w:pPr>
          </w:p>
        </w:tc>
        <w:tc>
          <w:tcPr>
            <w:tcW w:w="5580" w:type="dxa"/>
          </w:tcPr>
          <w:p w14:paraId="6C627539" w14:textId="31A973AF" w:rsidR="00D704E5" w:rsidRPr="006529EB" w:rsidRDefault="00D704E5" w:rsidP="00D704E5">
            <w:pPr>
              <w:ind w:right="255"/>
              <w:jc w:val="both"/>
              <w:rPr>
                <w:rFonts w:cs="Times New Roman"/>
              </w:rPr>
            </w:pPr>
            <w:r w:rsidRPr="006529EB">
              <w:rPr>
                <w:rFonts w:cs="Times New Roman"/>
              </w:rPr>
              <w:t>9</w:t>
            </w:r>
            <w:r w:rsidRPr="006529EB">
              <w:rPr>
                <w:rFonts w:ascii="Cambria Math" w:hAnsi="Cambria Math" w:cs="Cambria Math"/>
              </w:rPr>
              <w:t>․</w:t>
            </w:r>
            <w:r w:rsidRPr="006529EB">
              <w:rPr>
                <w:rFonts w:cs="Times New Roman"/>
              </w:rPr>
              <w:t xml:space="preserve"> Նախագծի 20-րդ հոդվածի 10-րդ մասի 5-րդ կետով որպես Կենտրոնական բանկի կողմից դիմորդի լիցենզավորումը կամ կրիպտոակտիվներով լրացուցիչ ծառայություն մատուցելու լիցենզիայի տրամադրումը մերժելու հիմք է նախատեսված գործարար ծրագրի անհամապատասխանատությունը տվյալ օրենքով սահմանված պահանջներին, այնինչ նախագծով </w:t>
            </w:r>
            <w:r w:rsidRPr="006529EB">
              <w:rPr>
                <w:rFonts w:cs="Times New Roman"/>
              </w:rPr>
              <w:lastRenderedPageBreak/>
              <w:t>սահմանված չեն գործարար ծրագրի վերաբերյալ պահանջներ:</w:t>
            </w:r>
          </w:p>
          <w:p w14:paraId="1B8CFEF2" w14:textId="77777777" w:rsidR="00D704E5" w:rsidRPr="006529EB" w:rsidRDefault="00D704E5" w:rsidP="00BC253A">
            <w:pPr>
              <w:keepNext/>
              <w:suppressAutoHyphens/>
              <w:ind w:right="255"/>
              <w:contextualSpacing/>
              <w:jc w:val="both"/>
              <w:rPr>
                <w:rFonts w:cs="Times New Roman"/>
                <w:bCs/>
                <w:i/>
                <w:iCs/>
              </w:rPr>
            </w:pPr>
          </w:p>
        </w:tc>
        <w:tc>
          <w:tcPr>
            <w:tcW w:w="7920" w:type="dxa"/>
          </w:tcPr>
          <w:p w14:paraId="126EC698" w14:textId="25729C1D" w:rsidR="00D704E5" w:rsidRPr="006529EB" w:rsidRDefault="00D704E5" w:rsidP="00BC253A">
            <w:pPr>
              <w:ind w:right="-366"/>
              <w:contextualSpacing/>
              <w:jc w:val="both"/>
              <w:rPr>
                <w:rFonts w:cs="Times New Roman"/>
                <w:b/>
                <w:bCs/>
              </w:rPr>
            </w:pPr>
            <w:r w:rsidRPr="006529EB">
              <w:rPr>
                <w:rFonts w:cs="Times New Roman"/>
                <w:b/>
                <w:bCs/>
              </w:rPr>
              <w:lastRenderedPageBreak/>
              <w:t xml:space="preserve">Ընդունվել է։ </w:t>
            </w:r>
            <w:r w:rsidRPr="006529EB">
              <w:rPr>
                <w:rFonts w:cs="Times New Roman"/>
              </w:rPr>
              <w:t>Նախագիծը խմբագրվել է։</w:t>
            </w:r>
            <w:r w:rsidRPr="006529EB">
              <w:rPr>
                <w:rFonts w:cs="Times New Roman"/>
                <w:b/>
                <w:bCs/>
              </w:rPr>
              <w:t xml:space="preserve"> </w:t>
            </w:r>
          </w:p>
          <w:p w14:paraId="0B1D44BD" w14:textId="77777777" w:rsidR="00D704E5" w:rsidRPr="006529EB" w:rsidRDefault="00D704E5" w:rsidP="00BC253A">
            <w:pPr>
              <w:contextualSpacing/>
              <w:jc w:val="both"/>
              <w:rPr>
                <w:rFonts w:cs="Times New Roman"/>
                <w:b/>
                <w:bCs/>
              </w:rPr>
            </w:pPr>
          </w:p>
        </w:tc>
      </w:tr>
      <w:tr w:rsidR="00D704E5" w:rsidRPr="006529EB" w14:paraId="25F3F3F8" w14:textId="77777777" w:rsidTr="00D704E5">
        <w:tc>
          <w:tcPr>
            <w:tcW w:w="2160" w:type="dxa"/>
            <w:vMerge/>
          </w:tcPr>
          <w:p w14:paraId="6DBB5522" w14:textId="77777777" w:rsidR="00D704E5" w:rsidRPr="006529EB" w:rsidRDefault="00D704E5" w:rsidP="00BC253A">
            <w:pPr>
              <w:pStyle w:val="ListParagraph"/>
              <w:numPr>
                <w:ilvl w:val="0"/>
                <w:numId w:val="42"/>
              </w:numPr>
              <w:ind w:left="171" w:right="255" w:hanging="711"/>
              <w:jc w:val="both"/>
              <w:rPr>
                <w:rFonts w:cs="Times New Roman"/>
                <w:bCs/>
                <w:i/>
                <w:iCs/>
              </w:rPr>
            </w:pPr>
          </w:p>
        </w:tc>
        <w:tc>
          <w:tcPr>
            <w:tcW w:w="5580" w:type="dxa"/>
          </w:tcPr>
          <w:p w14:paraId="4DBF61E5" w14:textId="00C918D5" w:rsidR="00D704E5" w:rsidRPr="006529EB" w:rsidRDefault="00D704E5" w:rsidP="00D704E5">
            <w:pPr>
              <w:ind w:right="255"/>
              <w:jc w:val="both"/>
              <w:rPr>
                <w:rFonts w:cs="Times New Roman"/>
              </w:rPr>
            </w:pPr>
            <w:r w:rsidRPr="006529EB">
              <w:rPr>
                <w:rFonts w:cs="Times New Roman"/>
                <w:bCs/>
                <w:i/>
                <w:iCs/>
              </w:rPr>
              <w:t>10</w:t>
            </w:r>
            <w:r w:rsidRPr="006529EB">
              <w:rPr>
                <w:rFonts w:ascii="Cambria Math" w:hAnsi="Cambria Math" w:cs="Cambria Math"/>
                <w:bCs/>
                <w:i/>
                <w:iCs/>
              </w:rPr>
              <w:t>․</w:t>
            </w:r>
            <w:r w:rsidRPr="006529EB">
              <w:rPr>
                <w:rFonts w:cs="Times New Roman"/>
                <w:bCs/>
                <w:i/>
                <w:iCs/>
              </w:rPr>
              <w:t xml:space="preserve"> </w:t>
            </w:r>
            <w:r w:rsidRPr="006529EB">
              <w:rPr>
                <w:rFonts w:cs="Times New Roman"/>
              </w:rPr>
              <w:t xml:space="preserve">Նախագծի 20-րդ հոդվածի 11-րդ մասում </w:t>
            </w:r>
            <w:r w:rsidRPr="006529EB">
              <w:rPr>
                <w:rFonts w:cs="Times New Roman"/>
                <w:color w:val="0D0D0D" w:themeColor="text1" w:themeTint="F2"/>
              </w:rPr>
              <w:t xml:space="preserve">կրիպտոակտիվների շուկայի անաղարտության </w:t>
            </w:r>
            <w:r w:rsidRPr="006529EB">
              <w:rPr>
                <w:rFonts w:cs="Times New Roman"/>
              </w:rPr>
              <w:t>ուղեցույցի</w:t>
            </w:r>
            <w:r w:rsidRPr="006529EB">
              <w:rPr>
                <w:rFonts w:cs="Times New Roman"/>
                <w:color w:val="0D0D0D" w:themeColor="text1" w:themeTint="F2"/>
              </w:rPr>
              <w:t xml:space="preserve"> սահմանման վերաբերյալ անհրաժեշտ է սահմանել Կենտրոնական բանկի իմպերատիվ և ոչ հայեցողական լիազորությունը՝ հաշվի առնելով կրիպտոակտիվների շուկայի անաղարտության խաթարման ռիկսը որպես լիցենզավորման մերժման հիմք նախատեսված լինելը:</w:t>
            </w:r>
          </w:p>
          <w:p w14:paraId="421B5FDD" w14:textId="075B1891" w:rsidR="00D704E5" w:rsidRPr="006529EB" w:rsidRDefault="00D704E5" w:rsidP="00BC253A">
            <w:pPr>
              <w:ind w:right="255"/>
              <w:contextualSpacing/>
              <w:jc w:val="both"/>
              <w:rPr>
                <w:rFonts w:cs="Times New Roman"/>
              </w:rPr>
            </w:pPr>
          </w:p>
          <w:p w14:paraId="418ABF6B" w14:textId="2F397AAD" w:rsidR="00D704E5" w:rsidRPr="006529EB" w:rsidRDefault="00D704E5" w:rsidP="00BC253A">
            <w:pPr>
              <w:keepNext/>
              <w:tabs>
                <w:tab w:val="left" w:pos="2026"/>
              </w:tabs>
              <w:suppressAutoHyphens/>
              <w:ind w:right="255"/>
              <w:contextualSpacing/>
              <w:jc w:val="both"/>
              <w:rPr>
                <w:rFonts w:cs="Times New Roman"/>
                <w:bCs/>
                <w:i/>
                <w:iCs/>
              </w:rPr>
            </w:pPr>
          </w:p>
        </w:tc>
        <w:tc>
          <w:tcPr>
            <w:tcW w:w="7920" w:type="dxa"/>
          </w:tcPr>
          <w:p w14:paraId="29145D92" w14:textId="7BE9DC4A" w:rsidR="00D704E5" w:rsidRPr="006529EB" w:rsidRDefault="00D704E5" w:rsidP="00BC253A">
            <w:pPr>
              <w:contextualSpacing/>
              <w:jc w:val="both"/>
              <w:rPr>
                <w:rFonts w:cs="Times New Roman"/>
                <w:b/>
                <w:bCs/>
              </w:rPr>
            </w:pPr>
            <w:r w:rsidRPr="006529EB">
              <w:rPr>
                <w:rFonts w:cs="Times New Roman"/>
                <w:b/>
                <w:bCs/>
              </w:rPr>
              <w:t xml:space="preserve">Ընդունվել է։ </w:t>
            </w:r>
            <w:r w:rsidRPr="006529EB">
              <w:rPr>
                <w:rFonts w:cs="Times New Roman"/>
                <w:bCs/>
              </w:rPr>
              <w:t>Նախագծից հանվել է Կենտրոնական բանկի կողմից ուղեցույց սահմանելու վերաբերյալ դրույթը։</w:t>
            </w:r>
          </w:p>
          <w:p w14:paraId="02DE51C7" w14:textId="77777777" w:rsidR="00D704E5" w:rsidRPr="006529EB" w:rsidRDefault="00D704E5" w:rsidP="00BC253A">
            <w:pPr>
              <w:contextualSpacing/>
              <w:jc w:val="both"/>
              <w:rPr>
                <w:rFonts w:cs="Times New Roman"/>
                <w:b/>
                <w:bCs/>
              </w:rPr>
            </w:pPr>
          </w:p>
        </w:tc>
      </w:tr>
      <w:tr w:rsidR="00D704E5" w:rsidRPr="006529EB" w14:paraId="54B5623D" w14:textId="77777777" w:rsidTr="00D704E5">
        <w:tc>
          <w:tcPr>
            <w:tcW w:w="2160" w:type="dxa"/>
            <w:vMerge/>
          </w:tcPr>
          <w:p w14:paraId="17867B7E" w14:textId="77777777" w:rsidR="00D704E5" w:rsidRPr="006529EB" w:rsidRDefault="00D704E5" w:rsidP="00BC253A">
            <w:pPr>
              <w:ind w:right="182"/>
              <w:contextualSpacing/>
              <w:jc w:val="both"/>
              <w:rPr>
                <w:rFonts w:cs="Times New Roman"/>
              </w:rPr>
            </w:pPr>
          </w:p>
        </w:tc>
        <w:tc>
          <w:tcPr>
            <w:tcW w:w="5580" w:type="dxa"/>
          </w:tcPr>
          <w:p w14:paraId="1D1E12F6" w14:textId="5084F3B6" w:rsidR="00D704E5" w:rsidRPr="006529EB" w:rsidRDefault="00D704E5" w:rsidP="00BC253A">
            <w:pPr>
              <w:ind w:right="182"/>
              <w:contextualSpacing/>
              <w:jc w:val="both"/>
              <w:rPr>
                <w:rFonts w:cs="Times New Roman"/>
              </w:rPr>
            </w:pPr>
            <w:r w:rsidRPr="006529EB">
              <w:rPr>
                <w:rFonts w:cs="Times New Roman"/>
              </w:rPr>
              <w:t>11</w:t>
            </w:r>
            <w:r w:rsidRPr="006529EB">
              <w:rPr>
                <w:rFonts w:ascii="Cambria Math" w:hAnsi="Cambria Math" w:cs="Cambria Math"/>
              </w:rPr>
              <w:t>․</w:t>
            </w:r>
            <w:r w:rsidRPr="006529EB">
              <w:rPr>
                <w:rFonts w:cs="Times New Roman"/>
              </w:rPr>
              <w:t xml:space="preserve"> Նախագծի 24-րդ հոդվածում լիցենզիայի ուժը կորցրած ճանաչելու հիմքերը վերանայնման և տարանջամտան կարիք ունեն այն տրամաբանությամբ, որ «Վարչարարության հիմունքների և վարչական վարույթի  մասին» օրենքի 63-րդ և 66-րդ հոդվածների համաձայն՝ վարչական ակտի ուժը կորցրած ճանաչվելը որպես համապատասխան փաստաթղթի կամ իրավական ակտի գործողության դադարման հիմք, չի պահանջում դրա ոչ իրավաչափ լինելու նախադրյալի առկայություն, ինչպիսի պայման առկա է անվավեր ճանաչվելու դեպքում: Հետևաբար, Նախագծի 24-րդ հոդվածի 2-րդ մասի 2-րդ և 3-րդ կետերը պետք է դիտարկվեն  լիցենզիայի անվավեր ճանաչման և ոչ թե այն ուժը կորցրած ճանաչվելու հիմքեր:</w:t>
            </w:r>
          </w:p>
          <w:p w14:paraId="14B8EFDA" w14:textId="77777777" w:rsidR="00D704E5" w:rsidRPr="006529EB" w:rsidRDefault="00D704E5" w:rsidP="00BC253A">
            <w:pPr>
              <w:keepNext/>
              <w:suppressAutoHyphens/>
              <w:ind w:left="81" w:firstLine="270"/>
              <w:contextualSpacing/>
              <w:jc w:val="both"/>
              <w:rPr>
                <w:rFonts w:cs="Times New Roman"/>
                <w:bCs/>
                <w:i/>
                <w:iCs/>
              </w:rPr>
            </w:pPr>
          </w:p>
        </w:tc>
        <w:tc>
          <w:tcPr>
            <w:tcW w:w="7920" w:type="dxa"/>
          </w:tcPr>
          <w:p w14:paraId="1E95B044" w14:textId="1D1C2B20" w:rsidR="00D704E5" w:rsidRPr="006529EB" w:rsidRDefault="002820FF" w:rsidP="00BC253A">
            <w:pPr>
              <w:rPr>
                <w:b/>
                <w:bCs/>
              </w:rPr>
            </w:pPr>
            <w:r w:rsidRPr="006529EB">
              <w:rPr>
                <w:b/>
                <w:bCs/>
              </w:rPr>
              <w:t>Մասամբ ը</w:t>
            </w:r>
            <w:r w:rsidR="00D704E5" w:rsidRPr="006529EB">
              <w:rPr>
                <w:b/>
                <w:bCs/>
              </w:rPr>
              <w:t xml:space="preserve">նդունվել է: </w:t>
            </w:r>
            <w:r w:rsidR="00D704E5" w:rsidRPr="006529EB">
              <w:t>Նախագիծը խմբագրվել է։</w:t>
            </w:r>
            <w:r w:rsidR="00D704E5" w:rsidRPr="006529EB">
              <w:rPr>
                <w:b/>
                <w:bCs/>
              </w:rPr>
              <w:t xml:space="preserve"> </w:t>
            </w:r>
          </w:p>
          <w:p w14:paraId="15D62E28" w14:textId="467463CD" w:rsidR="00D704E5" w:rsidRPr="006529EB" w:rsidRDefault="00D704E5" w:rsidP="00BC253A">
            <w:pPr>
              <w:contextualSpacing/>
              <w:jc w:val="both"/>
              <w:rPr>
                <w:rFonts w:cs="Times New Roman"/>
                <w:b/>
                <w:bCs/>
              </w:rPr>
            </w:pPr>
          </w:p>
        </w:tc>
      </w:tr>
      <w:tr w:rsidR="00D704E5" w:rsidRPr="006529EB" w14:paraId="62E7CE49" w14:textId="77777777" w:rsidTr="00D704E5">
        <w:tc>
          <w:tcPr>
            <w:tcW w:w="2160" w:type="dxa"/>
            <w:vMerge/>
          </w:tcPr>
          <w:p w14:paraId="33E76856" w14:textId="77777777" w:rsidR="00D704E5" w:rsidRPr="006529EB" w:rsidRDefault="00D704E5" w:rsidP="00D704E5">
            <w:pPr>
              <w:ind w:right="155"/>
              <w:jc w:val="both"/>
              <w:rPr>
                <w:rFonts w:cs="Times New Roman"/>
                <w:color w:val="0D0D0D" w:themeColor="text1" w:themeTint="F2"/>
              </w:rPr>
            </w:pPr>
          </w:p>
        </w:tc>
        <w:tc>
          <w:tcPr>
            <w:tcW w:w="5580" w:type="dxa"/>
          </w:tcPr>
          <w:p w14:paraId="3FA47E66" w14:textId="7FA2011C" w:rsidR="00D704E5" w:rsidRPr="006529EB" w:rsidRDefault="00D704E5" w:rsidP="00D704E5">
            <w:pPr>
              <w:ind w:right="155"/>
              <w:jc w:val="both"/>
              <w:rPr>
                <w:rFonts w:cs="Times New Roman"/>
                <w:b/>
              </w:rPr>
            </w:pPr>
            <w:r w:rsidRPr="006529EB">
              <w:rPr>
                <w:rFonts w:cs="Times New Roman"/>
                <w:color w:val="0D0D0D" w:themeColor="text1" w:themeTint="F2"/>
              </w:rPr>
              <w:t>12</w:t>
            </w:r>
            <w:r w:rsidRPr="006529EB">
              <w:rPr>
                <w:rFonts w:ascii="Cambria Math" w:hAnsi="Cambria Math" w:cs="Cambria Math"/>
                <w:color w:val="0D0D0D" w:themeColor="text1" w:themeTint="F2"/>
              </w:rPr>
              <w:t>․</w:t>
            </w:r>
            <w:r w:rsidRPr="006529EB">
              <w:rPr>
                <w:rFonts w:cs="Times New Roman"/>
                <w:color w:val="0D0D0D" w:themeColor="text1" w:themeTint="F2"/>
              </w:rPr>
              <w:t xml:space="preserve"> Նախագծի 31-րդ հոդվածի 1-ին մասի համաձայն՝ նույն օրենքով սահմանված պահանջների խախտմամբ կրիպտոակտիվներով ծառայություններ մատուցող անձի կազմում </w:t>
            </w:r>
            <w:r w:rsidRPr="006529EB">
              <w:rPr>
                <w:rFonts w:cs="Times New Roman"/>
                <w:color w:val="0D0D0D" w:themeColor="text1" w:themeTint="F2"/>
              </w:rPr>
              <w:lastRenderedPageBreak/>
              <w:t xml:space="preserve">նշանակալից մասնակցության ձեռքբերման գործարքն </w:t>
            </w:r>
            <w:r w:rsidRPr="006529EB">
              <w:rPr>
                <w:rFonts w:cs="Times New Roman"/>
                <w:b/>
                <w:color w:val="0D0D0D" w:themeColor="text1" w:themeTint="F2"/>
              </w:rPr>
              <w:t xml:space="preserve">առ ոչինչ է: </w:t>
            </w:r>
            <w:r w:rsidRPr="006529EB">
              <w:rPr>
                <w:rFonts w:cs="Times New Roman"/>
                <w:color w:val="0D0D0D" w:themeColor="text1" w:themeTint="F2"/>
              </w:rPr>
              <w:t>Նույն հոդվածի 2-րդ մասի համաձայն՝</w:t>
            </w:r>
            <w:r w:rsidRPr="006529EB">
              <w:rPr>
                <w:rFonts w:cs="Times New Roman"/>
                <w:b/>
                <w:color w:val="0D0D0D" w:themeColor="text1" w:themeTint="F2"/>
              </w:rPr>
              <w:t xml:space="preserve"> </w:t>
            </w:r>
            <w:r w:rsidRPr="006529EB">
              <w:rPr>
                <w:rFonts w:cs="Times New Roman"/>
                <w:color w:val="0D0D0D" w:themeColor="text1" w:themeTint="F2"/>
              </w:rPr>
              <w:t>1-ին մասով սահմանված դեպքերում Կենտրոնական բանկը կարող է առաջարկել անձին (իսկ առաջարկությունը չկատարելու դեպքում` դատական կարգով պահանջել նրանից), որ նա ողջամիտ ժամկետում օտարի կամ այլ կերպ դադարեցնի իր մասնակցությունը կրիպտոակտիվներով ծառայություններ մատուցող անձի կազմում:</w:t>
            </w:r>
          </w:p>
          <w:p w14:paraId="2491F209" w14:textId="77777777" w:rsidR="00D704E5" w:rsidRPr="006529EB" w:rsidRDefault="00D704E5" w:rsidP="00D704E5">
            <w:pPr>
              <w:pStyle w:val="ListParagraph"/>
              <w:ind w:left="-14" w:right="245"/>
              <w:jc w:val="both"/>
              <w:rPr>
                <w:rFonts w:cs="Times New Roman"/>
                <w:color w:val="0D0D0D" w:themeColor="text1" w:themeTint="F2"/>
              </w:rPr>
            </w:pPr>
            <w:r w:rsidRPr="006529EB">
              <w:rPr>
                <w:rFonts w:cs="Times New Roman"/>
              </w:rPr>
              <w:t xml:space="preserve">Այս անչությամբ անհրաժեշտ է փաստել, որ Քաղաքացիական օրենսգրքի 303-րդ և 304-րդ հոդվածների կարգավորումներից բխում է, որ առոչինչ գործարքի </w:t>
            </w:r>
            <w:r w:rsidRPr="006529EB">
              <w:rPr>
                <w:rFonts w:cs="Times New Roman"/>
                <w:color w:val="0D0D0D" w:themeColor="text1" w:themeTint="F2"/>
              </w:rPr>
              <w:t>անվավերության</w:t>
            </w:r>
            <w:r w:rsidRPr="006529EB">
              <w:rPr>
                <w:rFonts w:cs="Times New Roman"/>
              </w:rPr>
              <w:t xml:space="preserve"> հետևանքների կիրառումը ենթադրում է երկկողմանի ռեստիտուցիա՝ այսինքն </w:t>
            </w:r>
            <w:r w:rsidRPr="006529EB">
              <w:rPr>
                <w:rFonts w:cs="Times New Roman"/>
                <w:color w:val="000000"/>
                <w:shd w:val="clear" w:color="auto" w:fill="FFFFFF"/>
              </w:rPr>
              <w:t xml:space="preserve">յուրաքանչյուրը պարտավոր է մյուս կողմին վերադարձնել գործարքով ամբողջ ստացածը, հետևաբար տվյալ դեպքում՝ օրենքով նախատեսված գործարքի առոչնչությամ հիմքի սահմանման պայմաններում Կենտրոնական բանկը չի կարող առաջարկել </w:t>
            </w:r>
            <w:r w:rsidRPr="006529EB">
              <w:rPr>
                <w:rFonts w:cs="Times New Roman"/>
                <w:color w:val="0D0D0D" w:themeColor="text1" w:themeTint="F2"/>
              </w:rPr>
              <w:t>անձին օտարել կամ այլ կերպ դադարեցնել իր մասնակցությունը կրիպտոակտիվներով ծառայություններ մատուցող անձի կազմում:</w:t>
            </w:r>
          </w:p>
          <w:p w14:paraId="66811CEE" w14:textId="77777777" w:rsidR="00D704E5" w:rsidRPr="006529EB" w:rsidRDefault="00D704E5" w:rsidP="00BC253A">
            <w:pPr>
              <w:keepNext/>
              <w:suppressAutoHyphens/>
              <w:contextualSpacing/>
              <w:jc w:val="both"/>
              <w:rPr>
                <w:rFonts w:cs="Times New Roman"/>
                <w:bCs/>
                <w:i/>
                <w:iCs/>
              </w:rPr>
            </w:pPr>
          </w:p>
        </w:tc>
        <w:tc>
          <w:tcPr>
            <w:tcW w:w="7920" w:type="dxa"/>
          </w:tcPr>
          <w:p w14:paraId="039FC313" w14:textId="56CB7E3E" w:rsidR="00D704E5" w:rsidRPr="006529EB" w:rsidRDefault="00D704E5" w:rsidP="00BC253A">
            <w:pPr>
              <w:jc w:val="both"/>
            </w:pPr>
            <w:r w:rsidRPr="006529EB">
              <w:rPr>
                <w:b/>
                <w:bCs/>
              </w:rPr>
              <w:lastRenderedPageBreak/>
              <w:t xml:space="preserve">Ընդունվել է։ </w:t>
            </w:r>
            <w:r w:rsidRPr="006529EB">
              <w:t>Նախագիծը խմբագրվել է համապատասխան փոփոխություններով՝ նախագծի 31-րդ հոդվածի 2-րդ մասը հանվել է:</w:t>
            </w:r>
          </w:p>
          <w:p w14:paraId="023FC150" w14:textId="77777777" w:rsidR="00D704E5" w:rsidRPr="006529EB" w:rsidRDefault="00D704E5" w:rsidP="00BC253A">
            <w:pPr>
              <w:ind w:left="165"/>
              <w:contextualSpacing/>
              <w:jc w:val="both"/>
              <w:rPr>
                <w:rFonts w:cs="Times New Roman"/>
                <w:b/>
                <w:bCs/>
              </w:rPr>
            </w:pPr>
          </w:p>
        </w:tc>
      </w:tr>
      <w:tr w:rsidR="00D704E5" w:rsidRPr="006529EB" w14:paraId="0A44C84E" w14:textId="77777777" w:rsidTr="00D704E5">
        <w:tc>
          <w:tcPr>
            <w:tcW w:w="2160" w:type="dxa"/>
            <w:vMerge/>
          </w:tcPr>
          <w:p w14:paraId="72FF2A2E" w14:textId="77777777" w:rsidR="00D704E5" w:rsidRPr="006529EB" w:rsidRDefault="00D704E5" w:rsidP="00BC253A">
            <w:pPr>
              <w:pStyle w:val="ListParagraph"/>
              <w:numPr>
                <w:ilvl w:val="0"/>
                <w:numId w:val="42"/>
              </w:numPr>
              <w:ind w:left="351" w:right="155" w:hanging="891"/>
              <w:jc w:val="both"/>
              <w:rPr>
                <w:rFonts w:cs="Times New Roman"/>
                <w:color w:val="0D0D0D" w:themeColor="text1" w:themeTint="F2"/>
              </w:rPr>
            </w:pPr>
          </w:p>
        </w:tc>
        <w:tc>
          <w:tcPr>
            <w:tcW w:w="5580" w:type="dxa"/>
          </w:tcPr>
          <w:p w14:paraId="0636DA42" w14:textId="56B40A62" w:rsidR="00D704E5" w:rsidRPr="006529EB" w:rsidRDefault="00D704E5" w:rsidP="00D704E5">
            <w:pPr>
              <w:pStyle w:val="ListParagraph"/>
              <w:ind w:left="-14" w:right="245"/>
              <w:jc w:val="both"/>
              <w:rPr>
                <w:rFonts w:cs="Times New Roman"/>
                <w:b/>
              </w:rPr>
            </w:pPr>
            <w:r w:rsidRPr="006529EB">
              <w:rPr>
                <w:rFonts w:cs="Times New Roman"/>
                <w:color w:val="0D0D0D" w:themeColor="text1" w:themeTint="F2"/>
              </w:rPr>
              <w:t>13</w:t>
            </w:r>
            <w:r w:rsidRPr="006529EB">
              <w:rPr>
                <w:rFonts w:ascii="Cambria Math" w:hAnsi="Cambria Math" w:cs="Cambria Math"/>
                <w:color w:val="0D0D0D" w:themeColor="text1" w:themeTint="F2"/>
              </w:rPr>
              <w:t>․</w:t>
            </w:r>
            <w:r w:rsidRPr="006529EB">
              <w:rPr>
                <w:rFonts w:cs="Times New Roman"/>
                <w:color w:val="0D0D0D" w:themeColor="text1" w:themeTint="F2"/>
              </w:rPr>
              <w:t xml:space="preserve"> Նախագծի 43-րդ հոդվածի 5-րդ մասի 2-րդ կետի համաձայն՝ պատվիրակման դեպքում չպետք է ստեղծվի այնպիսի իրավիճակ, որի դեպքում կրիպտոակտիվներով ծառայություններ մատուցող անձը փաստացի չի իրականացնում կրիպտոակտիվներով ծառայությունների մատուցումը: Նշված դրույթը լրացուցիչ պարզաբանման կարիք ունի, քանի որ </w:t>
            </w:r>
            <w:r w:rsidRPr="006529EB">
              <w:rPr>
                <w:rFonts w:cs="Times New Roman"/>
                <w:color w:val="0D0D0D" w:themeColor="text1" w:themeTint="F2"/>
              </w:rPr>
              <w:lastRenderedPageBreak/>
              <w:t>անհասկանալի է պահանջի էությունը՝ նկատի ունենալով այն հանգամանքը, որ որոշակի գործառույթների պատվիրակումը ինքնին ենթադրում է այլ սուբյեկտի կողմից համապատասխան գործառույթների փաստացի իրականացում:</w:t>
            </w:r>
          </w:p>
          <w:p w14:paraId="7B4A0A22" w14:textId="77777777" w:rsidR="00D704E5" w:rsidRPr="006529EB" w:rsidRDefault="00D704E5" w:rsidP="00BC253A">
            <w:pPr>
              <w:keepNext/>
              <w:suppressAutoHyphens/>
              <w:contextualSpacing/>
              <w:jc w:val="both"/>
              <w:rPr>
                <w:rFonts w:cs="Times New Roman"/>
                <w:bCs/>
                <w:i/>
                <w:iCs/>
              </w:rPr>
            </w:pPr>
          </w:p>
        </w:tc>
        <w:tc>
          <w:tcPr>
            <w:tcW w:w="7920" w:type="dxa"/>
          </w:tcPr>
          <w:p w14:paraId="6273A9C5" w14:textId="6B15D150" w:rsidR="00D704E5" w:rsidRPr="006529EB" w:rsidRDefault="00D704E5" w:rsidP="00BC253A">
            <w:pPr>
              <w:contextualSpacing/>
              <w:jc w:val="both"/>
              <w:rPr>
                <w:rFonts w:cs="Times New Roman"/>
                <w:b/>
                <w:bCs/>
              </w:rPr>
            </w:pPr>
            <w:r w:rsidRPr="006529EB">
              <w:rPr>
                <w:rFonts w:cs="Times New Roman"/>
                <w:b/>
                <w:bCs/>
              </w:rPr>
              <w:lastRenderedPageBreak/>
              <w:t xml:space="preserve">Ընդունվել է ի գիտություն։ </w:t>
            </w:r>
            <w:r w:rsidRPr="006529EB">
              <w:rPr>
                <w:rFonts w:cs="Times New Roman"/>
                <w:i/>
                <w:iCs/>
              </w:rPr>
              <w:t>Պարզաբանում։</w:t>
            </w:r>
            <w:r w:rsidRPr="006529EB">
              <w:rPr>
                <w:rFonts w:cs="Times New Roman"/>
              </w:rPr>
              <w:t xml:space="preserve"> Այստեղ խոսքը գնում է այն </w:t>
            </w:r>
            <w:r w:rsidR="009C11B6" w:rsidRPr="006529EB">
              <w:rPr>
                <w:rFonts w:cs="Times New Roman"/>
              </w:rPr>
              <w:t>իրավիճակների բացառման մասին</w:t>
            </w:r>
            <w:r w:rsidRPr="006529EB">
              <w:rPr>
                <w:rFonts w:cs="Times New Roman"/>
              </w:rPr>
              <w:t xml:space="preserve">, </w:t>
            </w:r>
            <w:r w:rsidR="009C11B6" w:rsidRPr="006529EB">
              <w:rPr>
                <w:rFonts w:cs="Times New Roman"/>
              </w:rPr>
              <w:t>երբ</w:t>
            </w:r>
            <w:r w:rsidRPr="006529EB">
              <w:rPr>
                <w:rFonts w:cs="Times New Roman"/>
              </w:rPr>
              <w:t xml:space="preserve"> կրիպտոակտիվներով ծառայություններ մատուցող անձը պատվիրակ</w:t>
            </w:r>
            <w:r w:rsidR="009C11B6" w:rsidRPr="006529EB">
              <w:rPr>
                <w:rFonts w:cs="Times New Roman"/>
              </w:rPr>
              <w:t>ի</w:t>
            </w:r>
            <w:r w:rsidRPr="006529EB">
              <w:rPr>
                <w:rFonts w:cs="Times New Roman"/>
              </w:rPr>
              <w:t xml:space="preserve"> իր գործառույթներն ամբողջությամբ կամ դրանց մեծ մասը միաժամանակ, և արդյունքում գործի լիցենզավորված ընկերություն, որը փաստացի ինքը չի իրականացնում այն գործառույթները, որի համար լիցենզավորվել է։ </w:t>
            </w:r>
          </w:p>
        </w:tc>
      </w:tr>
      <w:tr w:rsidR="00D704E5" w:rsidRPr="006529EB" w14:paraId="072A3ECC" w14:textId="77777777" w:rsidTr="00D704E5">
        <w:tc>
          <w:tcPr>
            <w:tcW w:w="2160" w:type="dxa"/>
            <w:vMerge/>
          </w:tcPr>
          <w:p w14:paraId="685F27F5" w14:textId="77777777" w:rsidR="00D704E5" w:rsidRPr="006529EB" w:rsidRDefault="00D704E5" w:rsidP="00BC253A">
            <w:pPr>
              <w:pStyle w:val="ListParagraph"/>
              <w:ind w:left="441" w:right="245"/>
              <w:jc w:val="both"/>
              <w:rPr>
                <w:rFonts w:cs="Times New Roman"/>
              </w:rPr>
            </w:pPr>
          </w:p>
        </w:tc>
        <w:tc>
          <w:tcPr>
            <w:tcW w:w="5580" w:type="dxa"/>
          </w:tcPr>
          <w:p w14:paraId="124ABC0D" w14:textId="5971ED73" w:rsidR="00D704E5" w:rsidRPr="006529EB" w:rsidRDefault="00D704E5" w:rsidP="00D704E5">
            <w:pPr>
              <w:ind w:right="245"/>
              <w:jc w:val="both"/>
              <w:rPr>
                <w:rFonts w:cs="Times New Roman"/>
                <w:b/>
              </w:rPr>
            </w:pPr>
            <w:r w:rsidRPr="006529EB">
              <w:rPr>
                <w:rFonts w:cs="Times New Roman"/>
              </w:rPr>
              <w:t>14</w:t>
            </w:r>
            <w:r w:rsidRPr="006529EB">
              <w:rPr>
                <w:rFonts w:ascii="Cambria Math" w:hAnsi="Cambria Math" w:cs="Cambria Math"/>
              </w:rPr>
              <w:t>․</w:t>
            </w:r>
            <w:r w:rsidRPr="006529EB">
              <w:rPr>
                <w:rFonts w:cs="Times New Roman"/>
              </w:rPr>
              <w:t xml:space="preserve"> Նախագծի 73-րդ հոդվածի 5-րդ մասում որպես գնային չարաշահման հնարավոր դրսևորում վկայակոչված է նույն հոդվածի 1-4-րդ կետերում նշված գործողություններ չհանդիսացող, սակայն նույնաբնույթ գործողությունների իրականացումը: Նշված կարգավորումը, մեր գնահատմամբ, վերանայման և որոշակիացման կարիք ունի՝ հաշվի առնելով համապատասխան պահանջների չպահպանման դեպքում Կենտրոնական բանկի կողմից պատասխանատվության միջոցների կիրառման ռիսկի առկայությունը:</w:t>
            </w:r>
          </w:p>
          <w:p w14:paraId="22B90CD9" w14:textId="77777777" w:rsidR="00D704E5" w:rsidRPr="006529EB" w:rsidRDefault="00D704E5" w:rsidP="00BC253A">
            <w:pPr>
              <w:keepNext/>
              <w:suppressAutoHyphens/>
              <w:ind w:left="351"/>
              <w:contextualSpacing/>
              <w:jc w:val="both"/>
              <w:rPr>
                <w:rFonts w:cs="Times New Roman"/>
                <w:bCs/>
                <w:i/>
                <w:iCs/>
              </w:rPr>
            </w:pPr>
          </w:p>
        </w:tc>
        <w:tc>
          <w:tcPr>
            <w:tcW w:w="7920" w:type="dxa"/>
          </w:tcPr>
          <w:p w14:paraId="192BAFC4" w14:textId="0DD1F5AA" w:rsidR="00D704E5" w:rsidRPr="006529EB" w:rsidRDefault="00D704E5" w:rsidP="00CD16A6">
            <w:pPr>
              <w:pStyle w:val="ListParagraph"/>
              <w:ind w:left="68" w:right="407" w:hanging="90"/>
              <w:jc w:val="both"/>
              <w:rPr>
                <w:rFonts w:cs="Times New Roman"/>
              </w:rPr>
            </w:pPr>
            <w:r w:rsidRPr="006529EB">
              <w:rPr>
                <w:rFonts w:cs="Times New Roman"/>
                <w:b/>
                <w:bCs/>
              </w:rPr>
              <w:t>Ընդունվել է։</w:t>
            </w:r>
            <w:r w:rsidRPr="006529EB">
              <w:rPr>
                <w:rFonts w:cs="Times New Roman"/>
              </w:rPr>
              <w:t xml:space="preserve"> 5-րդ մասը հանվել է նախագծից։ </w:t>
            </w:r>
          </w:p>
          <w:p w14:paraId="3F69F7E6" w14:textId="5F580F9D" w:rsidR="00D704E5" w:rsidRPr="006529EB" w:rsidRDefault="00D704E5" w:rsidP="00CD16A6">
            <w:pPr>
              <w:pStyle w:val="ListParagraph"/>
              <w:ind w:left="0" w:right="407"/>
              <w:jc w:val="both"/>
              <w:rPr>
                <w:rFonts w:cs="Times New Roman"/>
                <w:b/>
              </w:rPr>
            </w:pPr>
          </w:p>
          <w:p w14:paraId="505BEACD" w14:textId="12A29F75" w:rsidR="00D704E5" w:rsidRPr="006529EB" w:rsidRDefault="00D704E5" w:rsidP="00BC253A">
            <w:pPr>
              <w:pStyle w:val="ListParagraph"/>
              <w:ind w:left="259" w:right="407"/>
              <w:jc w:val="both"/>
              <w:rPr>
                <w:rFonts w:cs="Times New Roman"/>
                <w:b/>
              </w:rPr>
            </w:pPr>
          </w:p>
          <w:p w14:paraId="302E9C2D" w14:textId="77777777" w:rsidR="00D704E5" w:rsidRPr="006529EB" w:rsidRDefault="00D704E5" w:rsidP="00BC253A">
            <w:pPr>
              <w:ind w:left="-371"/>
              <w:contextualSpacing/>
              <w:jc w:val="both"/>
              <w:rPr>
                <w:rFonts w:cs="Times New Roman"/>
              </w:rPr>
            </w:pPr>
          </w:p>
        </w:tc>
      </w:tr>
      <w:tr w:rsidR="00D704E5" w:rsidRPr="006529EB" w14:paraId="3C0B9744" w14:textId="77777777" w:rsidTr="00D704E5">
        <w:tc>
          <w:tcPr>
            <w:tcW w:w="2160" w:type="dxa"/>
            <w:vMerge/>
          </w:tcPr>
          <w:p w14:paraId="280885DA" w14:textId="77777777" w:rsidR="00D704E5" w:rsidRPr="006529EB" w:rsidRDefault="00D704E5" w:rsidP="00BC253A">
            <w:pPr>
              <w:ind w:left="166" w:right="155"/>
              <w:contextualSpacing/>
              <w:jc w:val="both"/>
              <w:rPr>
                <w:rFonts w:cs="Times New Roman"/>
                <w:bCs/>
              </w:rPr>
            </w:pPr>
          </w:p>
        </w:tc>
        <w:tc>
          <w:tcPr>
            <w:tcW w:w="5580" w:type="dxa"/>
          </w:tcPr>
          <w:p w14:paraId="4AE9D982" w14:textId="4FE53048" w:rsidR="00D704E5" w:rsidRPr="006529EB" w:rsidRDefault="00D704E5" w:rsidP="00D704E5">
            <w:pPr>
              <w:ind w:right="155"/>
              <w:contextualSpacing/>
              <w:jc w:val="both"/>
              <w:rPr>
                <w:rFonts w:cs="Times New Roman"/>
                <w:b/>
              </w:rPr>
            </w:pPr>
            <w:r w:rsidRPr="006529EB">
              <w:rPr>
                <w:rFonts w:cs="Times New Roman"/>
                <w:bCs/>
              </w:rPr>
              <w:t>15</w:t>
            </w:r>
            <w:r w:rsidRPr="006529EB">
              <w:rPr>
                <w:rFonts w:ascii="Cambria Math" w:hAnsi="Cambria Math" w:cs="Cambria Math"/>
                <w:bCs/>
              </w:rPr>
              <w:t>․</w:t>
            </w:r>
            <w:r w:rsidRPr="006529EB">
              <w:rPr>
                <w:rFonts w:cs="Times New Roman"/>
                <w:bCs/>
              </w:rPr>
              <w:t xml:space="preserve"> </w:t>
            </w:r>
            <w:r w:rsidRPr="006529EB">
              <w:rPr>
                <w:rFonts w:cs="Times New Roman"/>
              </w:rPr>
              <w:t xml:space="preserve">Նախագծի եզրափակիչ բաժնում անհրաժեշտ է անդրադարձ կատարել նաև նախագծի ընդունումից բխող ենթաօրենսդրական ակտերի ընդունման ժամկետներին՝ հաշվի առնելով «Նորմատիվ իրավական ակտերի մասին» օրենքի 13-րդ հոդվածի 5-րդ մասի պահանջները: </w:t>
            </w:r>
          </w:p>
          <w:p w14:paraId="765DBE6E" w14:textId="084A1E88" w:rsidR="00D704E5" w:rsidRPr="006529EB" w:rsidRDefault="00D704E5" w:rsidP="00BC253A">
            <w:pPr>
              <w:keepNext/>
              <w:suppressAutoHyphens/>
              <w:ind w:left="351"/>
              <w:contextualSpacing/>
              <w:jc w:val="both"/>
              <w:rPr>
                <w:rFonts w:cs="Times New Roman"/>
                <w:bCs/>
                <w:i/>
                <w:iCs/>
              </w:rPr>
            </w:pPr>
          </w:p>
        </w:tc>
        <w:tc>
          <w:tcPr>
            <w:tcW w:w="7920" w:type="dxa"/>
          </w:tcPr>
          <w:p w14:paraId="055F8204" w14:textId="45EAB013" w:rsidR="00D704E5" w:rsidRPr="006529EB" w:rsidRDefault="00D704E5" w:rsidP="009F333A">
            <w:pPr>
              <w:rPr>
                <w:rFonts w:cs="Times New Roman"/>
                <w:b/>
                <w:bCs/>
              </w:rPr>
            </w:pPr>
            <w:r w:rsidRPr="006529EB">
              <w:rPr>
                <w:b/>
                <w:bCs/>
              </w:rPr>
              <w:t xml:space="preserve">Ընդունվել է: </w:t>
            </w:r>
            <w:r w:rsidRPr="006529EB">
              <w:t>Նախագծում կատարվել են համապատասխան լրացումներ։</w:t>
            </w:r>
            <w:r w:rsidRPr="006529EB">
              <w:rPr>
                <w:b/>
                <w:bCs/>
              </w:rPr>
              <w:t xml:space="preserve"> </w:t>
            </w:r>
          </w:p>
        </w:tc>
      </w:tr>
      <w:tr w:rsidR="00D704E5" w:rsidRPr="006529EB" w14:paraId="0F2FFB46" w14:textId="77777777" w:rsidTr="00D704E5">
        <w:tc>
          <w:tcPr>
            <w:tcW w:w="2160" w:type="dxa"/>
            <w:vMerge w:val="restart"/>
          </w:tcPr>
          <w:p w14:paraId="2C403C9F" w14:textId="77777777" w:rsidR="009C542D" w:rsidRPr="006529EB" w:rsidRDefault="009C542D" w:rsidP="00D704E5">
            <w:pPr>
              <w:contextualSpacing/>
              <w:jc w:val="center"/>
              <w:rPr>
                <w:b/>
              </w:rPr>
            </w:pPr>
          </w:p>
          <w:p w14:paraId="52EC33A6" w14:textId="77777777" w:rsidR="009C542D" w:rsidRPr="006529EB" w:rsidRDefault="009C542D" w:rsidP="00D704E5">
            <w:pPr>
              <w:contextualSpacing/>
              <w:jc w:val="center"/>
              <w:rPr>
                <w:b/>
              </w:rPr>
            </w:pPr>
          </w:p>
          <w:p w14:paraId="718CA9E5" w14:textId="77777777" w:rsidR="009C542D" w:rsidRPr="006529EB" w:rsidRDefault="009C542D" w:rsidP="009C542D">
            <w:pPr>
              <w:spacing w:line="240" w:lineRule="atLeast"/>
              <w:ind w:left="5760"/>
              <w:jc w:val="right"/>
              <w:rPr>
                <w:b/>
                <w:noProof w:val="0"/>
              </w:rPr>
            </w:pPr>
            <w:r w:rsidRPr="006529EB">
              <w:rPr>
                <w:bCs/>
                <w:i/>
              </w:rPr>
              <w:t xml:space="preserve">     </w:t>
            </w:r>
            <w:r w:rsidRPr="006529EB">
              <w:rPr>
                <w:b/>
              </w:rPr>
              <w:t>Պետաի</w:t>
            </w:r>
            <w:r w:rsidRPr="006529EB">
              <w:rPr>
                <w:b/>
              </w:rPr>
              <w:lastRenderedPageBreak/>
              <w:t>րավական վարչություն</w:t>
            </w:r>
          </w:p>
          <w:p w14:paraId="2CC470A5" w14:textId="7E7F4E94" w:rsidR="00D704E5" w:rsidRPr="006529EB" w:rsidRDefault="009C542D" w:rsidP="009C542D">
            <w:pPr>
              <w:contextualSpacing/>
              <w:rPr>
                <w:rFonts w:cs="Times New Roman"/>
                <w:b/>
                <w:lang w:val="en-US"/>
              </w:rPr>
            </w:pPr>
            <w:r w:rsidRPr="006529EB">
              <w:rPr>
                <w:b/>
              </w:rPr>
              <w:t>Պետ</w:t>
            </w:r>
            <w:r w:rsidR="00B571B9" w:rsidRPr="006529EB">
              <w:rPr>
                <w:b/>
              </w:rPr>
              <w:t>ա</w:t>
            </w:r>
            <w:r w:rsidRPr="006529EB">
              <w:rPr>
                <w:b/>
              </w:rPr>
              <w:t xml:space="preserve">իրավական վարչություն </w:t>
            </w:r>
          </w:p>
        </w:tc>
        <w:tc>
          <w:tcPr>
            <w:tcW w:w="5580" w:type="dxa"/>
          </w:tcPr>
          <w:p w14:paraId="1B195867" w14:textId="17DA2910" w:rsidR="00D704E5" w:rsidRPr="006529EB" w:rsidRDefault="00D704E5" w:rsidP="00D704E5">
            <w:pPr>
              <w:ind w:right="155"/>
              <w:contextualSpacing/>
              <w:jc w:val="both"/>
              <w:rPr>
                <w:rFonts w:cs="Times New Roman"/>
                <w:b/>
                <w:color w:val="0D0D0D" w:themeColor="text1" w:themeTint="F2"/>
              </w:rPr>
            </w:pPr>
            <w:r w:rsidRPr="006529EB">
              <w:rPr>
                <w:rFonts w:cs="Times New Roman"/>
                <w:color w:val="0D0D0D" w:themeColor="text1" w:themeTint="F2"/>
              </w:rPr>
              <w:lastRenderedPageBreak/>
              <w:t>16</w:t>
            </w:r>
            <w:r w:rsidRPr="006529EB">
              <w:rPr>
                <w:rFonts w:ascii="Cambria Math" w:hAnsi="Cambria Math" w:cs="Cambria Math"/>
                <w:color w:val="0D0D0D" w:themeColor="text1" w:themeTint="F2"/>
              </w:rPr>
              <w:t>․</w:t>
            </w:r>
            <w:r w:rsidRPr="006529EB">
              <w:rPr>
                <w:rFonts w:cs="Times New Roman"/>
                <w:color w:val="0D0D0D" w:themeColor="text1" w:themeTint="F2"/>
              </w:rPr>
              <w:t xml:space="preserve"> «Կրիպտոակտիվների մասին» օրենքի նախագծի </w:t>
            </w:r>
            <w:r w:rsidRPr="006529EB">
              <w:rPr>
                <w:rFonts w:cs="Times New Roman"/>
              </w:rPr>
              <w:t>(այսուհետ՝ Նախագիծ)</w:t>
            </w:r>
            <w:r w:rsidRPr="006529EB">
              <w:rPr>
                <w:rFonts w:cs="Times New Roman"/>
                <w:color w:val="0D0D0D" w:themeColor="text1" w:themeTint="F2"/>
              </w:rPr>
              <w:t xml:space="preserve"> 19-րդ հոդվածի 8-րդ մասի համաձայն՝ կրիպտոակտիվներով ծառայություններ մատուցող անձանց լիցենզավորման, Հայաստանի Հանրապետության տարածքում գործող և օտարերկրյա կրիպտոակտիվներով ծառայություններ մատուցող անձանց մասնաճյուղերի և </w:t>
            </w:r>
            <w:r w:rsidRPr="006529EB">
              <w:rPr>
                <w:rFonts w:cs="Times New Roman"/>
                <w:color w:val="0D0D0D" w:themeColor="text1" w:themeTint="F2"/>
              </w:rPr>
              <w:lastRenderedPageBreak/>
              <w:t xml:space="preserve">ներկայացուցչությունների, ինչպես նաև օրենքի 18-րդ հոդվածի 1-ին մասով նախատեսված անձանց կողմից կրիպտոակտիվներով ծառայությունների մատուցման թույլտվության կարգը սահմանվում է </w:t>
            </w:r>
            <w:r w:rsidRPr="006529EB">
              <w:rPr>
                <w:rFonts w:cs="Times New Roman"/>
                <w:b/>
                <w:color w:val="0D0D0D" w:themeColor="text1" w:themeTint="F2"/>
              </w:rPr>
              <w:t>բացառապես սույն օրենքով</w:t>
            </w:r>
            <w:r w:rsidRPr="006529EB">
              <w:rPr>
                <w:rFonts w:cs="Times New Roman"/>
                <w:color w:val="0D0D0D" w:themeColor="text1" w:themeTint="F2"/>
              </w:rPr>
              <w:t xml:space="preserve"> և Կենտրոնական բանկի նորմատիվ իրավական ակտերով: </w:t>
            </w:r>
            <w:r w:rsidRPr="006529EB">
              <w:rPr>
                <w:rFonts w:cs="Times New Roman"/>
                <w:b/>
                <w:color w:val="0D0D0D" w:themeColor="text1" w:themeTint="F2"/>
              </w:rPr>
              <w:t xml:space="preserve">Այլ օրենքներով այլ դրույթներ սահմանված լինելու դեպքում գործում են սույն օրենքի դրույթները: </w:t>
            </w:r>
            <w:r w:rsidRPr="006529EB">
              <w:rPr>
                <w:rFonts w:cs="Times New Roman"/>
                <w:bCs/>
              </w:rPr>
              <w:t xml:space="preserve">Մինչդեռ, նույն իրավաբանական ուժ ունեցող իրավական ակտերի միջև նախապատվության սահմանումը իրավաչափ չէ: </w:t>
            </w:r>
          </w:p>
          <w:p w14:paraId="2BAFF885" w14:textId="77777777" w:rsidR="00D704E5" w:rsidRPr="006529EB" w:rsidRDefault="00D704E5" w:rsidP="00BC253A">
            <w:pPr>
              <w:keepNext/>
              <w:suppressAutoHyphens/>
              <w:contextualSpacing/>
              <w:jc w:val="both"/>
              <w:rPr>
                <w:rFonts w:cs="Times New Roman"/>
                <w:bCs/>
                <w:i/>
                <w:iCs/>
              </w:rPr>
            </w:pPr>
          </w:p>
        </w:tc>
        <w:tc>
          <w:tcPr>
            <w:tcW w:w="7920" w:type="dxa"/>
          </w:tcPr>
          <w:p w14:paraId="1425A297" w14:textId="77777777" w:rsidR="00D704E5" w:rsidRPr="006529EB" w:rsidRDefault="00D704E5" w:rsidP="00BC253A">
            <w:pPr>
              <w:contextualSpacing/>
              <w:jc w:val="both"/>
              <w:rPr>
                <w:rFonts w:cs="Times New Roman"/>
                <w:b/>
                <w:bCs/>
              </w:rPr>
            </w:pPr>
          </w:p>
          <w:p w14:paraId="41859EA3" w14:textId="77777777" w:rsidR="00D704E5" w:rsidRPr="006529EB" w:rsidRDefault="00D704E5" w:rsidP="00BC253A">
            <w:pPr>
              <w:rPr>
                <w:rFonts w:eastAsia="GHEA Grapalat" w:cs="GHEA Grapalat"/>
              </w:rPr>
            </w:pPr>
            <w:r w:rsidRPr="006529EB">
              <w:rPr>
                <w:b/>
                <w:bCs/>
              </w:rPr>
              <w:t>Ընդունվել է:</w:t>
            </w:r>
          </w:p>
          <w:p w14:paraId="18DDC735" w14:textId="4E912B02" w:rsidR="00D704E5" w:rsidRPr="006529EB" w:rsidRDefault="00D704E5" w:rsidP="00BC253A">
            <w:pPr>
              <w:contextualSpacing/>
              <w:jc w:val="both"/>
              <w:rPr>
                <w:rFonts w:cs="Times New Roman"/>
                <w:b/>
                <w:bCs/>
              </w:rPr>
            </w:pPr>
            <w:r w:rsidRPr="006529EB">
              <w:rPr>
                <w:rFonts w:eastAsia="GHEA Grapalat" w:cs="GHEA Grapalat"/>
              </w:rPr>
              <w:t>Նախագիծը խմբագրվել է հետևյալ մոտեցմամբ</w:t>
            </w:r>
            <w:r w:rsidRPr="006529EB">
              <w:rPr>
                <w:rFonts w:ascii="Cambria Math" w:eastAsia="GHEA Grapalat" w:hAnsi="Cambria Math" w:cs="Cambria Math"/>
              </w:rPr>
              <w:t>․</w:t>
            </w:r>
            <w:r w:rsidRPr="006529EB">
              <w:rPr>
                <w:rFonts w:eastAsia="GHEA Grapalat" w:cs="GHEA Grapalat"/>
              </w:rPr>
              <w:t xml:space="preserve"> (…) Այլ օրենքներով այլ դրույթներ սահմանված լինելու դեպքում գործում են սույն օրենքի դրույթները՝ որպես Հայաստանի Հանրապետության կրիպտոակտիվների շուկայում ծագող հարաբերությունները կարգավորող հատուկ նորմեր:</w:t>
            </w:r>
          </w:p>
        </w:tc>
      </w:tr>
      <w:tr w:rsidR="00D704E5" w:rsidRPr="006529EB" w14:paraId="298CD232" w14:textId="77777777" w:rsidTr="00D704E5">
        <w:tc>
          <w:tcPr>
            <w:tcW w:w="2160" w:type="dxa"/>
            <w:vMerge/>
          </w:tcPr>
          <w:p w14:paraId="485E4387" w14:textId="77777777" w:rsidR="00D704E5" w:rsidRPr="006529EB" w:rsidRDefault="00D704E5" w:rsidP="00BC253A">
            <w:pPr>
              <w:pStyle w:val="List2"/>
              <w:ind w:left="76" w:firstLine="284"/>
              <w:jc w:val="both"/>
              <w:rPr>
                <w:rFonts w:cs="Times New Roman"/>
                <w:color w:val="0D0D0D" w:themeColor="text1" w:themeTint="F2"/>
              </w:rPr>
            </w:pPr>
          </w:p>
        </w:tc>
        <w:tc>
          <w:tcPr>
            <w:tcW w:w="5580" w:type="dxa"/>
          </w:tcPr>
          <w:p w14:paraId="38231BD6" w14:textId="099D34CC" w:rsidR="00D704E5" w:rsidRPr="006529EB" w:rsidRDefault="00D704E5" w:rsidP="00D704E5">
            <w:pPr>
              <w:pStyle w:val="List2"/>
              <w:ind w:left="76" w:firstLine="0"/>
              <w:jc w:val="both"/>
              <w:rPr>
                <w:rFonts w:cs="Times New Roman"/>
                <w:b/>
                <w:color w:val="0D0D0D" w:themeColor="text1" w:themeTint="F2"/>
              </w:rPr>
            </w:pPr>
            <w:r w:rsidRPr="006529EB">
              <w:rPr>
                <w:rFonts w:cs="Times New Roman"/>
                <w:color w:val="0D0D0D" w:themeColor="text1" w:themeTint="F2"/>
              </w:rPr>
              <w:t>17</w:t>
            </w:r>
            <w:r w:rsidRPr="006529EB">
              <w:rPr>
                <w:rFonts w:ascii="Cambria Math" w:hAnsi="Cambria Math" w:cs="Cambria Math"/>
                <w:color w:val="0D0D0D" w:themeColor="text1" w:themeTint="F2"/>
              </w:rPr>
              <w:t>․</w:t>
            </w:r>
            <w:r w:rsidRPr="006529EB">
              <w:rPr>
                <w:rFonts w:cs="Times New Roman"/>
                <w:color w:val="0D0D0D" w:themeColor="text1" w:themeTint="F2"/>
              </w:rPr>
              <w:t xml:space="preserve"> Նախագծի 20-րդ հոդվածով դիմորդի լիցենզավորումը կամ կրիպտոակտիվներով լրացուցիչ ծառայություն մատուցելու լիցենզիայի տրամադրումը Կենտրոնական բանկի կողմից մերժելու հիմքերը չափազանց գնահատողական են: Օրինակ, որպես այդպիսին գնահատվում է ի թիվս այլնի այն դեպքը, երբ Կենտրոնական բանկի հիմնավորված կարծիքով </w:t>
            </w:r>
            <w:r w:rsidRPr="006529EB">
              <w:rPr>
                <w:rFonts w:cs="Times New Roman"/>
                <w:b/>
                <w:color w:val="0D0D0D" w:themeColor="text1" w:themeTint="F2"/>
              </w:rPr>
              <w:t xml:space="preserve">գործարար ծրագիրն անիրատեսական է, </w:t>
            </w:r>
            <w:r w:rsidRPr="006529EB">
              <w:rPr>
                <w:rFonts w:cs="Times New Roman"/>
                <w:color w:val="0D0D0D" w:themeColor="text1" w:themeTint="F2"/>
              </w:rPr>
              <w:t xml:space="preserve">կամ գործելով գործարար ծրագրին համապատասխան` </w:t>
            </w:r>
            <w:r w:rsidRPr="006529EB">
              <w:rPr>
                <w:rFonts w:cs="Times New Roman"/>
                <w:b/>
                <w:color w:val="0D0D0D" w:themeColor="text1" w:themeTint="F2"/>
              </w:rPr>
              <w:t xml:space="preserve">դիմորդը չի կարող բնականոն մատուցել կրիպտոակտիվներով ծառայություններ </w:t>
            </w:r>
            <w:r w:rsidRPr="006529EB">
              <w:rPr>
                <w:rFonts w:cs="Times New Roman"/>
                <w:color w:val="0D0D0D" w:themeColor="text1" w:themeTint="F2"/>
              </w:rPr>
              <w:t xml:space="preserve">կամ </w:t>
            </w:r>
            <w:r w:rsidRPr="006529EB">
              <w:rPr>
                <w:rFonts w:cs="Times New Roman"/>
                <w:b/>
                <w:color w:val="0D0D0D" w:themeColor="text1" w:themeTint="F2"/>
              </w:rPr>
              <w:t>կարող է խաթարել կրիպտոակտիվների շուկայի անաղարտությունը կամ ֆիանանսական կայունությունը</w:t>
            </w:r>
            <w:r w:rsidRPr="006529EB">
              <w:rPr>
                <w:rFonts w:cs="Times New Roman"/>
                <w:color w:val="0D0D0D" w:themeColor="text1" w:themeTint="F2"/>
              </w:rPr>
              <w:t xml:space="preserve"> կամ երբ </w:t>
            </w:r>
            <w:r w:rsidRPr="006529EB">
              <w:rPr>
                <w:rFonts w:cs="Times New Roman"/>
                <w:b/>
                <w:color w:val="0D0D0D" w:themeColor="text1" w:themeTint="F2"/>
              </w:rPr>
              <w:t xml:space="preserve">Կենտրոնական բանկի հիմնավորված կարծիքով ծրագրվում է շրջանառել հանցավոր ճանապարհով ձեռք բերված միջոցներ: </w:t>
            </w:r>
            <w:r w:rsidRPr="006529EB">
              <w:rPr>
                <w:rFonts w:cs="Times New Roman"/>
                <w:color w:val="0D0D0D" w:themeColor="text1" w:themeTint="F2"/>
              </w:rPr>
              <w:t>Գտնում ենք, որ լիցենզիայի չտրամադրման համար գնահատողական հիմքեր նախատեսելը խնդրահարույց է:</w:t>
            </w:r>
          </w:p>
          <w:p w14:paraId="005588DD" w14:textId="77777777" w:rsidR="00D704E5" w:rsidRPr="006529EB" w:rsidRDefault="00D704E5" w:rsidP="00BC253A">
            <w:pPr>
              <w:keepNext/>
              <w:suppressAutoHyphens/>
              <w:contextualSpacing/>
              <w:jc w:val="both"/>
              <w:rPr>
                <w:rFonts w:cs="Times New Roman"/>
                <w:bCs/>
                <w:i/>
                <w:iCs/>
              </w:rPr>
            </w:pPr>
          </w:p>
        </w:tc>
        <w:tc>
          <w:tcPr>
            <w:tcW w:w="7920" w:type="dxa"/>
          </w:tcPr>
          <w:p w14:paraId="1315A8C4" w14:textId="596465A8" w:rsidR="00D704E5" w:rsidRPr="006529EB" w:rsidRDefault="00D704E5" w:rsidP="00BC253A">
            <w:pPr>
              <w:ind w:left="141"/>
              <w:contextualSpacing/>
              <w:jc w:val="both"/>
              <w:rPr>
                <w:rFonts w:cs="Times New Roman"/>
              </w:rPr>
            </w:pPr>
            <w:r w:rsidRPr="006529EB">
              <w:rPr>
                <w:rFonts w:cs="Times New Roman"/>
                <w:b/>
                <w:bCs/>
                <w:color w:val="0D0D0D" w:themeColor="text1" w:themeTint="F2"/>
              </w:rPr>
              <w:t>Չի ընդունվել։</w:t>
            </w:r>
            <w:r w:rsidRPr="006529EB">
              <w:rPr>
                <w:rFonts w:cs="Times New Roman"/>
                <w:color w:val="0D0D0D" w:themeColor="text1" w:themeTint="F2"/>
              </w:rPr>
              <w:t xml:space="preserve"> </w:t>
            </w:r>
          </w:p>
          <w:p w14:paraId="2C64C56C" w14:textId="30F6785B" w:rsidR="00D704E5" w:rsidRPr="006529EB" w:rsidRDefault="00D704E5" w:rsidP="00BC253A">
            <w:pPr>
              <w:ind w:left="141"/>
              <w:contextualSpacing/>
              <w:jc w:val="both"/>
              <w:rPr>
                <w:rFonts w:cs="Times New Roman"/>
              </w:rPr>
            </w:pPr>
          </w:p>
          <w:p w14:paraId="7A7416C5" w14:textId="48A53C65" w:rsidR="00D704E5" w:rsidRPr="006529EB" w:rsidRDefault="00D704E5" w:rsidP="00BC253A">
            <w:pPr>
              <w:ind w:left="141"/>
              <w:contextualSpacing/>
              <w:jc w:val="both"/>
              <w:rPr>
                <w:rFonts w:cs="Times New Roman"/>
              </w:rPr>
            </w:pPr>
            <w:r w:rsidRPr="006529EB">
              <w:rPr>
                <w:rFonts w:cs="Times New Roman"/>
              </w:rPr>
              <w:t>Մանրամասն տե՛ս սույն ամփոփաթերթի 2-րդ կետի 4-րդ ենթակետով ներկայացված ԿԲ եզրակացությունը։</w:t>
            </w:r>
          </w:p>
          <w:p w14:paraId="6C70417A" w14:textId="11D0D204" w:rsidR="00D704E5" w:rsidRPr="006529EB" w:rsidRDefault="00D704E5" w:rsidP="00BC253A">
            <w:pPr>
              <w:contextualSpacing/>
              <w:jc w:val="both"/>
              <w:rPr>
                <w:rFonts w:cs="Times New Roman"/>
                <w:b/>
                <w:bCs/>
              </w:rPr>
            </w:pPr>
          </w:p>
        </w:tc>
      </w:tr>
      <w:tr w:rsidR="00D704E5" w:rsidRPr="006529EB" w14:paraId="0EE40508" w14:textId="77777777" w:rsidTr="00D704E5">
        <w:trPr>
          <w:trHeight w:val="3230"/>
        </w:trPr>
        <w:tc>
          <w:tcPr>
            <w:tcW w:w="2160" w:type="dxa"/>
            <w:vMerge/>
          </w:tcPr>
          <w:p w14:paraId="44937B0F" w14:textId="77777777" w:rsidR="00D704E5" w:rsidRPr="006529EB" w:rsidRDefault="00D704E5" w:rsidP="00BC253A">
            <w:pPr>
              <w:pStyle w:val="List2"/>
              <w:ind w:left="76" w:right="155" w:firstLine="0"/>
              <w:jc w:val="both"/>
              <w:rPr>
                <w:rFonts w:cs="Times New Roman"/>
                <w:color w:val="0D0D0D" w:themeColor="text1" w:themeTint="F2"/>
              </w:rPr>
            </w:pPr>
          </w:p>
        </w:tc>
        <w:tc>
          <w:tcPr>
            <w:tcW w:w="5580" w:type="dxa"/>
          </w:tcPr>
          <w:p w14:paraId="3716C056" w14:textId="7551EB96" w:rsidR="00D704E5" w:rsidRPr="006529EB" w:rsidRDefault="00D704E5" w:rsidP="00D704E5">
            <w:pPr>
              <w:pStyle w:val="List2"/>
              <w:ind w:left="76" w:right="155" w:firstLine="0"/>
              <w:jc w:val="both"/>
              <w:rPr>
                <w:rFonts w:cs="Times New Roman"/>
                <w:bCs/>
                <w:i/>
                <w:iCs/>
              </w:rPr>
            </w:pPr>
            <w:r w:rsidRPr="006529EB">
              <w:rPr>
                <w:rFonts w:cs="Times New Roman"/>
                <w:color w:val="0D0D0D" w:themeColor="text1" w:themeTint="F2"/>
              </w:rPr>
              <w:t>18</w:t>
            </w:r>
            <w:r w:rsidR="006529EB">
              <w:rPr>
                <w:rFonts w:ascii="Cambria Math" w:hAnsi="Cambria Math" w:cs="Times New Roman"/>
                <w:color w:val="0D0D0D" w:themeColor="text1" w:themeTint="F2"/>
              </w:rPr>
              <w:t>․</w:t>
            </w:r>
            <w:r w:rsidRPr="006529EB">
              <w:rPr>
                <w:rFonts w:cs="Times New Roman"/>
                <w:color w:val="0D0D0D" w:themeColor="text1" w:themeTint="F2"/>
              </w:rPr>
              <w:t xml:space="preserve">Նախագծով Կենտրոնական բանկի համար նախատեսված են մի շարք լիազորություններ, որոնց մի մասը չի համապատասխանում Սահմանադրության 6-րդ հոդվածով նախատեսված օրինականության սկզբունքին, որի համաձայն՝ </w:t>
            </w:r>
            <w:r w:rsidRPr="006529EB">
              <w:rPr>
                <w:rFonts w:cs="Times New Roman"/>
                <w:b/>
                <w:color w:val="0D0D0D" w:themeColor="text1" w:themeTint="F2"/>
              </w:rPr>
              <w:t xml:space="preserve">լիազորող նորմերը պետք է համապատասխանեն իրավական որոշակիության սկզբունքին </w:t>
            </w:r>
            <w:r w:rsidRPr="006529EB">
              <w:rPr>
                <w:rFonts w:cs="Times New Roman"/>
                <w:color w:val="0D0D0D" w:themeColor="text1" w:themeTint="F2"/>
              </w:rPr>
              <w:t>(օրինակ՝ 9-րդ հոդվածի 4-րդ մաս, 14-րդ հոդվածի 9-րդ մաս, 17-րդ հոդվածի 6-րդ մաս, 32-</w:t>
            </w:r>
            <w:proofErr w:type="spellStart"/>
            <w:r w:rsidRPr="006529EB">
              <w:rPr>
                <w:rFonts w:cs="Times New Roman"/>
                <w:bCs/>
                <w:noProof w:val="0"/>
              </w:rPr>
              <w:t>րդ</w:t>
            </w:r>
            <w:proofErr w:type="spellEnd"/>
            <w:r w:rsidRPr="006529EB">
              <w:rPr>
                <w:rFonts w:cs="Times New Roman"/>
                <w:bCs/>
                <w:noProof w:val="0"/>
              </w:rPr>
              <w:t xml:space="preserve"> հոդվածի 8-րդ մաս և այլն): </w:t>
            </w:r>
          </w:p>
        </w:tc>
        <w:tc>
          <w:tcPr>
            <w:tcW w:w="7920" w:type="dxa"/>
          </w:tcPr>
          <w:p w14:paraId="7EDD67CC" w14:textId="64DEB9CC" w:rsidR="00D704E5" w:rsidRPr="006529EB" w:rsidRDefault="00D704E5" w:rsidP="00BC253A">
            <w:pPr>
              <w:contextualSpacing/>
              <w:jc w:val="both"/>
              <w:rPr>
                <w:rFonts w:cs="Times New Roman"/>
                <w:b/>
                <w:bCs/>
              </w:rPr>
            </w:pPr>
            <w:r w:rsidRPr="006529EB">
              <w:rPr>
                <w:rFonts w:cs="Times New Roman"/>
                <w:b/>
                <w:bCs/>
              </w:rPr>
              <w:t xml:space="preserve">Ընդունվել է։ </w:t>
            </w:r>
            <w:r w:rsidRPr="006529EB">
              <w:rPr>
                <w:rFonts w:cs="Times New Roman"/>
              </w:rPr>
              <w:t xml:space="preserve">Նախագծում ԿԲ կողմից լրացուցիչ պահանջներ սահմանելու ԿԲ իրավասությունը փոխարինվել է օրենքով առկա կարգավորումների նկատմամբ (շրջանակում) մանրամասն կանոններ սահմանելու ԿԲ իրավասությամբ։ Այս մոտեցմամբ կապահովվի օրենքով ամրագրված կարգավորումների հիմքում ընկած նպատակների իրագործման համար անհրաժեշտ մանրամասն պայմանները կամ կանոնները։ </w:t>
            </w:r>
            <w:r w:rsidRPr="006529EB">
              <w:rPr>
                <w:rFonts w:cs="Times New Roman"/>
                <w:b/>
                <w:bCs/>
              </w:rPr>
              <w:t xml:space="preserve"> </w:t>
            </w:r>
          </w:p>
        </w:tc>
      </w:tr>
      <w:tr w:rsidR="006529EB" w:rsidRPr="006529EB" w14:paraId="12B62874" w14:textId="77777777" w:rsidTr="00D704E5">
        <w:trPr>
          <w:trHeight w:val="3230"/>
        </w:trPr>
        <w:tc>
          <w:tcPr>
            <w:tcW w:w="2160" w:type="dxa"/>
            <w:vMerge w:val="restart"/>
          </w:tcPr>
          <w:p w14:paraId="19381208" w14:textId="236D1964" w:rsidR="006529EB" w:rsidRPr="006529EB" w:rsidRDefault="006529EB" w:rsidP="00FD3802">
            <w:pPr>
              <w:pStyle w:val="List2"/>
              <w:ind w:left="76" w:right="155" w:firstLine="0"/>
              <w:jc w:val="both"/>
              <w:rPr>
                <w:rFonts w:cs="Times New Roman"/>
                <w:color w:val="0D0D0D" w:themeColor="text1" w:themeTint="F2"/>
              </w:rPr>
            </w:pPr>
            <w:r w:rsidRPr="006529EB">
              <w:rPr>
                <w:b/>
                <w:bCs/>
              </w:rPr>
              <w:t>Ֆինանսատնտեսական վարչության</w:t>
            </w:r>
          </w:p>
        </w:tc>
        <w:tc>
          <w:tcPr>
            <w:tcW w:w="5580" w:type="dxa"/>
          </w:tcPr>
          <w:p w14:paraId="1718782D" w14:textId="0E147B2A" w:rsidR="006529EB" w:rsidRPr="006529EB" w:rsidRDefault="006529EB" w:rsidP="00FD3802">
            <w:pPr>
              <w:pStyle w:val="List2"/>
              <w:ind w:left="76" w:right="155" w:firstLine="0"/>
              <w:jc w:val="both"/>
              <w:rPr>
                <w:rFonts w:cs="Times New Roman"/>
                <w:color w:val="0D0D0D" w:themeColor="text1" w:themeTint="F2"/>
              </w:rPr>
            </w:pPr>
            <w:r>
              <w:t>19</w:t>
            </w:r>
            <w:r>
              <w:rPr>
                <w:rFonts w:ascii="Cambria Math" w:hAnsi="Cambria Math"/>
              </w:rPr>
              <w:t xml:space="preserve">․ </w:t>
            </w:r>
            <w:r w:rsidRPr="006529EB">
              <w:t>Առաջարկում են քննության առարկա դարձնել Ֆինանսների նախարարության կողմից ներկայացված դիտարկումը՝ նախագծին կից օրենքների փաթեթում կրիպտոակտիվների ոլորտի մասով հարկային կարգավորումները ներառելու հարցը:</w:t>
            </w:r>
          </w:p>
        </w:tc>
        <w:tc>
          <w:tcPr>
            <w:tcW w:w="7920" w:type="dxa"/>
          </w:tcPr>
          <w:p w14:paraId="20C723D3" w14:textId="3CB8924B" w:rsidR="006529EB" w:rsidRPr="006529EB" w:rsidRDefault="006529EB" w:rsidP="00FD3802">
            <w:pPr>
              <w:contextualSpacing/>
              <w:jc w:val="both"/>
              <w:rPr>
                <w:rFonts w:cs="Times New Roman"/>
                <w:b/>
                <w:bCs/>
              </w:rPr>
            </w:pPr>
            <w:r w:rsidRPr="006529EB">
              <w:rPr>
                <w:rFonts w:cs="Times New Roman"/>
                <w:b/>
                <w:bCs/>
              </w:rPr>
              <w:t xml:space="preserve">Ընդուվել է։ </w:t>
            </w:r>
            <w:r w:rsidRPr="006529EB">
              <w:rPr>
                <w:rFonts w:cs="Times New Roman"/>
              </w:rPr>
              <w:t>Հարկային օրենսգրքի փոփոխությունների և լրացումների նախագիծը ներառվել է նախագծին կից օրենքների նախագծերի փաթեթում։</w:t>
            </w:r>
            <w:r w:rsidRPr="006529EB">
              <w:rPr>
                <w:rFonts w:cs="Times New Roman"/>
                <w:b/>
                <w:bCs/>
              </w:rPr>
              <w:t xml:space="preserve"> </w:t>
            </w:r>
          </w:p>
        </w:tc>
      </w:tr>
      <w:tr w:rsidR="006529EB" w:rsidRPr="006529EB" w14:paraId="43E091D3" w14:textId="77777777" w:rsidTr="00D704E5">
        <w:trPr>
          <w:trHeight w:val="3230"/>
        </w:trPr>
        <w:tc>
          <w:tcPr>
            <w:tcW w:w="2160" w:type="dxa"/>
            <w:vMerge/>
          </w:tcPr>
          <w:p w14:paraId="713A9299" w14:textId="2B73D1C5" w:rsidR="006529EB" w:rsidRPr="006529EB" w:rsidRDefault="006529EB" w:rsidP="00A95B6A">
            <w:pPr>
              <w:pStyle w:val="List2"/>
              <w:ind w:left="76" w:right="155" w:firstLine="0"/>
              <w:jc w:val="both"/>
              <w:rPr>
                <w:rFonts w:cs="Times New Roman"/>
                <w:b/>
                <w:bCs/>
                <w:color w:val="0D0D0D" w:themeColor="text1" w:themeTint="F2"/>
                <w:lang w:val="en-US"/>
              </w:rPr>
            </w:pPr>
          </w:p>
        </w:tc>
        <w:tc>
          <w:tcPr>
            <w:tcW w:w="5580" w:type="dxa"/>
          </w:tcPr>
          <w:p w14:paraId="6F16FB14" w14:textId="096C18B4" w:rsidR="006529EB" w:rsidRPr="006529EB" w:rsidRDefault="006529EB" w:rsidP="00A95B6A">
            <w:pPr>
              <w:pStyle w:val="List2"/>
              <w:ind w:left="76" w:right="155" w:firstLine="0"/>
              <w:jc w:val="both"/>
              <w:rPr>
                <w:rFonts w:cs="Times New Roman"/>
                <w:color w:val="0D0D0D" w:themeColor="text1" w:themeTint="F2"/>
              </w:rPr>
            </w:pPr>
            <w:r>
              <w:t>20</w:t>
            </w:r>
            <w:r>
              <w:rPr>
                <w:rFonts w:ascii="Cambria Math" w:hAnsi="Cambria Math"/>
              </w:rPr>
              <w:t xml:space="preserve">․ </w:t>
            </w:r>
            <w:r w:rsidRPr="006529EB">
              <w:t xml:space="preserve">Առաջարկում ենք քննարկման առարկա դարձնել արդյոք հակասություններ առկա չեն սույն փաթեթի և ՀՀ Ազգային ժողով ներկայացված Հայաստանի Հանրապետության քաղաքացիական օրենսգրքում լրացումներ կատարելու մասին, Ապօրինի ծագում ունեցող գույքի բռնագանձման մասին օրենքում փոփոխություններ կատարելու մասին, Անկանխիկ գործառնությունների մասին օրենքում լրացում կատարելու մասին և Հանրային ծառայության մասին օրենքում փոփոխություն կատարելու մասին օրենքների </w:t>
            </w:r>
            <w:r w:rsidRPr="006529EB">
              <w:lastRenderedPageBreak/>
              <w:t>նախագծերի՝ կրիպտոակտիվներին առնչվող կարգավորումների միջև։</w:t>
            </w:r>
          </w:p>
        </w:tc>
        <w:tc>
          <w:tcPr>
            <w:tcW w:w="7920" w:type="dxa"/>
          </w:tcPr>
          <w:p w14:paraId="5FAB2613" w14:textId="5DB0CDD5" w:rsidR="006529EB" w:rsidRPr="006529EB" w:rsidRDefault="006529EB" w:rsidP="00A95B6A">
            <w:pPr>
              <w:contextualSpacing/>
              <w:jc w:val="both"/>
              <w:rPr>
                <w:rFonts w:cs="Times New Roman"/>
                <w:b/>
                <w:bCs/>
              </w:rPr>
            </w:pPr>
            <w:r w:rsidRPr="006529EB">
              <w:rPr>
                <w:rFonts w:cs="Times New Roman"/>
                <w:b/>
                <w:bCs/>
              </w:rPr>
              <w:lastRenderedPageBreak/>
              <w:t xml:space="preserve">Ընդունվել է ի գիտություն։ </w:t>
            </w:r>
            <w:r w:rsidRPr="006529EB">
              <w:rPr>
                <w:rFonts w:cs="Times New Roman"/>
                <w:i/>
                <w:iCs/>
              </w:rPr>
              <w:t>Պարզաբանում։</w:t>
            </w:r>
            <w:r w:rsidRPr="006529EB">
              <w:rPr>
                <w:rFonts w:cs="Times New Roman"/>
                <w:b/>
                <w:bCs/>
              </w:rPr>
              <w:t xml:space="preserve"> </w:t>
            </w:r>
            <w:r w:rsidRPr="006529EB">
              <w:rPr>
                <w:rFonts w:cs="Times New Roman"/>
              </w:rPr>
              <w:t xml:space="preserve">Սույն փաթեթն ու ՀՀ ազգային ժողով ներկայացված փաթեթը համատեղ դիտարկվել և համապատասխանեցվել են։ </w:t>
            </w:r>
          </w:p>
        </w:tc>
      </w:tr>
      <w:tr w:rsidR="006529EB" w:rsidRPr="006529EB" w14:paraId="0C69ABF3" w14:textId="77777777" w:rsidTr="00D704E5">
        <w:trPr>
          <w:trHeight w:val="3230"/>
        </w:trPr>
        <w:tc>
          <w:tcPr>
            <w:tcW w:w="2160" w:type="dxa"/>
            <w:vMerge/>
          </w:tcPr>
          <w:p w14:paraId="19472D36" w14:textId="77777777" w:rsidR="006529EB" w:rsidRPr="006529EB" w:rsidRDefault="006529EB" w:rsidP="00A95B6A">
            <w:pPr>
              <w:pStyle w:val="List2"/>
              <w:ind w:left="76" w:right="155" w:firstLine="0"/>
              <w:jc w:val="both"/>
              <w:rPr>
                <w:rFonts w:cs="Times New Roman"/>
                <w:color w:val="0D0D0D" w:themeColor="text1" w:themeTint="F2"/>
              </w:rPr>
            </w:pPr>
          </w:p>
        </w:tc>
        <w:tc>
          <w:tcPr>
            <w:tcW w:w="5580" w:type="dxa"/>
          </w:tcPr>
          <w:p w14:paraId="5A9E3720" w14:textId="5A4D524C" w:rsidR="006529EB" w:rsidRPr="006529EB" w:rsidRDefault="006529EB" w:rsidP="00A95B6A">
            <w:pPr>
              <w:pStyle w:val="List2"/>
              <w:ind w:left="76" w:right="155" w:firstLine="0"/>
              <w:jc w:val="both"/>
              <w:rPr>
                <w:rFonts w:cs="Times New Roman"/>
                <w:color w:val="0D0D0D" w:themeColor="text1" w:themeTint="F2"/>
              </w:rPr>
            </w:pPr>
            <w:r>
              <w:t>21</w:t>
            </w:r>
            <w:r>
              <w:rPr>
                <w:rFonts w:ascii="Cambria Math" w:hAnsi="Cambria Math"/>
              </w:rPr>
              <w:t xml:space="preserve">․ </w:t>
            </w:r>
            <w:r w:rsidRPr="006529EB">
              <w:t>Առաջարկում ենք վերանայել նախագծի հիմնավորումը՝ առավել մանրամասն և բովանդակային անդրադառնալով առաջարկվող կարգավորումներին և հարակից մի շարք օրենքներում փոփոխություններ կատարելուն։</w:t>
            </w:r>
          </w:p>
        </w:tc>
        <w:tc>
          <w:tcPr>
            <w:tcW w:w="7920" w:type="dxa"/>
          </w:tcPr>
          <w:p w14:paraId="02B59D8C" w14:textId="09791E78" w:rsidR="006529EB" w:rsidRPr="006529EB" w:rsidRDefault="006529EB" w:rsidP="00A95B6A">
            <w:pPr>
              <w:contextualSpacing/>
              <w:jc w:val="both"/>
              <w:rPr>
                <w:rFonts w:cs="Times New Roman"/>
                <w:b/>
                <w:bCs/>
              </w:rPr>
            </w:pPr>
            <w:r w:rsidRPr="006529EB">
              <w:rPr>
                <w:rFonts w:cs="Times New Roman"/>
                <w:b/>
                <w:bCs/>
              </w:rPr>
              <w:t xml:space="preserve">Չի ընդունվել։ </w:t>
            </w:r>
            <w:r w:rsidRPr="006529EB">
              <w:rPr>
                <w:rFonts w:cs="Times New Roman"/>
              </w:rPr>
              <w:t>Նախագծի հիմնավորման 3-րդ կետը հստակ և մանրամասն անդրադարձ է կատարում առաջակվող կարգավորումներին։</w:t>
            </w:r>
          </w:p>
        </w:tc>
      </w:tr>
      <w:tr w:rsidR="006529EB" w:rsidRPr="006529EB" w14:paraId="6E3C0FD2" w14:textId="77777777" w:rsidTr="00D704E5">
        <w:trPr>
          <w:trHeight w:val="3230"/>
        </w:trPr>
        <w:tc>
          <w:tcPr>
            <w:tcW w:w="2160" w:type="dxa"/>
            <w:vMerge/>
          </w:tcPr>
          <w:p w14:paraId="6586CBCA" w14:textId="77777777" w:rsidR="006529EB" w:rsidRPr="006529EB" w:rsidRDefault="006529EB" w:rsidP="00A95B6A">
            <w:pPr>
              <w:pStyle w:val="List2"/>
              <w:ind w:left="76" w:right="155" w:firstLine="0"/>
              <w:jc w:val="both"/>
              <w:rPr>
                <w:rFonts w:cs="Times New Roman"/>
                <w:color w:val="0D0D0D" w:themeColor="text1" w:themeTint="F2"/>
              </w:rPr>
            </w:pPr>
          </w:p>
        </w:tc>
        <w:tc>
          <w:tcPr>
            <w:tcW w:w="5580" w:type="dxa"/>
          </w:tcPr>
          <w:p w14:paraId="7F44F61F" w14:textId="062649E7" w:rsidR="006529EB" w:rsidRPr="006529EB" w:rsidRDefault="006529EB" w:rsidP="00A95B6A">
            <w:pPr>
              <w:pStyle w:val="List2"/>
              <w:ind w:left="76" w:right="155" w:firstLine="0"/>
              <w:jc w:val="both"/>
              <w:rPr>
                <w:rFonts w:cs="Times New Roman"/>
                <w:color w:val="0D0D0D" w:themeColor="text1" w:themeTint="F2"/>
              </w:rPr>
            </w:pPr>
            <w:r>
              <w:t>22</w:t>
            </w:r>
            <w:r>
              <w:rPr>
                <w:rFonts w:ascii="Cambria Math" w:hAnsi="Cambria Math"/>
              </w:rPr>
              <w:t xml:space="preserve">․ </w:t>
            </w:r>
            <w:r w:rsidRPr="006529EB">
              <w:t>Նախագծի «Անցումային դրույթներում» բացակայում է ենքաօրենսդրական նորմատիվ իրավական ակտերի ընդունման մասով տեղեկատվությունը:</w:t>
            </w:r>
          </w:p>
        </w:tc>
        <w:tc>
          <w:tcPr>
            <w:tcW w:w="7920" w:type="dxa"/>
          </w:tcPr>
          <w:p w14:paraId="13A2F921" w14:textId="0D49F1C7" w:rsidR="006529EB" w:rsidRPr="006529EB" w:rsidRDefault="006529EB" w:rsidP="00A95B6A">
            <w:pPr>
              <w:contextualSpacing/>
              <w:jc w:val="both"/>
              <w:rPr>
                <w:rFonts w:cs="Times New Roman"/>
                <w:b/>
                <w:bCs/>
              </w:rPr>
            </w:pPr>
            <w:r w:rsidRPr="006529EB">
              <w:rPr>
                <w:b/>
                <w:bCs/>
              </w:rPr>
              <w:t xml:space="preserve">Ընդունվել է: </w:t>
            </w:r>
            <w:r w:rsidRPr="006529EB">
              <w:t>Նախագծում կատարվել են համապատասխան լրացումներ։</w:t>
            </w:r>
          </w:p>
        </w:tc>
      </w:tr>
      <w:tr w:rsidR="00A95B6A" w:rsidRPr="006529EB" w14:paraId="16046ADF" w14:textId="77777777" w:rsidTr="00B906D7">
        <w:trPr>
          <w:trHeight w:val="3230"/>
        </w:trPr>
        <w:tc>
          <w:tcPr>
            <w:tcW w:w="2160" w:type="dxa"/>
          </w:tcPr>
          <w:p w14:paraId="319E0DF7" w14:textId="74F687C9" w:rsidR="00A95B6A" w:rsidRPr="006529EB" w:rsidRDefault="00A95B6A" w:rsidP="006529EB">
            <w:pPr>
              <w:tabs>
                <w:tab w:val="left" w:pos="1440"/>
              </w:tabs>
              <w:spacing w:line="276" w:lineRule="auto"/>
              <w:ind w:left="-15" w:right="-23"/>
              <w:jc w:val="both"/>
            </w:pPr>
            <w:r w:rsidRPr="006529EB">
              <w:rPr>
                <w:b/>
              </w:rPr>
              <w:lastRenderedPageBreak/>
              <w:t>Կարգավորման ազդեցության գնահատման վարչություն</w:t>
            </w:r>
            <w:r w:rsidR="00EB7996" w:rsidRPr="006529EB">
              <w:rPr>
                <w:b/>
                <w:lang w:val="en-US"/>
              </w:rPr>
              <w:t xml:space="preserve"> </w:t>
            </w:r>
          </w:p>
        </w:tc>
        <w:tc>
          <w:tcPr>
            <w:tcW w:w="5580" w:type="dxa"/>
          </w:tcPr>
          <w:p w14:paraId="7CEF28E1" w14:textId="072F614F" w:rsidR="00A95B6A" w:rsidRPr="006529EB" w:rsidRDefault="006529EB" w:rsidP="00A95B6A">
            <w:pPr>
              <w:spacing w:line="276" w:lineRule="auto"/>
              <w:ind w:firstLine="540"/>
              <w:jc w:val="both"/>
            </w:pPr>
            <w:r>
              <w:t>24</w:t>
            </w:r>
            <w:r>
              <w:rPr>
                <w:rFonts w:ascii="Cambria Math" w:hAnsi="Cambria Math"/>
              </w:rPr>
              <w:t xml:space="preserve">․ </w:t>
            </w:r>
            <w:r w:rsidR="00A95B6A" w:rsidRPr="006529EB">
              <w:t xml:space="preserve">Ընդհանուր առմամբ, գնահատում ենք ՀՀ ԿԲ կողմից կատարված աշխատանքը՝ ԿԱԳ վերլուծության իրականացման և դրա արդյունքները ԿԱԳ եզրակացությամբ ներկայացնելու ուղղությամբ: </w:t>
            </w:r>
          </w:p>
          <w:p w14:paraId="7E003F43" w14:textId="77777777" w:rsidR="00A95B6A" w:rsidRPr="006529EB" w:rsidRDefault="00A95B6A" w:rsidP="00A95B6A">
            <w:pPr>
              <w:spacing w:line="276" w:lineRule="auto"/>
              <w:ind w:firstLine="540"/>
              <w:jc w:val="both"/>
              <w:rPr>
                <w:b/>
              </w:rPr>
            </w:pPr>
            <w:r w:rsidRPr="006529EB">
              <w:rPr>
                <w:b/>
              </w:rPr>
              <w:t>Առաջարկվում է</w:t>
            </w:r>
            <w:r w:rsidRPr="006529EB">
              <w:t xml:space="preserve"> Նախագծերի փաթեթին կից ներկայացված </w:t>
            </w:r>
            <w:r w:rsidRPr="006529EB">
              <w:rPr>
                <w:b/>
              </w:rPr>
              <w:t>ԿԱԳ եզրակացությունը</w:t>
            </w:r>
            <w:r w:rsidRPr="006529EB">
              <w:t xml:space="preserve"> խմբագրել՝ ստորև </w:t>
            </w:r>
            <w:r w:rsidRPr="006529EB">
              <w:rPr>
                <w:b/>
              </w:rPr>
              <w:t>ներկայացված հիմնական դիտողությունների և առաջարկությունների հիման վրա, և համապատասխանեցնել</w:t>
            </w:r>
            <w:r w:rsidRPr="006529EB">
              <w:t xml:space="preserve"> </w:t>
            </w:r>
            <w:r w:rsidRPr="006529EB">
              <w:rPr>
                <w:b/>
              </w:rPr>
              <w:t xml:space="preserve">այն </w:t>
            </w:r>
            <w:r w:rsidRPr="006529EB">
              <w:t xml:space="preserve">ՀՀ կառավարության 2021 թվականի  հունվարի 14-ի N 46-Լ որոշմամբ հաստատված </w:t>
            </w:r>
            <w:r w:rsidRPr="006529EB">
              <w:rPr>
                <w:b/>
              </w:rPr>
              <w:t>ԿԱԳ մեթոդական ուղեցույցի</w:t>
            </w:r>
            <w:r w:rsidRPr="006529EB">
              <w:t xml:space="preserve"> (այսուհետև՝ Ուղեցույց) </w:t>
            </w:r>
            <w:r w:rsidRPr="006529EB">
              <w:rPr>
                <w:b/>
              </w:rPr>
              <w:t xml:space="preserve">տրամաբանությանը: </w:t>
            </w:r>
          </w:p>
          <w:p w14:paraId="7C96B4E5" w14:textId="77777777" w:rsidR="00A95B6A" w:rsidRPr="006529EB" w:rsidRDefault="00A95B6A" w:rsidP="00A95B6A">
            <w:pPr>
              <w:spacing w:line="276" w:lineRule="auto"/>
              <w:ind w:firstLine="540"/>
              <w:jc w:val="both"/>
            </w:pPr>
            <w:r w:rsidRPr="006529EB">
              <w:t xml:space="preserve">ԿԱԳ եզրակացությունն իրենից ներկայացնում է իրար հաջորդող և իրար հետ տրամաբանորեն փոխկապակցված քայլերի (հարցերի) ամբողջություն, որն ամփոփում է իրականացված վերլուծության արդյունքները: Ուստի շատ կարևոր է ԿԱԳ եզրակացության ճշգրիտ լրացումը. </w:t>
            </w:r>
            <w:r w:rsidRPr="006529EB">
              <w:rPr>
                <w:b/>
              </w:rPr>
              <w:t>յուրաքանչյուր կոնկրետ քայլի (հարցի) դիմաց անհրաժեշտ է հստակ և ամբողջական ներկայացնել միայն տվյալ քայլին (հարցին) առնչվող տեղեկատվություն:</w:t>
            </w:r>
            <w:r w:rsidRPr="006529EB">
              <w:t xml:space="preserve"> Մասնավորապես՝</w:t>
            </w:r>
          </w:p>
          <w:p w14:paraId="3CA6A523" w14:textId="77777777" w:rsidR="00A95B6A" w:rsidRPr="006529EB" w:rsidRDefault="00A95B6A" w:rsidP="00A95B6A">
            <w:pPr>
              <w:spacing w:line="276" w:lineRule="auto"/>
              <w:ind w:firstLine="540"/>
              <w:jc w:val="both"/>
            </w:pPr>
          </w:p>
          <w:p w14:paraId="6019F193" w14:textId="77777777" w:rsidR="00A95B6A" w:rsidRPr="006529EB" w:rsidRDefault="00A95B6A" w:rsidP="00A95B6A">
            <w:pPr>
              <w:spacing w:line="276" w:lineRule="auto"/>
              <w:ind w:firstLine="540"/>
              <w:jc w:val="both"/>
            </w:pPr>
            <w:r w:rsidRPr="006529EB">
              <w:rPr>
                <w:b/>
              </w:rPr>
              <w:t xml:space="preserve">1. </w:t>
            </w:r>
            <w:r w:rsidRPr="006529EB">
              <w:t xml:space="preserve">«Վերլուծության ենթակա խնդիրը» ենթաբաժնում անհրաժեշտ է հակիրճ և հստակ </w:t>
            </w:r>
            <w:r w:rsidRPr="006529EB">
              <w:rPr>
                <w:b/>
              </w:rPr>
              <w:t xml:space="preserve">ներկայացնել միայն վերլուծության ենթակա խնդիրը: </w:t>
            </w:r>
            <w:r w:rsidRPr="006529EB">
              <w:t xml:space="preserve">Բարդ խնդիրը կարող է բաղդատվել մի </w:t>
            </w:r>
            <w:r w:rsidRPr="006529EB">
              <w:lastRenderedPageBreak/>
              <w:t xml:space="preserve">քանի ենթախնդիրների՝ համաձայն Ուղեցույցի 1.1 – 1.4 կետերի պահանջների: </w:t>
            </w:r>
          </w:p>
          <w:p w14:paraId="5E5587A4" w14:textId="77777777" w:rsidR="00A95B6A" w:rsidRPr="006529EB" w:rsidRDefault="00A95B6A" w:rsidP="00A95B6A">
            <w:pPr>
              <w:spacing w:line="276" w:lineRule="auto"/>
              <w:ind w:firstLine="540"/>
              <w:jc w:val="both"/>
            </w:pPr>
            <w:r w:rsidRPr="006529EB">
              <w:rPr>
                <w:b/>
              </w:rPr>
              <w:t xml:space="preserve">2. </w:t>
            </w:r>
            <w:r w:rsidRPr="006529EB">
              <w:t xml:space="preserve">«Խնդրի դրսևորումները, դրանց վերաբերյալ փաստերն ու աղբյուրները» ենթաբաժնում անհրաժեշտ է ներկայացնել թե ինչպես է(են) վերլուծության ենթակա խնդիրը(ենթախնդիրները) արտահայտվում՝ </w:t>
            </w:r>
            <w:r w:rsidRPr="006529EB">
              <w:rPr>
                <w:b/>
              </w:rPr>
              <w:t>ներկայացնելով դրա(նց) վերաբերյալ հստակ և արժանահավատ փատեր ու դրանց աղբյուրները՝</w:t>
            </w:r>
            <w:r w:rsidRPr="006529EB">
              <w:t xml:space="preserve"> համաձայն Ուղեցույցի 1.4 կետի</w:t>
            </w:r>
            <w:r w:rsidRPr="006529EB">
              <w:rPr>
                <w:b/>
              </w:rPr>
              <w:t>:</w:t>
            </w:r>
            <w:r w:rsidRPr="006529EB">
              <w:t xml:space="preserve"> </w:t>
            </w:r>
          </w:p>
          <w:p w14:paraId="1241865B" w14:textId="77777777" w:rsidR="00A95B6A" w:rsidRPr="006529EB" w:rsidRDefault="00A95B6A" w:rsidP="00A95B6A">
            <w:pPr>
              <w:spacing w:line="276" w:lineRule="auto"/>
              <w:ind w:firstLine="540"/>
              <w:jc w:val="both"/>
              <w:rPr>
                <w:b/>
              </w:rPr>
            </w:pPr>
            <w:r w:rsidRPr="006529EB">
              <w:rPr>
                <w:b/>
              </w:rPr>
              <w:t>ԿԱԳ-ը փաստերի վրա հիմնված վերլուծություն է, ուստի ցանկացած պնդում անհրաժեշտ է հստակ հիմնավորել փաստական տվյալներով (վիճակագրությամբ):</w:t>
            </w:r>
          </w:p>
          <w:p w14:paraId="76CC1A7C" w14:textId="77777777" w:rsidR="00A95B6A" w:rsidRPr="006529EB" w:rsidRDefault="00A95B6A" w:rsidP="00A95B6A">
            <w:pPr>
              <w:spacing w:line="276" w:lineRule="auto"/>
              <w:ind w:firstLine="540"/>
              <w:jc w:val="both"/>
            </w:pPr>
            <w:r w:rsidRPr="006529EB">
              <w:rPr>
                <w:b/>
              </w:rPr>
              <w:t xml:space="preserve">3. </w:t>
            </w:r>
            <w:r w:rsidRPr="006529EB">
              <w:t xml:space="preserve">«Խնդրի պատճառ(ներ)ը, դրանց վերաբերյալ փաստերն ու աղբյուրները» և «Խնդրի հետևանք(ներ)ը, դրանց վերաբերյալ փաստերն ու աղբյուրները» ենթաբաժիններում համապատասխանբար անհրաժեշտ է հստակ ներկայացնել վերլուծության ենթակա խնդրի(ենթախնդիրների) </w:t>
            </w:r>
            <w:r w:rsidRPr="006529EB">
              <w:rPr>
                <w:b/>
              </w:rPr>
              <w:t>պատճառահետևանքային կապերը,</w:t>
            </w:r>
            <w:r w:rsidRPr="006529EB">
              <w:t xml:space="preserve"> ինչպես նաև </w:t>
            </w:r>
            <w:r w:rsidRPr="006529EB">
              <w:rPr>
                <w:b/>
              </w:rPr>
              <w:t xml:space="preserve">դրանց վերաբերյալ փաստական տվյալենրն՝ իրենց աղբյուրներով՝ </w:t>
            </w:r>
            <w:r w:rsidRPr="006529EB">
              <w:t>համաձայն Ուղեցույցի 1.5 կետի</w:t>
            </w:r>
            <w:r w:rsidRPr="006529EB">
              <w:rPr>
                <w:b/>
              </w:rPr>
              <w:t>:</w:t>
            </w:r>
            <w:r w:rsidRPr="006529EB">
              <w:t xml:space="preserve"> </w:t>
            </w:r>
          </w:p>
          <w:p w14:paraId="0F21078D" w14:textId="77777777" w:rsidR="00A95B6A" w:rsidRPr="006529EB" w:rsidRDefault="00A95B6A" w:rsidP="00A95B6A">
            <w:pPr>
              <w:spacing w:line="276" w:lineRule="auto"/>
              <w:ind w:firstLine="540"/>
              <w:jc w:val="both"/>
              <w:rPr>
                <w:b/>
              </w:rPr>
            </w:pPr>
            <w:r w:rsidRPr="006529EB">
              <w:rPr>
                <w:b/>
              </w:rPr>
              <w:t xml:space="preserve">Միջազգային փորձի վերլուծությանը առնչվող տեղեկատվությունը նպատակահարմար է ներկայացնել ԿԱԳ եզրակացության հիմնական քայլերից (հարցերից) դուրս՝ առանցձին բաժնում  </w:t>
            </w:r>
            <w:r w:rsidRPr="006529EB">
              <w:rPr>
                <w:b/>
              </w:rPr>
              <w:lastRenderedPageBreak/>
              <w:t xml:space="preserve">կամ ԿԱԳ եզրակացությանը կից: </w:t>
            </w:r>
            <w:r w:rsidRPr="006529EB">
              <w:t>Որին ԿԱԳ եզրակացության մեջ կարելի է կատարել հղումներ:</w:t>
            </w:r>
            <w:r w:rsidRPr="006529EB">
              <w:rPr>
                <w:b/>
              </w:rPr>
              <w:t xml:space="preserve"> </w:t>
            </w:r>
          </w:p>
          <w:p w14:paraId="012B737C" w14:textId="77777777" w:rsidR="00A95B6A" w:rsidRPr="006529EB" w:rsidRDefault="00A95B6A" w:rsidP="00A95B6A">
            <w:pPr>
              <w:spacing w:line="276" w:lineRule="auto"/>
              <w:ind w:firstLine="540"/>
              <w:jc w:val="both"/>
            </w:pPr>
            <w:r w:rsidRPr="006529EB">
              <w:rPr>
                <w:b/>
              </w:rPr>
              <w:t xml:space="preserve">4. </w:t>
            </w:r>
            <w:r w:rsidRPr="006529EB">
              <w:t>«Խնդրի մեծությունը, դրա վերաբերյալ փաստերն ու աղբյուրները» ենթաբաժնում անհրաժեշտ է ներկայացնել խնդրի, դրա պատճառների ու հետևանքների վերաբերյալ համեմատական տվյալներ և դրանցով չափել խնդրի մեծությունը՝ համաձայն Ուղեցույցի 1.7 կետի:</w:t>
            </w:r>
          </w:p>
          <w:p w14:paraId="7AFA058E" w14:textId="77777777" w:rsidR="00A95B6A" w:rsidRPr="006529EB" w:rsidRDefault="00A95B6A" w:rsidP="00A95B6A">
            <w:pPr>
              <w:spacing w:line="276" w:lineRule="auto"/>
              <w:ind w:firstLine="540"/>
              <w:jc w:val="both"/>
            </w:pPr>
            <w:r w:rsidRPr="006529EB">
              <w:rPr>
                <w:b/>
              </w:rPr>
              <w:t xml:space="preserve">5. </w:t>
            </w:r>
            <w:r w:rsidRPr="006529EB">
              <w:t xml:space="preserve">«Առկա իրավիճակի հակիրճ նկարագրությունը (կարգավորման դաշտ, ցուցանիշներ, տվյալներ, վիճակագրություն, դրանց աղբյուրները)» ենթաբաժնում անհրաժեշտ է </w:t>
            </w:r>
            <w:r w:rsidRPr="006529EB">
              <w:rPr>
                <w:b/>
              </w:rPr>
              <w:t xml:space="preserve">ներկայացնել առկա իրավիճակի վերաբերյալ հնարավորինս համապարփակ և ընդգրկուն փաստեր, տվյալներ, վիճակագրություն (դինամիկա՝ տվյալների վերլուծական շարք նախորդող 5-10 տարիների կտրվածքով) ու դրանց ստացման աղբյուրները: </w:t>
            </w:r>
          </w:p>
          <w:p w14:paraId="64B40A8D" w14:textId="77777777" w:rsidR="00A95B6A" w:rsidRPr="006529EB" w:rsidRDefault="00A95B6A" w:rsidP="00A95B6A">
            <w:pPr>
              <w:spacing w:line="276" w:lineRule="auto"/>
              <w:ind w:firstLine="540"/>
              <w:jc w:val="both"/>
            </w:pPr>
            <w:r w:rsidRPr="006529EB">
              <w:t xml:space="preserve">Տվյալների բացակայության կամ ոչ լիարժեք լինելու պարագայում առաջարկվում է իրականացնել մոտարկում՝ կիրառելով նաև համադրելի երկրների փորձն ու վիճակագրությունը:  </w:t>
            </w:r>
          </w:p>
          <w:p w14:paraId="6A05B33D" w14:textId="77777777" w:rsidR="00A95B6A" w:rsidRPr="006529EB" w:rsidRDefault="00A95B6A" w:rsidP="00A95B6A">
            <w:pPr>
              <w:spacing w:line="276" w:lineRule="auto"/>
              <w:ind w:firstLine="540"/>
              <w:jc w:val="both"/>
              <w:rPr>
                <w:b/>
              </w:rPr>
            </w:pPr>
            <w:r w:rsidRPr="006529EB">
              <w:rPr>
                <w:b/>
              </w:rPr>
              <w:t>6.</w:t>
            </w:r>
            <w:r w:rsidRPr="006529EB">
              <w:t xml:space="preserve"> «Առկա իրավիճակի զարգացման միտումները, դրանց վերաբերյալ փաստերն ու աղբյուրները» ենթաբաժնում անհրաժեշտ է նախորդ բաժնում ներկայացված տվյալների (և ողջամիտ դատողությունների) հիման վրա կանխատեսել, թե ինչ կպատահի, եթե ոչինչ չարվի և այդ </w:t>
            </w:r>
            <w:r w:rsidRPr="006529EB">
              <w:rPr>
                <w:b/>
              </w:rPr>
              <w:t xml:space="preserve">կանխատեսումները հիմնավորել փաստական </w:t>
            </w:r>
            <w:r w:rsidRPr="006529EB">
              <w:rPr>
                <w:b/>
              </w:rPr>
              <w:lastRenderedPageBreak/>
              <w:t xml:space="preserve">տվյալներով ու վիճակագրությամբ (դինամիկա՝ տվյալների վերլուծական շարք հաջորդող 5-10 տարիների կտրվածքով): </w:t>
            </w:r>
          </w:p>
          <w:p w14:paraId="77BA1A33" w14:textId="77777777" w:rsidR="00A95B6A" w:rsidRPr="006529EB" w:rsidRDefault="00A95B6A" w:rsidP="00A95B6A">
            <w:pPr>
              <w:spacing w:line="276" w:lineRule="auto"/>
              <w:ind w:firstLine="540"/>
              <w:jc w:val="both"/>
            </w:pPr>
            <w:r w:rsidRPr="006529EB">
              <w:rPr>
                <w:b/>
              </w:rPr>
              <w:t xml:space="preserve">7. </w:t>
            </w:r>
            <w:r w:rsidRPr="006529EB">
              <w:t xml:space="preserve">«Խնդրի կարգավորման անհրաժեշտությունը» ենթաբաժնում անհրաժեշտ է, ըստ էության, ամփոփել մինչև այդ առկա բոլոր ենթաբաժիններով ներկայացված վերլուծական տվյալները, փաստերն ու կանխատեսումները և դրանց հիման վրա հիմնավորել, թե ինչու է անհրաժեշտ լրացուցիչ կարգավորիչ միջամտություն՝ վերլուծության ենթական խնդրի լուծման համար:  </w:t>
            </w:r>
          </w:p>
          <w:p w14:paraId="398C1E13" w14:textId="77777777" w:rsidR="00A95B6A" w:rsidRPr="006529EB" w:rsidRDefault="00A95B6A" w:rsidP="00A95B6A">
            <w:pPr>
              <w:spacing w:line="276" w:lineRule="auto"/>
              <w:ind w:firstLine="540"/>
              <w:jc w:val="both"/>
            </w:pPr>
            <w:r w:rsidRPr="006529EB">
              <w:rPr>
                <w:b/>
              </w:rPr>
              <w:t xml:space="preserve">8. </w:t>
            </w:r>
            <w:r w:rsidRPr="006529EB">
              <w:t xml:space="preserve">«Կարգավորման նպատակներ» բաժնում </w:t>
            </w:r>
            <w:r w:rsidRPr="006529EB">
              <w:rPr>
                <w:b/>
              </w:rPr>
              <w:t>անհրաժեշտ է հստակ և ճշգրիտ ներկայացնել ԿԱԳ վերլուծության նպատակները՝</w:t>
            </w:r>
            <w:r w:rsidRPr="006529EB">
              <w:t xml:space="preserve"> համաձայն Ուղեցույցի 2.1 կետի: </w:t>
            </w:r>
          </w:p>
          <w:p w14:paraId="4F6A8901" w14:textId="77777777" w:rsidR="00A95B6A" w:rsidRPr="006529EB" w:rsidRDefault="00A95B6A" w:rsidP="00A95B6A">
            <w:pPr>
              <w:spacing w:line="276" w:lineRule="auto"/>
              <w:ind w:firstLine="540"/>
              <w:jc w:val="both"/>
              <w:rPr>
                <w:b/>
              </w:rPr>
            </w:pPr>
            <w:r w:rsidRPr="006529EB">
              <w:rPr>
                <w:b/>
              </w:rPr>
              <w:t>Նպատակները չպետք է սահմանվեն գործողությունների տեսքով:</w:t>
            </w:r>
          </w:p>
          <w:p w14:paraId="4516DDDB" w14:textId="77777777" w:rsidR="00A95B6A" w:rsidRPr="006529EB" w:rsidRDefault="00A95B6A" w:rsidP="00A95B6A">
            <w:pPr>
              <w:spacing w:line="276" w:lineRule="auto"/>
              <w:ind w:firstLine="540"/>
              <w:jc w:val="both"/>
              <w:rPr>
                <w:b/>
              </w:rPr>
            </w:pPr>
            <w:r w:rsidRPr="006529EB">
              <w:rPr>
                <w:b/>
              </w:rPr>
              <w:t xml:space="preserve">Հատուկ նպատակները պետք է լինեն բավականաչափ «լայն», որպեսզի հնարավորություն տան դիտարկել նպատակին հասնելու բոլոր համապատասխան այլընտրանքները՝ առանց նախապես կանխորոշելու որևէ կոնկրետ լուծում: </w:t>
            </w:r>
          </w:p>
          <w:p w14:paraId="1949E304" w14:textId="77777777" w:rsidR="00A95B6A" w:rsidRPr="006529EB" w:rsidRDefault="00A95B6A" w:rsidP="00A95B6A">
            <w:pPr>
              <w:spacing w:line="276" w:lineRule="auto"/>
              <w:ind w:firstLine="540"/>
              <w:jc w:val="both"/>
            </w:pPr>
            <w:r w:rsidRPr="006529EB">
              <w:rPr>
                <w:b/>
              </w:rPr>
              <w:t xml:space="preserve">9. </w:t>
            </w:r>
            <w:r w:rsidRPr="006529EB">
              <w:t xml:space="preserve">«Առաջարկվող տարբերակի հակիրճ նկարագրությունը» ենթաբաժնում անհրաժեշտ է միայն հակիրճ ներկայացնել առաջարկվող տարբերակի հիմնական կետերը (պահանջ/պայմանները)՝ շարադրված այնպես, որ </w:t>
            </w:r>
            <w:r w:rsidRPr="006529EB">
              <w:lastRenderedPageBreak/>
              <w:t>պարզ լինի, թե յուրաքանչյուր կետ որ կարգավորվող սուբյեկտի վրա է տարածվում:</w:t>
            </w:r>
          </w:p>
          <w:p w14:paraId="4296DCBB" w14:textId="77777777" w:rsidR="00A95B6A" w:rsidRPr="006529EB" w:rsidRDefault="00A95B6A" w:rsidP="00A95B6A">
            <w:pPr>
              <w:spacing w:line="276" w:lineRule="auto"/>
              <w:ind w:firstLine="540"/>
              <w:jc w:val="both"/>
            </w:pPr>
            <w:r w:rsidRPr="006529EB">
              <w:rPr>
                <w:b/>
              </w:rPr>
              <w:t>10.</w:t>
            </w:r>
            <w:r w:rsidRPr="006529EB">
              <w:t xml:space="preserve"> «Դիտարկված այլ տարբերակ(ներ)ի հակիրճ նկարագրությունը» ենթաբաժնում անհրաժեշտ է նախորդ կետի տրամաբանությամբ </w:t>
            </w:r>
            <w:r w:rsidRPr="006529EB">
              <w:rPr>
                <w:b/>
              </w:rPr>
              <w:t>ներկայացնել դիտարկված բոլոր այլըտրանքային տարբերակները:</w:t>
            </w:r>
            <w:r w:rsidRPr="006529EB">
              <w:t xml:space="preserve"> </w:t>
            </w:r>
          </w:p>
          <w:p w14:paraId="309EC854" w14:textId="77777777" w:rsidR="00A95B6A" w:rsidRPr="006529EB" w:rsidRDefault="00A95B6A" w:rsidP="00A95B6A">
            <w:pPr>
              <w:spacing w:line="276" w:lineRule="auto"/>
              <w:ind w:firstLine="540"/>
              <w:jc w:val="both"/>
            </w:pPr>
            <w:r w:rsidRPr="006529EB">
              <w:rPr>
                <w:b/>
              </w:rPr>
              <w:t>11.</w:t>
            </w:r>
            <w:r w:rsidRPr="006529EB">
              <w:t xml:space="preserve">  «Կարգավորման առաջարկվող տարբերակ(ներ)ի ակնկալվող նշանակալի ազդեցություններ» բաժնում անհրաժեշտ է յուրաքանչյուր տարբերակի մասով թվարկել միայն այն ոլորտները, որտեղ ակնկալվում է, որ տարբերակը կարող է ունենալ նշանակալի ազդեցություններ (ՀՀ-ում ԿԱԳ-ն ընդգրկում է հետևյալ ոլորտները՝ տնտեսական, այդ թվում՝ մրցակցություն, հանրային ֆինանսներ, առողջապահություն, սոցիալական, շրջակա միջավայր): </w:t>
            </w:r>
          </w:p>
          <w:p w14:paraId="5678028D" w14:textId="77777777" w:rsidR="00A95B6A" w:rsidRPr="006529EB" w:rsidRDefault="00A95B6A" w:rsidP="00A95B6A">
            <w:pPr>
              <w:spacing w:line="276" w:lineRule="auto"/>
              <w:ind w:firstLine="540"/>
              <w:jc w:val="both"/>
            </w:pPr>
          </w:p>
          <w:p w14:paraId="5506B25D" w14:textId="77777777" w:rsidR="00A95B6A" w:rsidRPr="006529EB" w:rsidRDefault="00A95B6A" w:rsidP="00A95B6A">
            <w:pPr>
              <w:spacing w:line="276" w:lineRule="auto"/>
              <w:ind w:firstLine="540"/>
              <w:jc w:val="both"/>
            </w:pPr>
            <w:r w:rsidRPr="006529EB">
              <w:t xml:space="preserve">Միևնույն ժամանակ, կարծում ենք, որ Նախագծերի փաթեթով առաջարկվող կարգավորումները նշանակալի ազդեցություններ կունենան տնտեսական, այդ թվում՝ մրցակցության, և հանրային ֆինանսերի ոլորտներում: Այս տեսակյունից </w:t>
            </w:r>
            <w:r w:rsidRPr="006529EB">
              <w:rPr>
                <w:b/>
              </w:rPr>
              <w:t>առաջարկվում է իրականացնել Նախագծերի փաթեթի Խորացված ԿԱԳ վերլուծություն,</w:t>
            </w:r>
            <w:r w:rsidRPr="006529EB">
              <w:t xml:space="preserve"> որը թույլ կտա </w:t>
            </w:r>
            <w:r w:rsidRPr="006529EB">
              <w:rPr>
                <w:b/>
              </w:rPr>
              <w:t xml:space="preserve">մանրամասն վերլուծել և գնահատել այլընտրանքային տարբերակների կանխատեսվող բոլոր նշանակալի </w:t>
            </w:r>
            <w:r w:rsidRPr="006529EB">
              <w:rPr>
                <w:b/>
              </w:rPr>
              <w:lastRenderedPageBreak/>
              <w:t>ազդեցությունները</w:t>
            </w:r>
            <w:r w:rsidRPr="006529EB">
              <w:t xml:space="preserve"> </w:t>
            </w:r>
            <w:r w:rsidRPr="006529EB">
              <w:rPr>
                <w:lang w:val="en-US"/>
              </w:rPr>
              <w:t>(</w:t>
            </w:r>
            <w:r w:rsidRPr="006529EB">
              <w:t>ծախսեր և օգուտներ</w:t>
            </w:r>
            <w:r w:rsidRPr="006529EB">
              <w:rPr>
                <w:lang w:val="en-US"/>
              </w:rPr>
              <w:t>)</w:t>
            </w:r>
            <w:r w:rsidRPr="006529EB">
              <w:t xml:space="preserve">, </w:t>
            </w:r>
            <w:r w:rsidRPr="006529EB">
              <w:rPr>
                <w:b/>
              </w:rPr>
              <w:t>իրականացնել տարբերակների համեմատում և նախընտրելի տարբերակի ընտրություն փաստերով հիմնավորված</w:t>
            </w:r>
            <w:r w:rsidRPr="006529EB">
              <w:t xml:space="preserve"> քանակական </w:t>
            </w:r>
            <w:r w:rsidRPr="006529EB">
              <w:rPr>
                <w:lang w:val="en-US"/>
              </w:rPr>
              <w:t>(</w:t>
            </w:r>
            <w:r w:rsidRPr="006529EB">
              <w:t>և որակական</w:t>
            </w:r>
            <w:r w:rsidRPr="006529EB">
              <w:rPr>
                <w:lang w:val="ru-RU"/>
              </w:rPr>
              <w:t>)</w:t>
            </w:r>
            <w:r w:rsidRPr="006529EB">
              <w:rPr>
                <w:lang w:val="en-US"/>
              </w:rPr>
              <w:t xml:space="preserve"> </w:t>
            </w:r>
            <w:r w:rsidRPr="006529EB">
              <w:rPr>
                <w:b/>
              </w:rPr>
              <w:t>գնահատումների արդյունքում:</w:t>
            </w:r>
            <w:r w:rsidRPr="006529EB">
              <w:t xml:space="preserve"> </w:t>
            </w:r>
          </w:p>
          <w:p w14:paraId="7CF57D23" w14:textId="77777777" w:rsidR="00A95B6A" w:rsidRPr="006529EB" w:rsidRDefault="00A95B6A" w:rsidP="00A95B6A">
            <w:pPr>
              <w:spacing w:line="276" w:lineRule="auto"/>
              <w:ind w:firstLine="540"/>
              <w:jc w:val="both"/>
            </w:pPr>
          </w:p>
          <w:p w14:paraId="70CEA25F" w14:textId="77777777" w:rsidR="00A95B6A" w:rsidRPr="006529EB" w:rsidRDefault="00A95B6A" w:rsidP="00A95B6A">
            <w:pPr>
              <w:spacing w:line="276" w:lineRule="auto"/>
              <w:ind w:firstLine="540"/>
              <w:jc w:val="both"/>
            </w:pPr>
            <w:r w:rsidRPr="006529EB">
              <w:t xml:space="preserve">ԿԱԳ վարչությունն իր պատրաստակամությունն է հայտնում ցուցաբերել մեթոդական աջակցություն Խորացված ԿԱԳ վերլուծության իրականացման համար: </w:t>
            </w:r>
          </w:p>
          <w:p w14:paraId="178A9DC0" w14:textId="77777777" w:rsidR="00A95B6A" w:rsidRPr="006529EB" w:rsidRDefault="00A95B6A" w:rsidP="00B906D7">
            <w:pPr>
              <w:pStyle w:val="List2"/>
              <w:ind w:left="76" w:right="155" w:firstLine="0"/>
              <w:jc w:val="both"/>
            </w:pPr>
          </w:p>
        </w:tc>
        <w:tc>
          <w:tcPr>
            <w:tcW w:w="7920" w:type="dxa"/>
          </w:tcPr>
          <w:p w14:paraId="3BD28350" w14:textId="23530D45" w:rsidR="00A95B6A" w:rsidRPr="006529EB" w:rsidRDefault="00A95B6A" w:rsidP="00B906D7">
            <w:pPr>
              <w:contextualSpacing/>
              <w:jc w:val="both"/>
              <w:rPr>
                <w:rFonts w:cs="Times New Roman"/>
                <w:b/>
                <w:bCs/>
              </w:rPr>
            </w:pPr>
            <w:r w:rsidRPr="006529EB">
              <w:rPr>
                <w:rFonts w:cs="Times New Roman"/>
                <w:b/>
                <w:bCs/>
              </w:rPr>
              <w:lastRenderedPageBreak/>
              <w:t xml:space="preserve">Ընդունվել է։ </w:t>
            </w:r>
            <w:r w:rsidR="00655D15" w:rsidRPr="006529EB">
              <w:rPr>
                <w:rFonts w:cs="Times New Roman"/>
              </w:rPr>
              <w:t>ԿԱԳ եզրակացությունը խմբագրվել և համաձայնեցվել է «</w:t>
            </w:r>
            <w:r w:rsidR="00127345" w:rsidRPr="006529EB">
              <w:rPr>
                <w:rFonts w:cs="Times New Roman"/>
              </w:rPr>
              <w:t>Կ</w:t>
            </w:r>
            <w:r w:rsidR="00655D15" w:rsidRPr="006529EB">
              <w:rPr>
                <w:rFonts w:cs="Times New Roman"/>
              </w:rPr>
              <w:t>արգավորման ազդեցության գնահատման վարչության» հետ։</w:t>
            </w:r>
            <w:r w:rsidR="00655D15" w:rsidRPr="006529EB">
              <w:rPr>
                <w:rFonts w:cs="Times New Roman"/>
                <w:b/>
                <w:bCs/>
              </w:rPr>
              <w:t xml:space="preserve"> </w:t>
            </w:r>
          </w:p>
        </w:tc>
      </w:tr>
    </w:tbl>
    <w:p w14:paraId="4998630C" w14:textId="77777777" w:rsidR="004A76A0" w:rsidRPr="006529EB" w:rsidRDefault="004A76A0" w:rsidP="00E57A08">
      <w:pPr>
        <w:spacing w:after="0" w:line="240" w:lineRule="auto"/>
        <w:contextualSpacing/>
        <w:jc w:val="both"/>
        <w:rPr>
          <w:rFonts w:cs="Times New Roman"/>
        </w:rPr>
      </w:pPr>
    </w:p>
    <w:sectPr w:rsidR="004A76A0" w:rsidRPr="006529EB" w:rsidSect="001D5496">
      <w:footerReference w:type="default" r:id="rId8"/>
      <w:pgSz w:w="16838" w:h="11906" w:orient="landscape" w:code="9"/>
      <w:pgMar w:top="450" w:right="1134" w:bottom="360"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4350C" w14:textId="77777777" w:rsidR="008A61AD" w:rsidRDefault="008A61AD" w:rsidP="00071F6D">
      <w:pPr>
        <w:spacing w:after="0" w:line="240" w:lineRule="auto"/>
      </w:pPr>
      <w:r>
        <w:separator/>
      </w:r>
    </w:p>
  </w:endnote>
  <w:endnote w:type="continuationSeparator" w:id="0">
    <w:p w14:paraId="30B3F254" w14:textId="77777777" w:rsidR="008A61AD" w:rsidRDefault="008A61AD" w:rsidP="00071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432814550"/>
      <w:docPartObj>
        <w:docPartGallery w:val="Page Numbers (Bottom of Page)"/>
        <w:docPartUnique/>
      </w:docPartObj>
    </w:sdtPr>
    <w:sdtEndPr>
      <w:rPr>
        <w:noProof/>
      </w:rPr>
    </w:sdtEndPr>
    <w:sdtContent>
      <w:p w14:paraId="2092920A" w14:textId="4644B7D2" w:rsidR="00BA1C73" w:rsidRDefault="00BA1C73">
        <w:pPr>
          <w:pStyle w:val="Footer"/>
          <w:jc w:val="right"/>
        </w:pPr>
        <w:r>
          <w:rPr>
            <w:noProof w:val="0"/>
          </w:rPr>
          <w:fldChar w:fldCharType="begin"/>
        </w:r>
        <w:r>
          <w:instrText xml:space="preserve"> PAGE   \* MERGEFORMAT </w:instrText>
        </w:r>
        <w:r>
          <w:rPr>
            <w:noProof w:val="0"/>
          </w:rPr>
          <w:fldChar w:fldCharType="separate"/>
        </w:r>
        <w:r w:rsidR="00727E5A">
          <w:t>17</w:t>
        </w:r>
        <w:r>
          <w:fldChar w:fldCharType="end"/>
        </w:r>
      </w:p>
    </w:sdtContent>
  </w:sdt>
  <w:p w14:paraId="7D2136BE" w14:textId="77777777" w:rsidR="00BA1C73" w:rsidRDefault="00BA1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0319B" w14:textId="77777777" w:rsidR="008A61AD" w:rsidRDefault="008A61AD" w:rsidP="00071F6D">
      <w:pPr>
        <w:spacing w:after="0" w:line="240" w:lineRule="auto"/>
      </w:pPr>
      <w:r>
        <w:separator/>
      </w:r>
    </w:p>
  </w:footnote>
  <w:footnote w:type="continuationSeparator" w:id="0">
    <w:p w14:paraId="17F63F80" w14:textId="77777777" w:rsidR="008A61AD" w:rsidRDefault="008A61AD" w:rsidP="00071F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D11"/>
    <w:multiLevelType w:val="hybridMultilevel"/>
    <w:tmpl w:val="09AEC2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4232"/>
    <w:multiLevelType w:val="hybridMultilevel"/>
    <w:tmpl w:val="48BEEE98"/>
    <w:lvl w:ilvl="0" w:tplc="0409000F">
      <w:start w:val="1"/>
      <w:numFmt w:val="decimal"/>
      <w:lvlText w:val="%1."/>
      <w:lvlJc w:val="left"/>
      <w:pPr>
        <w:ind w:left="303" w:hanging="360"/>
      </w:pPr>
    </w:lvl>
    <w:lvl w:ilvl="1" w:tplc="04090019">
      <w:start w:val="1"/>
      <w:numFmt w:val="lowerLetter"/>
      <w:lvlText w:val="%2."/>
      <w:lvlJc w:val="left"/>
      <w:pPr>
        <w:ind w:left="1023" w:hanging="360"/>
      </w:pPr>
    </w:lvl>
    <w:lvl w:ilvl="2" w:tplc="0409001B">
      <w:start w:val="1"/>
      <w:numFmt w:val="lowerRoman"/>
      <w:lvlText w:val="%3."/>
      <w:lvlJc w:val="right"/>
      <w:pPr>
        <w:ind w:left="1743" w:hanging="180"/>
      </w:pPr>
    </w:lvl>
    <w:lvl w:ilvl="3" w:tplc="0409000F">
      <w:start w:val="1"/>
      <w:numFmt w:val="decimal"/>
      <w:lvlText w:val="%4."/>
      <w:lvlJc w:val="left"/>
      <w:pPr>
        <w:ind w:left="2463" w:hanging="360"/>
      </w:pPr>
    </w:lvl>
    <w:lvl w:ilvl="4" w:tplc="04090019">
      <w:start w:val="1"/>
      <w:numFmt w:val="lowerLetter"/>
      <w:lvlText w:val="%5."/>
      <w:lvlJc w:val="left"/>
      <w:pPr>
        <w:ind w:left="3183" w:hanging="360"/>
      </w:pPr>
    </w:lvl>
    <w:lvl w:ilvl="5" w:tplc="0409001B">
      <w:start w:val="1"/>
      <w:numFmt w:val="lowerRoman"/>
      <w:lvlText w:val="%6."/>
      <w:lvlJc w:val="right"/>
      <w:pPr>
        <w:ind w:left="3903" w:hanging="180"/>
      </w:pPr>
    </w:lvl>
    <w:lvl w:ilvl="6" w:tplc="0409000F">
      <w:start w:val="1"/>
      <w:numFmt w:val="decimal"/>
      <w:lvlText w:val="%7."/>
      <w:lvlJc w:val="left"/>
      <w:pPr>
        <w:ind w:left="4623" w:hanging="360"/>
      </w:pPr>
    </w:lvl>
    <w:lvl w:ilvl="7" w:tplc="04090019">
      <w:start w:val="1"/>
      <w:numFmt w:val="lowerLetter"/>
      <w:lvlText w:val="%8."/>
      <w:lvlJc w:val="left"/>
      <w:pPr>
        <w:ind w:left="5343" w:hanging="360"/>
      </w:pPr>
    </w:lvl>
    <w:lvl w:ilvl="8" w:tplc="0409001B">
      <w:start w:val="1"/>
      <w:numFmt w:val="lowerRoman"/>
      <w:lvlText w:val="%9."/>
      <w:lvlJc w:val="right"/>
      <w:pPr>
        <w:ind w:left="6063" w:hanging="180"/>
      </w:pPr>
    </w:lvl>
  </w:abstractNum>
  <w:abstractNum w:abstractNumId="2" w15:restartNumberingAfterBreak="0">
    <w:nsid w:val="117971A4"/>
    <w:multiLevelType w:val="hybridMultilevel"/>
    <w:tmpl w:val="1CA2D992"/>
    <w:lvl w:ilvl="0" w:tplc="3AFAE304">
      <w:start w:val="1"/>
      <w:numFmt w:val="decimal"/>
      <w:lvlText w:val="%1."/>
      <w:lvlJc w:val="left"/>
      <w:pPr>
        <w:ind w:left="3420" w:hanging="360"/>
      </w:pPr>
      <w:rPr>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2B2651F"/>
    <w:multiLevelType w:val="hybridMultilevel"/>
    <w:tmpl w:val="78E8BE9C"/>
    <w:lvl w:ilvl="0" w:tplc="4B883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10C16"/>
    <w:multiLevelType w:val="hybridMultilevel"/>
    <w:tmpl w:val="B24ED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925762"/>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6" w15:restartNumberingAfterBreak="0">
    <w:nsid w:val="1B541298"/>
    <w:multiLevelType w:val="hybridMultilevel"/>
    <w:tmpl w:val="0FFC85AC"/>
    <w:lvl w:ilvl="0" w:tplc="A1EC52A6">
      <w:start w:val="1"/>
      <w:numFmt w:val="decimal"/>
      <w:lvlText w:val="%1)"/>
      <w:lvlJc w:val="left"/>
      <w:pPr>
        <w:ind w:left="1920" w:hanging="4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F27584"/>
    <w:multiLevelType w:val="multilevel"/>
    <w:tmpl w:val="1DF2758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1C777F3"/>
    <w:multiLevelType w:val="hybridMultilevel"/>
    <w:tmpl w:val="D8583184"/>
    <w:lvl w:ilvl="0" w:tplc="1D36FD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646655"/>
    <w:multiLevelType w:val="hybridMultilevel"/>
    <w:tmpl w:val="437C59F0"/>
    <w:lvl w:ilvl="0" w:tplc="9DA65BF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7269DF"/>
    <w:multiLevelType w:val="hybridMultilevel"/>
    <w:tmpl w:val="4D4CEA5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27227CED"/>
    <w:multiLevelType w:val="hybridMultilevel"/>
    <w:tmpl w:val="9FCCDA72"/>
    <w:lvl w:ilvl="0" w:tplc="A41444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819014F"/>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9B8214E"/>
    <w:multiLevelType w:val="hybridMultilevel"/>
    <w:tmpl w:val="E332A8C6"/>
    <w:lvl w:ilvl="0" w:tplc="E58258A4">
      <w:start w:val="1"/>
      <w:numFmt w:val="decimal"/>
      <w:lvlText w:val="%1)"/>
      <w:lvlJc w:val="left"/>
      <w:pPr>
        <w:ind w:left="126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4" w15:restartNumberingAfterBreak="0">
    <w:nsid w:val="2C600C30"/>
    <w:multiLevelType w:val="hybridMultilevel"/>
    <w:tmpl w:val="99420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C9E66BB"/>
    <w:multiLevelType w:val="hybridMultilevel"/>
    <w:tmpl w:val="83D2AAD8"/>
    <w:lvl w:ilvl="0" w:tplc="91B4335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2FA5827"/>
    <w:multiLevelType w:val="hybridMultilevel"/>
    <w:tmpl w:val="1E32E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103E6C"/>
    <w:multiLevelType w:val="hybridMultilevel"/>
    <w:tmpl w:val="E5348392"/>
    <w:lvl w:ilvl="0" w:tplc="199485A0">
      <w:start w:val="1"/>
      <w:numFmt w:val="decimal"/>
      <w:lvlText w:val="%1)"/>
      <w:lvlJc w:val="left"/>
      <w:pPr>
        <w:ind w:left="54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38C7701D"/>
    <w:multiLevelType w:val="hybridMultilevel"/>
    <w:tmpl w:val="0ABE67D6"/>
    <w:lvl w:ilvl="0" w:tplc="ACBC1CE6">
      <w:start w:val="1"/>
      <w:numFmt w:val="decimal"/>
      <w:lvlText w:val="%1)"/>
      <w:lvlJc w:val="left"/>
      <w:pPr>
        <w:ind w:left="2610" w:hanging="1440"/>
      </w:pPr>
      <w:rPr>
        <w:rFonts w:ascii="GHEA Grapalat" w:hAnsi="GHEA Grapalat" w:hint="default"/>
        <w:color w:val="auto"/>
        <w:sz w:val="24"/>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9" w15:restartNumberingAfterBreak="0">
    <w:nsid w:val="3959598E"/>
    <w:multiLevelType w:val="hybridMultilevel"/>
    <w:tmpl w:val="ADF87F4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3DBF1B8A"/>
    <w:multiLevelType w:val="hybridMultilevel"/>
    <w:tmpl w:val="5E3A6084"/>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21" w15:restartNumberingAfterBreak="0">
    <w:nsid w:val="41341A50"/>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22" w15:restartNumberingAfterBreak="0">
    <w:nsid w:val="414E1C9F"/>
    <w:multiLevelType w:val="hybridMultilevel"/>
    <w:tmpl w:val="19A08FE0"/>
    <w:lvl w:ilvl="0" w:tplc="10086408">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3" w15:restartNumberingAfterBreak="0">
    <w:nsid w:val="41593435"/>
    <w:multiLevelType w:val="hybridMultilevel"/>
    <w:tmpl w:val="AE32515A"/>
    <w:lvl w:ilvl="0" w:tplc="831A07B2">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4" w15:restartNumberingAfterBreak="0">
    <w:nsid w:val="46185493"/>
    <w:multiLevelType w:val="hybridMultilevel"/>
    <w:tmpl w:val="7902A9F8"/>
    <w:lvl w:ilvl="0" w:tplc="042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5B50E6"/>
    <w:multiLevelType w:val="hybridMultilevel"/>
    <w:tmpl w:val="8D48A694"/>
    <w:lvl w:ilvl="0" w:tplc="D096ACD2">
      <w:start w:val="1"/>
      <w:numFmt w:val="decimal"/>
      <w:lvlText w:val="%1)"/>
      <w:lvlJc w:val="left"/>
      <w:pPr>
        <w:ind w:left="2058" w:hanging="360"/>
      </w:pPr>
    </w:lvl>
    <w:lvl w:ilvl="1" w:tplc="04090019">
      <w:start w:val="1"/>
      <w:numFmt w:val="lowerLetter"/>
      <w:lvlText w:val="%2."/>
      <w:lvlJc w:val="left"/>
      <w:pPr>
        <w:ind w:left="2583" w:hanging="360"/>
      </w:pPr>
    </w:lvl>
    <w:lvl w:ilvl="2" w:tplc="0409001B">
      <w:start w:val="1"/>
      <w:numFmt w:val="lowerRoman"/>
      <w:lvlText w:val="%3."/>
      <w:lvlJc w:val="right"/>
      <w:pPr>
        <w:ind w:left="3303" w:hanging="180"/>
      </w:pPr>
    </w:lvl>
    <w:lvl w:ilvl="3" w:tplc="0409000F">
      <w:start w:val="1"/>
      <w:numFmt w:val="decimal"/>
      <w:lvlText w:val="%4."/>
      <w:lvlJc w:val="left"/>
      <w:pPr>
        <w:ind w:left="4023" w:hanging="360"/>
      </w:pPr>
    </w:lvl>
    <w:lvl w:ilvl="4" w:tplc="04090019">
      <w:start w:val="1"/>
      <w:numFmt w:val="lowerLetter"/>
      <w:lvlText w:val="%5."/>
      <w:lvlJc w:val="left"/>
      <w:pPr>
        <w:ind w:left="4743" w:hanging="360"/>
      </w:pPr>
    </w:lvl>
    <w:lvl w:ilvl="5" w:tplc="0409001B">
      <w:start w:val="1"/>
      <w:numFmt w:val="lowerRoman"/>
      <w:lvlText w:val="%6."/>
      <w:lvlJc w:val="right"/>
      <w:pPr>
        <w:ind w:left="5463" w:hanging="180"/>
      </w:pPr>
    </w:lvl>
    <w:lvl w:ilvl="6" w:tplc="0409000F">
      <w:start w:val="1"/>
      <w:numFmt w:val="decimal"/>
      <w:lvlText w:val="%7."/>
      <w:lvlJc w:val="left"/>
      <w:pPr>
        <w:ind w:left="6183" w:hanging="360"/>
      </w:pPr>
    </w:lvl>
    <w:lvl w:ilvl="7" w:tplc="04090019">
      <w:start w:val="1"/>
      <w:numFmt w:val="lowerLetter"/>
      <w:lvlText w:val="%8."/>
      <w:lvlJc w:val="left"/>
      <w:pPr>
        <w:ind w:left="6903" w:hanging="360"/>
      </w:pPr>
    </w:lvl>
    <w:lvl w:ilvl="8" w:tplc="0409001B">
      <w:start w:val="1"/>
      <w:numFmt w:val="lowerRoman"/>
      <w:lvlText w:val="%9."/>
      <w:lvlJc w:val="right"/>
      <w:pPr>
        <w:ind w:left="7623" w:hanging="180"/>
      </w:pPr>
    </w:lvl>
  </w:abstractNum>
  <w:abstractNum w:abstractNumId="26" w15:restartNumberingAfterBreak="0">
    <w:nsid w:val="4C7D1BB7"/>
    <w:multiLevelType w:val="hybridMultilevel"/>
    <w:tmpl w:val="9D8C77A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0ED9"/>
    <w:multiLevelType w:val="hybridMultilevel"/>
    <w:tmpl w:val="72F246A2"/>
    <w:lvl w:ilvl="0" w:tplc="D7D6BB34">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8" w15:restartNumberingAfterBreak="0">
    <w:nsid w:val="53121B36"/>
    <w:multiLevelType w:val="hybridMultilevel"/>
    <w:tmpl w:val="1AD818B4"/>
    <w:lvl w:ilvl="0" w:tplc="D7D6BB34">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29" w15:restartNumberingAfterBreak="0">
    <w:nsid w:val="536B6BB7"/>
    <w:multiLevelType w:val="multilevel"/>
    <w:tmpl w:val="65801AB6"/>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53F76A95"/>
    <w:multiLevelType w:val="multilevel"/>
    <w:tmpl w:val="2CD8D13A"/>
    <w:lvl w:ilvl="0">
      <w:start w:val="1"/>
      <w:numFmt w:val="decimal"/>
      <w:lvlText w:val="%1."/>
      <w:lvlJc w:val="left"/>
      <w:pPr>
        <w:ind w:left="1095" w:hanging="360"/>
      </w:pPr>
      <w:rPr>
        <w:b w:val="0"/>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1" w15:restartNumberingAfterBreak="0">
    <w:nsid w:val="553C279F"/>
    <w:multiLevelType w:val="hybridMultilevel"/>
    <w:tmpl w:val="24AEB394"/>
    <w:lvl w:ilvl="0" w:tplc="C5CCB206">
      <w:start w:val="13"/>
      <w:numFmt w:val="decimal"/>
      <w:lvlText w:val="%1"/>
      <w:lvlJc w:val="left"/>
      <w:pPr>
        <w:ind w:left="720" w:hanging="360"/>
      </w:pPr>
      <w:rPr>
        <w:rFonts w:hint="default"/>
        <w:b w:val="0"/>
        <w:color w:val="0D0D0D" w:themeColor="text1" w:themeTint="F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6D041B"/>
    <w:multiLevelType w:val="multilevel"/>
    <w:tmpl w:val="2CD8D13A"/>
    <w:lvl w:ilvl="0">
      <w:start w:val="1"/>
      <w:numFmt w:val="decimal"/>
      <w:lvlText w:val="%1."/>
      <w:lvlJc w:val="left"/>
      <w:pPr>
        <w:ind w:left="1095" w:hanging="360"/>
      </w:pPr>
      <w:rPr>
        <w:b w:val="0"/>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3" w15:restartNumberingAfterBreak="0">
    <w:nsid w:val="5C127640"/>
    <w:multiLevelType w:val="hybridMultilevel"/>
    <w:tmpl w:val="0DE44FE0"/>
    <w:lvl w:ilvl="0" w:tplc="6E7E4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C52001A"/>
    <w:multiLevelType w:val="hybridMultilevel"/>
    <w:tmpl w:val="51663ECE"/>
    <w:lvl w:ilvl="0" w:tplc="31CCDAD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6877F5"/>
    <w:multiLevelType w:val="hybridMultilevel"/>
    <w:tmpl w:val="05FC01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3B6E85"/>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37" w15:restartNumberingAfterBreak="0">
    <w:nsid w:val="62A0697A"/>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65801AB6"/>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6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6B8B0E3B"/>
    <w:multiLevelType w:val="hybridMultilevel"/>
    <w:tmpl w:val="ADF401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B23AE0"/>
    <w:multiLevelType w:val="hybridMultilevel"/>
    <w:tmpl w:val="72F246A2"/>
    <w:lvl w:ilvl="0" w:tplc="D7D6BB34">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1" w15:restartNumberingAfterBreak="0">
    <w:nsid w:val="6D175DC4"/>
    <w:multiLevelType w:val="hybridMultilevel"/>
    <w:tmpl w:val="E892B7E2"/>
    <w:lvl w:ilvl="0" w:tplc="EE62A888">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2" w15:restartNumberingAfterBreak="0">
    <w:nsid w:val="6D2A3C82"/>
    <w:multiLevelType w:val="hybridMultilevel"/>
    <w:tmpl w:val="55EEF4A4"/>
    <w:lvl w:ilvl="0" w:tplc="2FCAA654">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F2F82B"/>
    <w:multiLevelType w:val="singleLevel"/>
    <w:tmpl w:val="72F2F82B"/>
    <w:lvl w:ilvl="0">
      <w:start w:val="1"/>
      <w:numFmt w:val="decimal"/>
      <w:suff w:val="space"/>
      <w:lvlText w:val="%1)"/>
      <w:lvlJc w:val="left"/>
    </w:lvl>
  </w:abstractNum>
  <w:abstractNum w:abstractNumId="44" w15:restartNumberingAfterBreak="0">
    <w:nsid w:val="74EC421A"/>
    <w:multiLevelType w:val="hybridMultilevel"/>
    <w:tmpl w:val="434E927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5" w15:restartNumberingAfterBreak="0">
    <w:nsid w:val="797F5425"/>
    <w:multiLevelType w:val="hybridMultilevel"/>
    <w:tmpl w:val="62946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7649483">
    <w:abstractNumId w:val="44"/>
  </w:num>
  <w:num w:numId="2" w16cid:durableId="1210532920">
    <w:abstractNumId w:val="11"/>
  </w:num>
  <w:num w:numId="3" w16cid:durableId="1194348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4147156">
    <w:abstractNumId w:val="5"/>
  </w:num>
  <w:num w:numId="5" w16cid:durableId="1442452461">
    <w:abstractNumId w:val="36"/>
  </w:num>
  <w:num w:numId="6" w16cid:durableId="624044301">
    <w:abstractNumId w:val="21"/>
  </w:num>
  <w:num w:numId="7" w16cid:durableId="2020890525">
    <w:abstractNumId w:val="1"/>
  </w:num>
  <w:num w:numId="8" w16cid:durableId="16053355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80045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979439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0967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1187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77716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836758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11249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3673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00186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48145024">
    <w:abstractNumId w:val="22"/>
  </w:num>
  <w:num w:numId="19" w16cid:durableId="1308820891">
    <w:abstractNumId w:val="3"/>
  </w:num>
  <w:num w:numId="20" w16cid:durableId="1294562787">
    <w:abstractNumId w:val="38"/>
  </w:num>
  <w:num w:numId="21" w16cid:durableId="1012414736">
    <w:abstractNumId w:val="7"/>
  </w:num>
  <w:num w:numId="22" w16cid:durableId="1903906077">
    <w:abstractNumId w:val="43"/>
  </w:num>
  <w:num w:numId="23" w16cid:durableId="1636061366">
    <w:abstractNumId w:val="29"/>
  </w:num>
  <w:num w:numId="24" w16cid:durableId="403187961">
    <w:abstractNumId w:val="12"/>
  </w:num>
  <w:num w:numId="25" w16cid:durableId="296646521">
    <w:abstractNumId w:val="37"/>
  </w:num>
  <w:num w:numId="26" w16cid:durableId="618417168">
    <w:abstractNumId w:val="42"/>
  </w:num>
  <w:num w:numId="27" w16cid:durableId="1588271252">
    <w:abstractNumId w:val="35"/>
  </w:num>
  <w:num w:numId="28" w16cid:durableId="352340367">
    <w:abstractNumId w:val="26"/>
  </w:num>
  <w:num w:numId="29" w16cid:durableId="959143869">
    <w:abstractNumId w:val="9"/>
  </w:num>
  <w:num w:numId="30" w16cid:durableId="1541433393">
    <w:abstractNumId w:val="20"/>
  </w:num>
  <w:num w:numId="31" w16cid:durableId="169562337">
    <w:abstractNumId w:val="15"/>
  </w:num>
  <w:num w:numId="32" w16cid:durableId="658507594">
    <w:abstractNumId w:val="10"/>
  </w:num>
  <w:num w:numId="33" w16cid:durableId="1937665326">
    <w:abstractNumId w:val="16"/>
  </w:num>
  <w:num w:numId="34" w16cid:durableId="1117259612">
    <w:abstractNumId w:val="45"/>
  </w:num>
  <w:num w:numId="35" w16cid:durableId="8220388">
    <w:abstractNumId w:val="4"/>
  </w:num>
  <w:num w:numId="36" w16cid:durableId="712121102">
    <w:abstractNumId w:val="0"/>
  </w:num>
  <w:num w:numId="37" w16cid:durableId="2137064645">
    <w:abstractNumId w:val="39"/>
  </w:num>
  <w:num w:numId="38" w16cid:durableId="1248342606">
    <w:abstractNumId w:val="34"/>
  </w:num>
  <w:num w:numId="39" w16cid:durableId="307369180">
    <w:abstractNumId w:val="19"/>
  </w:num>
  <w:num w:numId="40" w16cid:durableId="1249734003">
    <w:abstractNumId w:val="33"/>
  </w:num>
  <w:num w:numId="41" w16cid:durableId="463281217">
    <w:abstractNumId w:val="14"/>
  </w:num>
  <w:num w:numId="42" w16cid:durableId="1827935858">
    <w:abstractNumId w:val="2"/>
  </w:num>
  <w:num w:numId="43" w16cid:durableId="685131362">
    <w:abstractNumId w:val="32"/>
  </w:num>
  <w:num w:numId="44" w16cid:durableId="1596282059">
    <w:abstractNumId w:val="30"/>
  </w:num>
  <w:num w:numId="45" w16cid:durableId="999578982">
    <w:abstractNumId w:val="31"/>
  </w:num>
  <w:num w:numId="46" w16cid:durableId="1540046257">
    <w:abstractNumId w:val="24"/>
  </w:num>
  <w:num w:numId="47" w16cid:durableId="1995983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5D4"/>
    <w:rsid w:val="00000CE6"/>
    <w:rsid w:val="00001282"/>
    <w:rsid w:val="00001FF3"/>
    <w:rsid w:val="000023B2"/>
    <w:rsid w:val="00003AF8"/>
    <w:rsid w:val="000047E3"/>
    <w:rsid w:val="0000596A"/>
    <w:rsid w:val="00006ED0"/>
    <w:rsid w:val="00007066"/>
    <w:rsid w:val="000108A7"/>
    <w:rsid w:val="00012513"/>
    <w:rsid w:val="00012CC3"/>
    <w:rsid w:val="0001439E"/>
    <w:rsid w:val="000150CA"/>
    <w:rsid w:val="00015878"/>
    <w:rsid w:val="00035F47"/>
    <w:rsid w:val="00041345"/>
    <w:rsid w:val="00041CC1"/>
    <w:rsid w:val="0004244A"/>
    <w:rsid w:val="00042E31"/>
    <w:rsid w:val="0004422F"/>
    <w:rsid w:val="00047C79"/>
    <w:rsid w:val="000532F3"/>
    <w:rsid w:val="000533BD"/>
    <w:rsid w:val="0005716A"/>
    <w:rsid w:val="00060032"/>
    <w:rsid w:val="000620A9"/>
    <w:rsid w:val="00065A3C"/>
    <w:rsid w:val="00065D77"/>
    <w:rsid w:val="00066379"/>
    <w:rsid w:val="00071179"/>
    <w:rsid w:val="0007146E"/>
    <w:rsid w:val="00071BA8"/>
    <w:rsid w:val="00071F6D"/>
    <w:rsid w:val="000740A2"/>
    <w:rsid w:val="00074611"/>
    <w:rsid w:val="00075E39"/>
    <w:rsid w:val="00075F14"/>
    <w:rsid w:val="0007793E"/>
    <w:rsid w:val="000841EA"/>
    <w:rsid w:val="0008481F"/>
    <w:rsid w:val="00086A07"/>
    <w:rsid w:val="000916D8"/>
    <w:rsid w:val="000917A1"/>
    <w:rsid w:val="00091F78"/>
    <w:rsid w:val="000973F0"/>
    <w:rsid w:val="0009786B"/>
    <w:rsid w:val="000A2797"/>
    <w:rsid w:val="000A7E51"/>
    <w:rsid w:val="000B2814"/>
    <w:rsid w:val="000B5238"/>
    <w:rsid w:val="000B5469"/>
    <w:rsid w:val="000C0296"/>
    <w:rsid w:val="000C0EF3"/>
    <w:rsid w:val="000C11A0"/>
    <w:rsid w:val="000C58B3"/>
    <w:rsid w:val="000C7055"/>
    <w:rsid w:val="000D00FA"/>
    <w:rsid w:val="000D24B7"/>
    <w:rsid w:val="000D3B1C"/>
    <w:rsid w:val="000D3CA3"/>
    <w:rsid w:val="000D647D"/>
    <w:rsid w:val="000E6B2C"/>
    <w:rsid w:val="000E6F69"/>
    <w:rsid w:val="000F48B3"/>
    <w:rsid w:val="000F5AA5"/>
    <w:rsid w:val="000F6C21"/>
    <w:rsid w:val="00104643"/>
    <w:rsid w:val="0010466C"/>
    <w:rsid w:val="0010597C"/>
    <w:rsid w:val="00105A98"/>
    <w:rsid w:val="00105C8F"/>
    <w:rsid w:val="00105D45"/>
    <w:rsid w:val="001127FA"/>
    <w:rsid w:val="001212BA"/>
    <w:rsid w:val="001219EB"/>
    <w:rsid w:val="00121C60"/>
    <w:rsid w:val="00125DD6"/>
    <w:rsid w:val="00127345"/>
    <w:rsid w:val="00127D3E"/>
    <w:rsid w:val="00131DB2"/>
    <w:rsid w:val="0013494D"/>
    <w:rsid w:val="00135252"/>
    <w:rsid w:val="00136415"/>
    <w:rsid w:val="0014130F"/>
    <w:rsid w:val="00142769"/>
    <w:rsid w:val="001439A1"/>
    <w:rsid w:val="00143CA8"/>
    <w:rsid w:val="001445A6"/>
    <w:rsid w:val="0014462E"/>
    <w:rsid w:val="00150334"/>
    <w:rsid w:val="00151469"/>
    <w:rsid w:val="00152031"/>
    <w:rsid w:val="001537F2"/>
    <w:rsid w:val="00160B85"/>
    <w:rsid w:val="00161F71"/>
    <w:rsid w:val="00164DE4"/>
    <w:rsid w:val="00172205"/>
    <w:rsid w:val="00175A0F"/>
    <w:rsid w:val="00175DFD"/>
    <w:rsid w:val="0017616B"/>
    <w:rsid w:val="00185A2F"/>
    <w:rsid w:val="00187621"/>
    <w:rsid w:val="00191F6E"/>
    <w:rsid w:val="0019254F"/>
    <w:rsid w:val="00192A3A"/>
    <w:rsid w:val="001A31CF"/>
    <w:rsid w:val="001B2810"/>
    <w:rsid w:val="001B2ED0"/>
    <w:rsid w:val="001B45D4"/>
    <w:rsid w:val="001B4965"/>
    <w:rsid w:val="001B4C1C"/>
    <w:rsid w:val="001B6220"/>
    <w:rsid w:val="001C2E6D"/>
    <w:rsid w:val="001C2FA1"/>
    <w:rsid w:val="001C45B5"/>
    <w:rsid w:val="001C5D6B"/>
    <w:rsid w:val="001C6765"/>
    <w:rsid w:val="001C7172"/>
    <w:rsid w:val="001D13CE"/>
    <w:rsid w:val="001D24A8"/>
    <w:rsid w:val="001D5496"/>
    <w:rsid w:val="001E02D5"/>
    <w:rsid w:val="001E5813"/>
    <w:rsid w:val="001F29FF"/>
    <w:rsid w:val="001F6B76"/>
    <w:rsid w:val="001F77BC"/>
    <w:rsid w:val="001F7CEF"/>
    <w:rsid w:val="00203638"/>
    <w:rsid w:val="0020483B"/>
    <w:rsid w:val="002056B6"/>
    <w:rsid w:val="00211A41"/>
    <w:rsid w:val="00213CE9"/>
    <w:rsid w:val="00226CEA"/>
    <w:rsid w:val="00230B2E"/>
    <w:rsid w:val="00230B64"/>
    <w:rsid w:val="00231883"/>
    <w:rsid w:val="002334EB"/>
    <w:rsid w:val="002420CF"/>
    <w:rsid w:val="00242625"/>
    <w:rsid w:val="00243D79"/>
    <w:rsid w:val="0024626E"/>
    <w:rsid w:val="00247A45"/>
    <w:rsid w:val="00247B76"/>
    <w:rsid w:val="002503B6"/>
    <w:rsid w:val="002556E3"/>
    <w:rsid w:val="00257A2E"/>
    <w:rsid w:val="002608F3"/>
    <w:rsid w:val="0026154D"/>
    <w:rsid w:val="00265D0E"/>
    <w:rsid w:val="002661C1"/>
    <w:rsid w:val="00267D8F"/>
    <w:rsid w:val="00276DAE"/>
    <w:rsid w:val="002820FF"/>
    <w:rsid w:val="00284114"/>
    <w:rsid w:val="00285914"/>
    <w:rsid w:val="00287932"/>
    <w:rsid w:val="002A09D9"/>
    <w:rsid w:val="002A26BC"/>
    <w:rsid w:val="002A5299"/>
    <w:rsid w:val="002A7064"/>
    <w:rsid w:val="002B0211"/>
    <w:rsid w:val="002B5BB5"/>
    <w:rsid w:val="002B77C4"/>
    <w:rsid w:val="002B7EDA"/>
    <w:rsid w:val="002C2F65"/>
    <w:rsid w:val="002C7D9E"/>
    <w:rsid w:val="002D4F69"/>
    <w:rsid w:val="002D7024"/>
    <w:rsid w:val="002E1FA7"/>
    <w:rsid w:val="002E3078"/>
    <w:rsid w:val="002E6151"/>
    <w:rsid w:val="002E6A42"/>
    <w:rsid w:val="002F6309"/>
    <w:rsid w:val="00305122"/>
    <w:rsid w:val="003051BC"/>
    <w:rsid w:val="00306A1A"/>
    <w:rsid w:val="00314F0D"/>
    <w:rsid w:val="00314F95"/>
    <w:rsid w:val="00315B57"/>
    <w:rsid w:val="0031756C"/>
    <w:rsid w:val="003202F8"/>
    <w:rsid w:val="003211E2"/>
    <w:rsid w:val="00321A99"/>
    <w:rsid w:val="00321EA1"/>
    <w:rsid w:val="003228C3"/>
    <w:rsid w:val="0032631C"/>
    <w:rsid w:val="003268B1"/>
    <w:rsid w:val="00326B0F"/>
    <w:rsid w:val="00326EC4"/>
    <w:rsid w:val="003317A0"/>
    <w:rsid w:val="003323F7"/>
    <w:rsid w:val="00332B0E"/>
    <w:rsid w:val="00340A6F"/>
    <w:rsid w:val="00341361"/>
    <w:rsid w:val="00343224"/>
    <w:rsid w:val="00344E95"/>
    <w:rsid w:val="00347E45"/>
    <w:rsid w:val="0035151B"/>
    <w:rsid w:val="0035253F"/>
    <w:rsid w:val="003545D5"/>
    <w:rsid w:val="00360D43"/>
    <w:rsid w:val="003610D3"/>
    <w:rsid w:val="00361B23"/>
    <w:rsid w:val="00361F1B"/>
    <w:rsid w:val="003667AA"/>
    <w:rsid w:val="0036794F"/>
    <w:rsid w:val="00374151"/>
    <w:rsid w:val="00374D9F"/>
    <w:rsid w:val="00376270"/>
    <w:rsid w:val="003775AF"/>
    <w:rsid w:val="00380518"/>
    <w:rsid w:val="00380A6D"/>
    <w:rsid w:val="00382173"/>
    <w:rsid w:val="00382C48"/>
    <w:rsid w:val="0038766B"/>
    <w:rsid w:val="00390071"/>
    <w:rsid w:val="00393CF8"/>
    <w:rsid w:val="00393D32"/>
    <w:rsid w:val="0039415B"/>
    <w:rsid w:val="003A16D9"/>
    <w:rsid w:val="003A4F0B"/>
    <w:rsid w:val="003A4FCC"/>
    <w:rsid w:val="003B4F93"/>
    <w:rsid w:val="003B654E"/>
    <w:rsid w:val="003C3152"/>
    <w:rsid w:val="003C5001"/>
    <w:rsid w:val="003C729F"/>
    <w:rsid w:val="003D062F"/>
    <w:rsid w:val="003D20FF"/>
    <w:rsid w:val="003D3DF8"/>
    <w:rsid w:val="003D5FA2"/>
    <w:rsid w:val="003D7664"/>
    <w:rsid w:val="003E2D6A"/>
    <w:rsid w:val="003E65F9"/>
    <w:rsid w:val="003F087D"/>
    <w:rsid w:val="003F19E1"/>
    <w:rsid w:val="003F3D52"/>
    <w:rsid w:val="003F5107"/>
    <w:rsid w:val="004024E6"/>
    <w:rsid w:val="004030C6"/>
    <w:rsid w:val="004065BC"/>
    <w:rsid w:val="0040775F"/>
    <w:rsid w:val="00410DFD"/>
    <w:rsid w:val="00415E3C"/>
    <w:rsid w:val="00422AE9"/>
    <w:rsid w:val="00423229"/>
    <w:rsid w:val="00423C81"/>
    <w:rsid w:val="00423E54"/>
    <w:rsid w:val="00424CE3"/>
    <w:rsid w:val="0042752B"/>
    <w:rsid w:val="00427B46"/>
    <w:rsid w:val="004315DF"/>
    <w:rsid w:val="00431A82"/>
    <w:rsid w:val="00432668"/>
    <w:rsid w:val="00432D94"/>
    <w:rsid w:val="004373A0"/>
    <w:rsid w:val="004454CF"/>
    <w:rsid w:val="004501D6"/>
    <w:rsid w:val="004554E3"/>
    <w:rsid w:val="00455718"/>
    <w:rsid w:val="004723F5"/>
    <w:rsid w:val="00472820"/>
    <w:rsid w:val="0047475B"/>
    <w:rsid w:val="00477FD4"/>
    <w:rsid w:val="00482D65"/>
    <w:rsid w:val="00485422"/>
    <w:rsid w:val="00485C50"/>
    <w:rsid w:val="00491F41"/>
    <w:rsid w:val="004929C9"/>
    <w:rsid w:val="00493E87"/>
    <w:rsid w:val="00494AF5"/>
    <w:rsid w:val="004A1D52"/>
    <w:rsid w:val="004A3901"/>
    <w:rsid w:val="004A76A0"/>
    <w:rsid w:val="004B0E5E"/>
    <w:rsid w:val="004B26A1"/>
    <w:rsid w:val="004B4C8A"/>
    <w:rsid w:val="004B50A3"/>
    <w:rsid w:val="004C00A6"/>
    <w:rsid w:val="004C6295"/>
    <w:rsid w:val="004C647D"/>
    <w:rsid w:val="004C76FE"/>
    <w:rsid w:val="004D03DF"/>
    <w:rsid w:val="004D146C"/>
    <w:rsid w:val="004D17F4"/>
    <w:rsid w:val="004D253D"/>
    <w:rsid w:val="004D3CA5"/>
    <w:rsid w:val="004D7B08"/>
    <w:rsid w:val="004E187A"/>
    <w:rsid w:val="004E2841"/>
    <w:rsid w:val="004E4042"/>
    <w:rsid w:val="004E4346"/>
    <w:rsid w:val="004F5430"/>
    <w:rsid w:val="00500D69"/>
    <w:rsid w:val="00502F2A"/>
    <w:rsid w:val="00506977"/>
    <w:rsid w:val="005112DD"/>
    <w:rsid w:val="00512487"/>
    <w:rsid w:val="005145A2"/>
    <w:rsid w:val="005153CD"/>
    <w:rsid w:val="005155DE"/>
    <w:rsid w:val="0051589C"/>
    <w:rsid w:val="005222B0"/>
    <w:rsid w:val="00523382"/>
    <w:rsid w:val="00526EFC"/>
    <w:rsid w:val="00531472"/>
    <w:rsid w:val="005323B0"/>
    <w:rsid w:val="00532D7B"/>
    <w:rsid w:val="005340BB"/>
    <w:rsid w:val="00535EDB"/>
    <w:rsid w:val="0054026B"/>
    <w:rsid w:val="00541ED1"/>
    <w:rsid w:val="00546B82"/>
    <w:rsid w:val="00547654"/>
    <w:rsid w:val="005476FF"/>
    <w:rsid w:val="005554B2"/>
    <w:rsid w:val="0055649B"/>
    <w:rsid w:val="00556D21"/>
    <w:rsid w:val="00557D1E"/>
    <w:rsid w:val="00561361"/>
    <w:rsid w:val="00561CD2"/>
    <w:rsid w:val="0057123B"/>
    <w:rsid w:val="00576B6B"/>
    <w:rsid w:val="0058017C"/>
    <w:rsid w:val="00580B14"/>
    <w:rsid w:val="005813C9"/>
    <w:rsid w:val="0058234C"/>
    <w:rsid w:val="005834EA"/>
    <w:rsid w:val="00583C92"/>
    <w:rsid w:val="00583D50"/>
    <w:rsid w:val="00590320"/>
    <w:rsid w:val="00590872"/>
    <w:rsid w:val="00592263"/>
    <w:rsid w:val="005925AB"/>
    <w:rsid w:val="00594136"/>
    <w:rsid w:val="00594C8B"/>
    <w:rsid w:val="00596F60"/>
    <w:rsid w:val="00597D18"/>
    <w:rsid w:val="005A3BF6"/>
    <w:rsid w:val="005A6410"/>
    <w:rsid w:val="005A7901"/>
    <w:rsid w:val="005B3018"/>
    <w:rsid w:val="005B591E"/>
    <w:rsid w:val="005B6D35"/>
    <w:rsid w:val="005C10D2"/>
    <w:rsid w:val="005C1733"/>
    <w:rsid w:val="005C4147"/>
    <w:rsid w:val="005C43AF"/>
    <w:rsid w:val="005C6CFA"/>
    <w:rsid w:val="005D0BA4"/>
    <w:rsid w:val="005D4C40"/>
    <w:rsid w:val="005D7FF0"/>
    <w:rsid w:val="005E0066"/>
    <w:rsid w:val="005E3E57"/>
    <w:rsid w:val="005E4C0A"/>
    <w:rsid w:val="005F3C00"/>
    <w:rsid w:val="005F4126"/>
    <w:rsid w:val="00602854"/>
    <w:rsid w:val="00603DEE"/>
    <w:rsid w:val="00605838"/>
    <w:rsid w:val="006147E5"/>
    <w:rsid w:val="00614D0D"/>
    <w:rsid w:val="00617DC2"/>
    <w:rsid w:val="00620006"/>
    <w:rsid w:val="00624DAC"/>
    <w:rsid w:val="00631965"/>
    <w:rsid w:val="006328C5"/>
    <w:rsid w:val="00633F8F"/>
    <w:rsid w:val="00634E94"/>
    <w:rsid w:val="006356BF"/>
    <w:rsid w:val="00635EC2"/>
    <w:rsid w:val="00636DD4"/>
    <w:rsid w:val="00641F86"/>
    <w:rsid w:val="0064249C"/>
    <w:rsid w:val="006431E5"/>
    <w:rsid w:val="0064374B"/>
    <w:rsid w:val="006447E6"/>
    <w:rsid w:val="00645297"/>
    <w:rsid w:val="00645905"/>
    <w:rsid w:val="00646420"/>
    <w:rsid w:val="00647312"/>
    <w:rsid w:val="006529EB"/>
    <w:rsid w:val="00652F2F"/>
    <w:rsid w:val="00655D15"/>
    <w:rsid w:val="00656D8B"/>
    <w:rsid w:val="00664369"/>
    <w:rsid w:val="0066687E"/>
    <w:rsid w:val="006707DA"/>
    <w:rsid w:val="0067430E"/>
    <w:rsid w:val="006743D1"/>
    <w:rsid w:val="00675D42"/>
    <w:rsid w:val="006761E1"/>
    <w:rsid w:val="00677D76"/>
    <w:rsid w:val="00691CF8"/>
    <w:rsid w:val="00694E01"/>
    <w:rsid w:val="006952C9"/>
    <w:rsid w:val="00695518"/>
    <w:rsid w:val="0069770C"/>
    <w:rsid w:val="006A0876"/>
    <w:rsid w:val="006A14C6"/>
    <w:rsid w:val="006A5B23"/>
    <w:rsid w:val="006A72BD"/>
    <w:rsid w:val="006B51FE"/>
    <w:rsid w:val="006B704B"/>
    <w:rsid w:val="006B77E5"/>
    <w:rsid w:val="006C0D1D"/>
    <w:rsid w:val="006C41B3"/>
    <w:rsid w:val="006C456D"/>
    <w:rsid w:val="006C5405"/>
    <w:rsid w:val="006C645A"/>
    <w:rsid w:val="006C66B0"/>
    <w:rsid w:val="006C7E48"/>
    <w:rsid w:val="006D470B"/>
    <w:rsid w:val="006D6210"/>
    <w:rsid w:val="006E0EC6"/>
    <w:rsid w:val="006E45AF"/>
    <w:rsid w:val="006E576C"/>
    <w:rsid w:val="006E6A1A"/>
    <w:rsid w:val="006F4002"/>
    <w:rsid w:val="006F45F1"/>
    <w:rsid w:val="006F4873"/>
    <w:rsid w:val="006F4B16"/>
    <w:rsid w:val="00705522"/>
    <w:rsid w:val="00705A32"/>
    <w:rsid w:val="00706EFC"/>
    <w:rsid w:val="00706F57"/>
    <w:rsid w:val="00707D0D"/>
    <w:rsid w:val="007111B7"/>
    <w:rsid w:val="0071235B"/>
    <w:rsid w:val="007162F4"/>
    <w:rsid w:val="007163B5"/>
    <w:rsid w:val="00717596"/>
    <w:rsid w:val="00720D36"/>
    <w:rsid w:val="00721BBA"/>
    <w:rsid w:val="007239EE"/>
    <w:rsid w:val="0072457B"/>
    <w:rsid w:val="00724E82"/>
    <w:rsid w:val="00727424"/>
    <w:rsid w:val="00727E5A"/>
    <w:rsid w:val="0073771C"/>
    <w:rsid w:val="00737B6E"/>
    <w:rsid w:val="00737CB3"/>
    <w:rsid w:val="007432A7"/>
    <w:rsid w:val="00743333"/>
    <w:rsid w:val="00747B02"/>
    <w:rsid w:val="0075314B"/>
    <w:rsid w:val="00755993"/>
    <w:rsid w:val="00762261"/>
    <w:rsid w:val="0076227A"/>
    <w:rsid w:val="00764BB5"/>
    <w:rsid w:val="00764D03"/>
    <w:rsid w:val="0076598E"/>
    <w:rsid w:val="00766F9A"/>
    <w:rsid w:val="007672B6"/>
    <w:rsid w:val="007715BE"/>
    <w:rsid w:val="00772458"/>
    <w:rsid w:val="0077684A"/>
    <w:rsid w:val="007775C9"/>
    <w:rsid w:val="007808D0"/>
    <w:rsid w:val="00782759"/>
    <w:rsid w:val="007842B9"/>
    <w:rsid w:val="00784D2F"/>
    <w:rsid w:val="00785A1F"/>
    <w:rsid w:val="00785F5A"/>
    <w:rsid w:val="0078665E"/>
    <w:rsid w:val="007866C8"/>
    <w:rsid w:val="00786994"/>
    <w:rsid w:val="00791588"/>
    <w:rsid w:val="007945C1"/>
    <w:rsid w:val="00795F84"/>
    <w:rsid w:val="007A3139"/>
    <w:rsid w:val="007A3B46"/>
    <w:rsid w:val="007A4138"/>
    <w:rsid w:val="007A4E98"/>
    <w:rsid w:val="007A714C"/>
    <w:rsid w:val="007B0F62"/>
    <w:rsid w:val="007B3F56"/>
    <w:rsid w:val="007C574B"/>
    <w:rsid w:val="007D3055"/>
    <w:rsid w:val="007D3BAE"/>
    <w:rsid w:val="007D5DA7"/>
    <w:rsid w:val="007D741F"/>
    <w:rsid w:val="007E1354"/>
    <w:rsid w:val="007E14A9"/>
    <w:rsid w:val="007E3D61"/>
    <w:rsid w:val="007E5955"/>
    <w:rsid w:val="007E6914"/>
    <w:rsid w:val="007E6EB2"/>
    <w:rsid w:val="007E72A5"/>
    <w:rsid w:val="007F0DDF"/>
    <w:rsid w:val="007F10FE"/>
    <w:rsid w:val="007F25F0"/>
    <w:rsid w:val="007F5429"/>
    <w:rsid w:val="007F5854"/>
    <w:rsid w:val="007F6114"/>
    <w:rsid w:val="00800023"/>
    <w:rsid w:val="00803C25"/>
    <w:rsid w:val="008059BF"/>
    <w:rsid w:val="00806920"/>
    <w:rsid w:val="00806F01"/>
    <w:rsid w:val="008101BE"/>
    <w:rsid w:val="00811018"/>
    <w:rsid w:val="0081243D"/>
    <w:rsid w:val="00812D8C"/>
    <w:rsid w:val="00814610"/>
    <w:rsid w:val="00821B7C"/>
    <w:rsid w:val="00822B0B"/>
    <w:rsid w:val="00822C0A"/>
    <w:rsid w:val="008253C9"/>
    <w:rsid w:val="00826208"/>
    <w:rsid w:val="00826B5C"/>
    <w:rsid w:val="008302DB"/>
    <w:rsid w:val="00831DE6"/>
    <w:rsid w:val="00832B2A"/>
    <w:rsid w:val="008357AE"/>
    <w:rsid w:val="00836166"/>
    <w:rsid w:val="0084515D"/>
    <w:rsid w:val="00846348"/>
    <w:rsid w:val="00851390"/>
    <w:rsid w:val="00852537"/>
    <w:rsid w:val="008566D9"/>
    <w:rsid w:val="00861078"/>
    <w:rsid w:val="00862D01"/>
    <w:rsid w:val="00864F6B"/>
    <w:rsid w:val="00867405"/>
    <w:rsid w:val="00867A28"/>
    <w:rsid w:val="00871982"/>
    <w:rsid w:val="0087534F"/>
    <w:rsid w:val="008757D8"/>
    <w:rsid w:val="00877185"/>
    <w:rsid w:val="00881CD1"/>
    <w:rsid w:val="00883443"/>
    <w:rsid w:val="0088345B"/>
    <w:rsid w:val="008838D9"/>
    <w:rsid w:val="00885EB5"/>
    <w:rsid w:val="0088612D"/>
    <w:rsid w:val="00890B4C"/>
    <w:rsid w:val="00892156"/>
    <w:rsid w:val="008940DD"/>
    <w:rsid w:val="00895E41"/>
    <w:rsid w:val="00897442"/>
    <w:rsid w:val="00897808"/>
    <w:rsid w:val="008A19D1"/>
    <w:rsid w:val="008A2CCC"/>
    <w:rsid w:val="008A4453"/>
    <w:rsid w:val="008A61AD"/>
    <w:rsid w:val="008A73A9"/>
    <w:rsid w:val="008A7F4E"/>
    <w:rsid w:val="008B50B8"/>
    <w:rsid w:val="008B5865"/>
    <w:rsid w:val="008C7BDB"/>
    <w:rsid w:val="008D5FDC"/>
    <w:rsid w:val="008D6DE7"/>
    <w:rsid w:val="008E0BA6"/>
    <w:rsid w:val="008E1416"/>
    <w:rsid w:val="008E1EE8"/>
    <w:rsid w:val="008E5AA3"/>
    <w:rsid w:val="008E626B"/>
    <w:rsid w:val="008E73F5"/>
    <w:rsid w:val="008F0F55"/>
    <w:rsid w:val="008F23EB"/>
    <w:rsid w:val="008F4715"/>
    <w:rsid w:val="008F4806"/>
    <w:rsid w:val="008F70B1"/>
    <w:rsid w:val="008F7D88"/>
    <w:rsid w:val="00905D03"/>
    <w:rsid w:val="00905F7E"/>
    <w:rsid w:val="00911149"/>
    <w:rsid w:val="00915121"/>
    <w:rsid w:val="0091635D"/>
    <w:rsid w:val="00916A09"/>
    <w:rsid w:val="00921F1E"/>
    <w:rsid w:val="00922B81"/>
    <w:rsid w:val="0093296A"/>
    <w:rsid w:val="009337B5"/>
    <w:rsid w:val="009352DF"/>
    <w:rsid w:val="009404B8"/>
    <w:rsid w:val="009440C8"/>
    <w:rsid w:val="009504EC"/>
    <w:rsid w:val="009508F7"/>
    <w:rsid w:val="00955061"/>
    <w:rsid w:val="00955CD5"/>
    <w:rsid w:val="00957B27"/>
    <w:rsid w:val="0096122F"/>
    <w:rsid w:val="00961907"/>
    <w:rsid w:val="00961D10"/>
    <w:rsid w:val="009647E1"/>
    <w:rsid w:val="00971D89"/>
    <w:rsid w:val="00971F31"/>
    <w:rsid w:val="00972D17"/>
    <w:rsid w:val="00977A52"/>
    <w:rsid w:val="00980920"/>
    <w:rsid w:val="00982D17"/>
    <w:rsid w:val="009839A6"/>
    <w:rsid w:val="00983C8B"/>
    <w:rsid w:val="009852B0"/>
    <w:rsid w:val="0098532D"/>
    <w:rsid w:val="00987630"/>
    <w:rsid w:val="00987F9B"/>
    <w:rsid w:val="00990B30"/>
    <w:rsid w:val="00990DCA"/>
    <w:rsid w:val="00990F26"/>
    <w:rsid w:val="00991CB9"/>
    <w:rsid w:val="00992E02"/>
    <w:rsid w:val="00994A2C"/>
    <w:rsid w:val="009A255B"/>
    <w:rsid w:val="009A405F"/>
    <w:rsid w:val="009B1A67"/>
    <w:rsid w:val="009B674A"/>
    <w:rsid w:val="009B7EA5"/>
    <w:rsid w:val="009C11B6"/>
    <w:rsid w:val="009C286B"/>
    <w:rsid w:val="009C542D"/>
    <w:rsid w:val="009C5836"/>
    <w:rsid w:val="009C7148"/>
    <w:rsid w:val="009C7F6F"/>
    <w:rsid w:val="009D5CF7"/>
    <w:rsid w:val="009D606D"/>
    <w:rsid w:val="009D7FF1"/>
    <w:rsid w:val="009E0A51"/>
    <w:rsid w:val="009E2906"/>
    <w:rsid w:val="009E44EE"/>
    <w:rsid w:val="009E46D8"/>
    <w:rsid w:val="009E4FAE"/>
    <w:rsid w:val="009F05DA"/>
    <w:rsid w:val="009F07D2"/>
    <w:rsid w:val="009F333A"/>
    <w:rsid w:val="009F4AEE"/>
    <w:rsid w:val="009F5550"/>
    <w:rsid w:val="00A0196A"/>
    <w:rsid w:val="00A06708"/>
    <w:rsid w:val="00A07968"/>
    <w:rsid w:val="00A11903"/>
    <w:rsid w:val="00A12843"/>
    <w:rsid w:val="00A143A8"/>
    <w:rsid w:val="00A14F2B"/>
    <w:rsid w:val="00A22E3A"/>
    <w:rsid w:val="00A24973"/>
    <w:rsid w:val="00A25989"/>
    <w:rsid w:val="00A25DDC"/>
    <w:rsid w:val="00A27996"/>
    <w:rsid w:val="00A316A1"/>
    <w:rsid w:val="00A323BE"/>
    <w:rsid w:val="00A35469"/>
    <w:rsid w:val="00A37D4D"/>
    <w:rsid w:val="00A4368E"/>
    <w:rsid w:val="00A43B3F"/>
    <w:rsid w:val="00A465C7"/>
    <w:rsid w:val="00A4683C"/>
    <w:rsid w:val="00A50FB4"/>
    <w:rsid w:val="00A52F82"/>
    <w:rsid w:val="00A534E5"/>
    <w:rsid w:val="00A6281F"/>
    <w:rsid w:val="00A6432D"/>
    <w:rsid w:val="00A71851"/>
    <w:rsid w:val="00A73ABB"/>
    <w:rsid w:val="00A73D64"/>
    <w:rsid w:val="00A73FDD"/>
    <w:rsid w:val="00A755C1"/>
    <w:rsid w:val="00A803F6"/>
    <w:rsid w:val="00A9436E"/>
    <w:rsid w:val="00A95B6A"/>
    <w:rsid w:val="00A962DF"/>
    <w:rsid w:val="00AA0F2C"/>
    <w:rsid w:val="00AA221A"/>
    <w:rsid w:val="00AA296B"/>
    <w:rsid w:val="00AA2FB8"/>
    <w:rsid w:val="00AA7D74"/>
    <w:rsid w:val="00AC213A"/>
    <w:rsid w:val="00AC2A83"/>
    <w:rsid w:val="00AC2EB0"/>
    <w:rsid w:val="00AC32C6"/>
    <w:rsid w:val="00AC55B8"/>
    <w:rsid w:val="00AC55C1"/>
    <w:rsid w:val="00AC7B49"/>
    <w:rsid w:val="00AD037D"/>
    <w:rsid w:val="00AD563F"/>
    <w:rsid w:val="00AE0237"/>
    <w:rsid w:val="00AE3786"/>
    <w:rsid w:val="00AE3872"/>
    <w:rsid w:val="00AE5173"/>
    <w:rsid w:val="00AE7434"/>
    <w:rsid w:val="00AF029F"/>
    <w:rsid w:val="00AF211C"/>
    <w:rsid w:val="00AF4431"/>
    <w:rsid w:val="00B020CF"/>
    <w:rsid w:val="00B036B1"/>
    <w:rsid w:val="00B05DC4"/>
    <w:rsid w:val="00B07612"/>
    <w:rsid w:val="00B10E40"/>
    <w:rsid w:val="00B13D85"/>
    <w:rsid w:val="00B147E0"/>
    <w:rsid w:val="00B15BFA"/>
    <w:rsid w:val="00B15F38"/>
    <w:rsid w:val="00B15FE0"/>
    <w:rsid w:val="00B1645F"/>
    <w:rsid w:val="00B176B8"/>
    <w:rsid w:val="00B177C9"/>
    <w:rsid w:val="00B217FD"/>
    <w:rsid w:val="00B21C34"/>
    <w:rsid w:val="00B23C91"/>
    <w:rsid w:val="00B24E05"/>
    <w:rsid w:val="00B26EA8"/>
    <w:rsid w:val="00B30603"/>
    <w:rsid w:val="00B31D42"/>
    <w:rsid w:val="00B35659"/>
    <w:rsid w:val="00B3652A"/>
    <w:rsid w:val="00B4083D"/>
    <w:rsid w:val="00B52BC7"/>
    <w:rsid w:val="00B52C00"/>
    <w:rsid w:val="00B545DB"/>
    <w:rsid w:val="00B558CC"/>
    <w:rsid w:val="00B56159"/>
    <w:rsid w:val="00B5700E"/>
    <w:rsid w:val="00B571B9"/>
    <w:rsid w:val="00B636B2"/>
    <w:rsid w:val="00B729D3"/>
    <w:rsid w:val="00B73CBB"/>
    <w:rsid w:val="00B7590C"/>
    <w:rsid w:val="00B761B4"/>
    <w:rsid w:val="00B81B7E"/>
    <w:rsid w:val="00B828BB"/>
    <w:rsid w:val="00B835A3"/>
    <w:rsid w:val="00B91AB8"/>
    <w:rsid w:val="00B920D7"/>
    <w:rsid w:val="00B929CC"/>
    <w:rsid w:val="00B93B38"/>
    <w:rsid w:val="00B96B19"/>
    <w:rsid w:val="00BA1C73"/>
    <w:rsid w:val="00BA58BF"/>
    <w:rsid w:val="00BB1370"/>
    <w:rsid w:val="00BB4424"/>
    <w:rsid w:val="00BC253A"/>
    <w:rsid w:val="00BC2883"/>
    <w:rsid w:val="00BC59F7"/>
    <w:rsid w:val="00BC6039"/>
    <w:rsid w:val="00BC6EC7"/>
    <w:rsid w:val="00BD0991"/>
    <w:rsid w:val="00BD1CCA"/>
    <w:rsid w:val="00BD4046"/>
    <w:rsid w:val="00BD5DF9"/>
    <w:rsid w:val="00BD6B14"/>
    <w:rsid w:val="00BD73AA"/>
    <w:rsid w:val="00BE4EB6"/>
    <w:rsid w:val="00BE71B1"/>
    <w:rsid w:val="00BF1713"/>
    <w:rsid w:val="00BF6F84"/>
    <w:rsid w:val="00BF7A47"/>
    <w:rsid w:val="00C0599E"/>
    <w:rsid w:val="00C11101"/>
    <w:rsid w:val="00C120A8"/>
    <w:rsid w:val="00C14D92"/>
    <w:rsid w:val="00C15D2C"/>
    <w:rsid w:val="00C160E0"/>
    <w:rsid w:val="00C2034F"/>
    <w:rsid w:val="00C215ED"/>
    <w:rsid w:val="00C34CD4"/>
    <w:rsid w:val="00C4381A"/>
    <w:rsid w:val="00C44C6E"/>
    <w:rsid w:val="00C50E95"/>
    <w:rsid w:val="00C51B96"/>
    <w:rsid w:val="00C51C6B"/>
    <w:rsid w:val="00C554B5"/>
    <w:rsid w:val="00C56151"/>
    <w:rsid w:val="00C5649C"/>
    <w:rsid w:val="00C64BF7"/>
    <w:rsid w:val="00C706AE"/>
    <w:rsid w:val="00C73C66"/>
    <w:rsid w:val="00C81CDC"/>
    <w:rsid w:val="00C82688"/>
    <w:rsid w:val="00C832F6"/>
    <w:rsid w:val="00C91679"/>
    <w:rsid w:val="00C97235"/>
    <w:rsid w:val="00CA29B2"/>
    <w:rsid w:val="00CA381E"/>
    <w:rsid w:val="00CA5C0A"/>
    <w:rsid w:val="00CA5E99"/>
    <w:rsid w:val="00CA6D74"/>
    <w:rsid w:val="00CA7A93"/>
    <w:rsid w:val="00CB02E4"/>
    <w:rsid w:val="00CB28FB"/>
    <w:rsid w:val="00CB44CF"/>
    <w:rsid w:val="00CB58D2"/>
    <w:rsid w:val="00CB5BDF"/>
    <w:rsid w:val="00CC1618"/>
    <w:rsid w:val="00CC19D8"/>
    <w:rsid w:val="00CC3372"/>
    <w:rsid w:val="00CD16A6"/>
    <w:rsid w:val="00CD24EE"/>
    <w:rsid w:val="00CD25DB"/>
    <w:rsid w:val="00CD6D45"/>
    <w:rsid w:val="00CE0731"/>
    <w:rsid w:val="00CE1BCF"/>
    <w:rsid w:val="00CE316D"/>
    <w:rsid w:val="00CE60D5"/>
    <w:rsid w:val="00CF2A3E"/>
    <w:rsid w:val="00CF3C95"/>
    <w:rsid w:val="00CF4BA3"/>
    <w:rsid w:val="00CF5291"/>
    <w:rsid w:val="00CF79F4"/>
    <w:rsid w:val="00D001CB"/>
    <w:rsid w:val="00D01F89"/>
    <w:rsid w:val="00D021A1"/>
    <w:rsid w:val="00D0345A"/>
    <w:rsid w:val="00D03B25"/>
    <w:rsid w:val="00D0403B"/>
    <w:rsid w:val="00D04DCD"/>
    <w:rsid w:val="00D11F52"/>
    <w:rsid w:val="00D1223E"/>
    <w:rsid w:val="00D12ABD"/>
    <w:rsid w:val="00D14F00"/>
    <w:rsid w:val="00D156B3"/>
    <w:rsid w:val="00D21213"/>
    <w:rsid w:val="00D214E6"/>
    <w:rsid w:val="00D22A8C"/>
    <w:rsid w:val="00D23EDA"/>
    <w:rsid w:val="00D262A8"/>
    <w:rsid w:val="00D310D8"/>
    <w:rsid w:val="00D31425"/>
    <w:rsid w:val="00D330E9"/>
    <w:rsid w:val="00D3356F"/>
    <w:rsid w:val="00D3512E"/>
    <w:rsid w:val="00D354CD"/>
    <w:rsid w:val="00D3626E"/>
    <w:rsid w:val="00D3733A"/>
    <w:rsid w:val="00D45E28"/>
    <w:rsid w:val="00D47238"/>
    <w:rsid w:val="00D575A5"/>
    <w:rsid w:val="00D704E5"/>
    <w:rsid w:val="00D722E8"/>
    <w:rsid w:val="00D757F3"/>
    <w:rsid w:val="00D767C7"/>
    <w:rsid w:val="00D83A82"/>
    <w:rsid w:val="00D8536E"/>
    <w:rsid w:val="00D97188"/>
    <w:rsid w:val="00DA1CEE"/>
    <w:rsid w:val="00DA3242"/>
    <w:rsid w:val="00DA5943"/>
    <w:rsid w:val="00DB2EDB"/>
    <w:rsid w:val="00DB56F6"/>
    <w:rsid w:val="00DB70BA"/>
    <w:rsid w:val="00DC020F"/>
    <w:rsid w:val="00DD099F"/>
    <w:rsid w:val="00DD4ACC"/>
    <w:rsid w:val="00DE5D0C"/>
    <w:rsid w:val="00DF3AEC"/>
    <w:rsid w:val="00DF45D9"/>
    <w:rsid w:val="00DF5C30"/>
    <w:rsid w:val="00DF68EE"/>
    <w:rsid w:val="00E02B0B"/>
    <w:rsid w:val="00E067CF"/>
    <w:rsid w:val="00E0742C"/>
    <w:rsid w:val="00E07F79"/>
    <w:rsid w:val="00E14688"/>
    <w:rsid w:val="00E1521B"/>
    <w:rsid w:val="00E20F3C"/>
    <w:rsid w:val="00E236E5"/>
    <w:rsid w:val="00E2679F"/>
    <w:rsid w:val="00E268E5"/>
    <w:rsid w:val="00E27BB1"/>
    <w:rsid w:val="00E30818"/>
    <w:rsid w:val="00E37317"/>
    <w:rsid w:val="00E43989"/>
    <w:rsid w:val="00E4448C"/>
    <w:rsid w:val="00E45CC5"/>
    <w:rsid w:val="00E46657"/>
    <w:rsid w:val="00E46EAA"/>
    <w:rsid w:val="00E50271"/>
    <w:rsid w:val="00E5132B"/>
    <w:rsid w:val="00E5570F"/>
    <w:rsid w:val="00E5608C"/>
    <w:rsid w:val="00E569EC"/>
    <w:rsid w:val="00E57A08"/>
    <w:rsid w:val="00E607D9"/>
    <w:rsid w:val="00E62BFD"/>
    <w:rsid w:val="00E66512"/>
    <w:rsid w:val="00E679FB"/>
    <w:rsid w:val="00E70AA7"/>
    <w:rsid w:val="00E736D8"/>
    <w:rsid w:val="00E74124"/>
    <w:rsid w:val="00E75BB2"/>
    <w:rsid w:val="00E76521"/>
    <w:rsid w:val="00E81ABC"/>
    <w:rsid w:val="00E86E6E"/>
    <w:rsid w:val="00E87E37"/>
    <w:rsid w:val="00E91A5F"/>
    <w:rsid w:val="00EA06AF"/>
    <w:rsid w:val="00EA0FB4"/>
    <w:rsid w:val="00EA238C"/>
    <w:rsid w:val="00EA2909"/>
    <w:rsid w:val="00EA5313"/>
    <w:rsid w:val="00EA54A7"/>
    <w:rsid w:val="00EA778F"/>
    <w:rsid w:val="00EA7823"/>
    <w:rsid w:val="00EB03E4"/>
    <w:rsid w:val="00EB0D97"/>
    <w:rsid w:val="00EB2245"/>
    <w:rsid w:val="00EB6C80"/>
    <w:rsid w:val="00EB7996"/>
    <w:rsid w:val="00EC0515"/>
    <w:rsid w:val="00EC0691"/>
    <w:rsid w:val="00EC217D"/>
    <w:rsid w:val="00EC23CB"/>
    <w:rsid w:val="00EC36AE"/>
    <w:rsid w:val="00EC55E6"/>
    <w:rsid w:val="00EC5912"/>
    <w:rsid w:val="00EC7D72"/>
    <w:rsid w:val="00ED0EE3"/>
    <w:rsid w:val="00ED30A6"/>
    <w:rsid w:val="00EE2928"/>
    <w:rsid w:val="00EE5006"/>
    <w:rsid w:val="00EE5907"/>
    <w:rsid w:val="00EE616F"/>
    <w:rsid w:val="00EE7D95"/>
    <w:rsid w:val="00EF0A2D"/>
    <w:rsid w:val="00EF0DA1"/>
    <w:rsid w:val="00EF28CC"/>
    <w:rsid w:val="00EF2E48"/>
    <w:rsid w:val="00EF4864"/>
    <w:rsid w:val="00EF5A9F"/>
    <w:rsid w:val="00EF5D2F"/>
    <w:rsid w:val="00EF7989"/>
    <w:rsid w:val="00F01CFE"/>
    <w:rsid w:val="00F03A18"/>
    <w:rsid w:val="00F074F9"/>
    <w:rsid w:val="00F10948"/>
    <w:rsid w:val="00F11365"/>
    <w:rsid w:val="00F147B4"/>
    <w:rsid w:val="00F15218"/>
    <w:rsid w:val="00F15F82"/>
    <w:rsid w:val="00F209F7"/>
    <w:rsid w:val="00F216A9"/>
    <w:rsid w:val="00F239F8"/>
    <w:rsid w:val="00F2550C"/>
    <w:rsid w:val="00F27937"/>
    <w:rsid w:val="00F30148"/>
    <w:rsid w:val="00F316EF"/>
    <w:rsid w:val="00F332AF"/>
    <w:rsid w:val="00F3347F"/>
    <w:rsid w:val="00F338FA"/>
    <w:rsid w:val="00F33EB4"/>
    <w:rsid w:val="00F34BB5"/>
    <w:rsid w:val="00F44B7E"/>
    <w:rsid w:val="00F45B2C"/>
    <w:rsid w:val="00F45B6C"/>
    <w:rsid w:val="00F46388"/>
    <w:rsid w:val="00F46E4B"/>
    <w:rsid w:val="00F506E8"/>
    <w:rsid w:val="00F50B65"/>
    <w:rsid w:val="00F5679D"/>
    <w:rsid w:val="00F573DD"/>
    <w:rsid w:val="00F64F0D"/>
    <w:rsid w:val="00F65103"/>
    <w:rsid w:val="00F65480"/>
    <w:rsid w:val="00F725AF"/>
    <w:rsid w:val="00F736B1"/>
    <w:rsid w:val="00F74A5E"/>
    <w:rsid w:val="00F81E99"/>
    <w:rsid w:val="00F83432"/>
    <w:rsid w:val="00F9170C"/>
    <w:rsid w:val="00F91C41"/>
    <w:rsid w:val="00F949D4"/>
    <w:rsid w:val="00FA0A66"/>
    <w:rsid w:val="00FA318A"/>
    <w:rsid w:val="00FA3D3F"/>
    <w:rsid w:val="00FA4D6A"/>
    <w:rsid w:val="00FA5F89"/>
    <w:rsid w:val="00FA6B18"/>
    <w:rsid w:val="00FA72AE"/>
    <w:rsid w:val="00FA759D"/>
    <w:rsid w:val="00FB0F84"/>
    <w:rsid w:val="00FB1AB0"/>
    <w:rsid w:val="00FB21DB"/>
    <w:rsid w:val="00FC1A8E"/>
    <w:rsid w:val="00FC3A0F"/>
    <w:rsid w:val="00FC419D"/>
    <w:rsid w:val="00FC50E6"/>
    <w:rsid w:val="00FC688F"/>
    <w:rsid w:val="00FC7E03"/>
    <w:rsid w:val="00FD1633"/>
    <w:rsid w:val="00FD2208"/>
    <w:rsid w:val="00FD3270"/>
    <w:rsid w:val="00FD3802"/>
    <w:rsid w:val="00FD4C62"/>
    <w:rsid w:val="00FD5ED1"/>
    <w:rsid w:val="00FD6025"/>
    <w:rsid w:val="00FD69B7"/>
    <w:rsid w:val="00FE0F61"/>
    <w:rsid w:val="00FE3020"/>
    <w:rsid w:val="00FE7669"/>
    <w:rsid w:val="00FF1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28D6"/>
  <w15:chartTrackingRefBased/>
  <w15:docId w15:val="{4859EB62-8706-449F-9268-2BFACFE2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5AF"/>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7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
    <w:basedOn w:val="Normal"/>
    <w:link w:val="ListParagraphChar"/>
    <w:uiPriority w:val="34"/>
    <w:qFormat/>
    <w:rsid w:val="00A465C7"/>
    <w:pPr>
      <w:ind w:left="720"/>
      <w:contextualSpacing/>
    </w:pPr>
  </w:style>
  <w:style w:type="character" w:styleId="CommentReference">
    <w:name w:val="annotation reference"/>
    <w:basedOn w:val="DefaultParagraphFont"/>
    <w:uiPriority w:val="99"/>
    <w:unhideWhenUsed/>
    <w:rsid w:val="00A316A1"/>
    <w:rPr>
      <w:sz w:val="16"/>
      <w:szCs w:val="16"/>
    </w:rPr>
  </w:style>
  <w:style w:type="paragraph" w:styleId="CommentText">
    <w:name w:val="annotation text"/>
    <w:basedOn w:val="Normal"/>
    <w:link w:val="CommentTextChar"/>
    <w:uiPriority w:val="99"/>
    <w:unhideWhenUsed/>
    <w:rsid w:val="00A316A1"/>
    <w:pPr>
      <w:spacing w:line="240" w:lineRule="auto"/>
    </w:pPr>
    <w:rPr>
      <w:sz w:val="20"/>
      <w:szCs w:val="20"/>
    </w:rPr>
  </w:style>
  <w:style w:type="character" w:customStyle="1" w:styleId="CommentTextChar">
    <w:name w:val="Comment Text Char"/>
    <w:basedOn w:val="DefaultParagraphFont"/>
    <w:link w:val="CommentText"/>
    <w:uiPriority w:val="99"/>
    <w:rsid w:val="00A316A1"/>
    <w:rPr>
      <w:sz w:val="20"/>
      <w:szCs w:val="20"/>
    </w:rPr>
  </w:style>
  <w:style w:type="paragraph" w:styleId="CommentSubject">
    <w:name w:val="annotation subject"/>
    <w:basedOn w:val="CommentText"/>
    <w:next w:val="CommentText"/>
    <w:link w:val="CommentSubjectChar"/>
    <w:uiPriority w:val="99"/>
    <w:semiHidden/>
    <w:unhideWhenUsed/>
    <w:rsid w:val="00A316A1"/>
    <w:rPr>
      <w:b/>
      <w:bCs/>
    </w:rPr>
  </w:style>
  <w:style w:type="character" w:customStyle="1" w:styleId="CommentSubjectChar">
    <w:name w:val="Comment Subject Char"/>
    <w:basedOn w:val="CommentTextChar"/>
    <w:link w:val="CommentSubject"/>
    <w:uiPriority w:val="99"/>
    <w:semiHidden/>
    <w:rsid w:val="00A316A1"/>
    <w:rPr>
      <w:b/>
      <w:bCs/>
      <w:sz w:val="20"/>
      <w:szCs w:val="20"/>
    </w:rPr>
  </w:style>
  <w:style w:type="paragraph" w:styleId="BalloonText">
    <w:name w:val="Balloon Text"/>
    <w:basedOn w:val="Normal"/>
    <w:link w:val="BalloonTextChar"/>
    <w:uiPriority w:val="99"/>
    <w:semiHidden/>
    <w:unhideWhenUsed/>
    <w:rsid w:val="00C82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688"/>
    <w:rPr>
      <w:rFonts w:ascii="Segoe UI" w:hAnsi="Segoe UI" w:cs="Segoe UI"/>
      <w:sz w:val="18"/>
      <w:szCs w:val="18"/>
    </w:rPr>
  </w:style>
  <w:style w:type="paragraph" w:styleId="NormalWeb">
    <w:name w:val="Normal (Web)"/>
    <w:basedOn w:val="Normal"/>
    <w:uiPriority w:val="99"/>
    <w:unhideWhenUsed/>
    <w:rsid w:val="008E626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FootnoteReference">
    <w:name w:val="footnote reference"/>
    <w:basedOn w:val="DefaultParagraphFont"/>
    <w:rsid w:val="00071F6D"/>
    <w:rPr>
      <w:vertAlign w:val="superscript"/>
    </w:rPr>
  </w:style>
  <w:style w:type="paragraph" w:styleId="FootnoteText">
    <w:name w:val="footnote text"/>
    <w:basedOn w:val="Normal"/>
    <w:link w:val="FootnoteTextChar"/>
    <w:rsid w:val="00071F6D"/>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rsid w:val="00071F6D"/>
    <w:rPr>
      <w:rFonts w:ascii="Times Armenian" w:eastAsia="Times New Roman" w:hAnsi="Times Armenian" w:cs="Times Armenian"/>
      <w:sz w:val="20"/>
      <w:szCs w:val="20"/>
      <w:lang w:val="ru-RU"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71F6D"/>
  </w:style>
  <w:style w:type="character" w:styleId="Strong">
    <w:name w:val="Strong"/>
    <w:basedOn w:val="DefaultParagraphFont"/>
    <w:uiPriority w:val="22"/>
    <w:qFormat/>
    <w:rsid w:val="000973F0"/>
    <w:rPr>
      <w:b/>
      <w:bCs/>
    </w:rPr>
  </w:style>
  <w:style w:type="character" w:styleId="Hyperlink">
    <w:name w:val="Hyperlink"/>
    <w:basedOn w:val="DefaultParagraphFont"/>
    <w:uiPriority w:val="99"/>
    <w:unhideWhenUsed/>
    <w:rsid w:val="00F209F7"/>
    <w:rPr>
      <w:color w:val="0563C1" w:themeColor="hyperlink"/>
      <w:u w:val="single"/>
    </w:rPr>
  </w:style>
  <w:style w:type="character" w:styleId="FollowedHyperlink">
    <w:name w:val="FollowedHyperlink"/>
    <w:basedOn w:val="DefaultParagraphFont"/>
    <w:uiPriority w:val="99"/>
    <w:semiHidden/>
    <w:unhideWhenUsed/>
    <w:rsid w:val="00F209F7"/>
    <w:rPr>
      <w:color w:val="954F72" w:themeColor="followedHyperlink"/>
      <w:u w:val="single"/>
    </w:rPr>
  </w:style>
  <w:style w:type="character" w:styleId="Emphasis">
    <w:name w:val="Emphasis"/>
    <w:basedOn w:val="DefaultParagraphFont"/>
    <w:uiPriority w:val="20"/>
    <w:qFormat/>
    <w:rsid w:val="00B929CC"/>
    <w:rPr>
      <w:i/>
      <w:iCs/>
    </w:rPr>
  </w:style>
  <w:style w:type="paragraph" w:styleId="PlainText">
    <w:name w:val="Plain Text"/>
    <w:basedOn w:val="Normal"/>
    <w:link w:val="PlainTextChar"/>
    <w:uiPriority w:val="99"/>
    <w:semiHidden/>
    <w:unhideWhenUsed/>
    <w:rsid w:val="00CA5C0A"/>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CA5C0A"/>
    <w:rPr>
      <w:rFonts w:ascii="Calibri" w:hAnsi="Calibri" w:cs="Calibri"/>
    </w:rPr>
  </w:style>
  <w:style w:type="paragraph" w:styleId="Revision">
    <w:name w:val="Revision"/>
    <w:hidden/>
    <w:uiPriority w:val="99"/>
    <w:semiHidden/>
    <w:rsid w:val="00EB03E4"/>
    <w:pPr>
      <w:spacing w:after="0" w:line="240" w:lineRule="auto"/>
    </w:pPr>
  </w:style>
  <w:style w:type="paragraph" w:customStyle="1" w:styleId="Body">
    <w:name w:val="Body"/>
    <w:rsid w:val="00961D10"/>
    <w:pPr>
      <w:pBdr>
        <w:top w:val="nil"/>
        <w:left w:val="nil"/>
        <w:bottom w:val="nil"/>
        <w:right w:val="nil"/>
        <w:between w:val="nil"/>
        <w:bar w:val="nil"/>
      </w:pBdr>
      <w:spacing w:after="200"/>
    </w:pPr>
    <w:rPr>
      <w:rFonts w:ascii="Calibri" w:eastAsia="Arial Unicode MS" w:hAnsi="Calibri" w:cs="Arial Unicode MS"/>
      <w:color w:val="000000"/>
      <w:u w:color="000000"/>
      <w:bdr w:val="nil"/>
      <w14:textOutline w14:w="0" w14:cap="flat" w14:cmpd="sng" w14:algn="ctr">
        <w14:noFill/>
        <w14:prstDash w14:val="solid"/>
        <w14:bevel/>
      </w14:textOutline>
    </w:rPr>
  </w:style>
  <w:style w:type="paragraph" w:styleId="List2">
    <w:name w:val="List 2"/>
    <w:basedOn w:val="Normal"/>
    <w:uiPriority w:val="99"/>
    <w:unhideWhenUsed/>
    <w:rsid w:val="007D3BAE"/>
    <w:pPr>
      <w:ind w:left="720" w:hanging="360"/>
      <w:contextualSpacing/>
    </w:pPr>
    <w:rPr>
      <w:rFonts w:eastAsia="GHEA Grapalat" w:cs="GHEA Grapalat"/>
    </w:rPr>
  </w:style>
  <w:style w:type="paragraph" w:styleId="Header">
    <w:name w:val="header"/>
    <w:basedOn w:val="Normal"/>
    <w:link w:val="HeaderChar"/>
    <w:uiPriority w:val="99"/>
    <w:unhideWhenUsed/>
    <w:rsid w:val="00BA1C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1C73"/>
    <w:rPr>
      <w:noProof/>
      <w:lang w:val="hy-AM"/>
    </w:rPr>
  </w:style>
  <w:style w:type="paragraph" w:styleId="Footer">
    <w:name w:val="footer"/>
    <w:basedOn w:val="Normal"/>
    <w:link w:val="FooterChar"/>
    <w:uiPriority w:val="99"/>
    <w:unhideWhenUsed/>
    <w:rsid w:val="00BA1C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C73"/>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87222">
      <w:bodyDiv w:val="1"/>
      <w:marLeft w:val="0"/>
      <w:marRight w:val="0"/>
      <w:marTop w:val="0"/>
      <w:marBottom w:val="0"/>
      <w:divBdr>
        <w:top w:val="none" w:sz="0" w:space="0" w:color="auto"/>
        <w:left w:val="none" w:sz="0" w:space="0" w:color="auto"/>
        <w:bottom w:val="none" w:sz="0" w:space="0" w:color="auto"/>
        <w:right w:val="none" w:sz="0" w:space="0" w:color="auto"/>
      </w:divBdr>
    </w:div>
    <w:div w:id="204368339">
      <w:bodyDiv w:val="1"/>
      <w:marLeft w:val="0"/>
      <w:marRight w:val="0"/>
      <w:marTop w:val="0"/>
      <w:marBottom w:val="0"/>
      <w:divBdr>
        <w:top w:val="none" w:sz="0" w:space="0" w:color="auto"/>
        <w:left w:val="none" w:sz="0" w:space="0" w:color="auto"/>
        <w:bottom w:val="none" w:sz="0" w:space="0" w:color="auto"/>
        <w:right w:val="none" w:sz="0" w:space="0" w:color="auto"/>
      </w:divBdr>
    </w:div>
    <w:div w:id="273826857">
      <w:bodyDiv w:val="1"/>
      <w:marLeft w:val="0"/>
      <w:marRight w:val="0"/>
      <w:marTop w:val="0"/>
      <w:marBottom w:val="0"/>
      <w:divBdr>
        <w:top w:val="none" w:sz="0" w:space="0" w:color="auto"/>
        <w:left w:val="none" w:sz="0" w:space="0" w:color="auto"/>
        <w:bottom w:val="none" w:sz="0" w:space="0" w:color="auto"/>
        <w:right w:val="none" w:sz="0" w:space="0" w:color="auto"/>
      </w:divBdr>
    </w:div>
    <w:div w:id="377365303">
      <w:bodyDiv w:val="1"/>
      <w:marLeft w:val="0"/>
      <w:marRight w:val="0"/>
      <w:marTop w:val="0"/>
      <w:marBottom w:val="0"/>
      <w:divBdr>
        <w:top w:val="none" w:sz="0" w:space="0" w:color="auto"/>
        <w:left w:val="none" w:sz="0" w:space="0" w:color="auto"/>
        <w:bottom w:val="none" w:sz="0" w:space="0" w:color="auto"/>
        <w:right w:val="none" w:sz="0" w:space="0" w:color="auto"/>
      </w:divBdr>
    </w:div>
    <w:div w:id="482046249">
      <w:bodyDiv w:val="1"/>
      <w:marLeft w:val="0"/>
      <w:marRight w:val="0"/>
      <w:marTop w:val="0"/>
      <w:marBottom w:val="0"/>
      <w:divBdr>
        <w:top w:val="none" w:sz="0" w:space="0" w:color="auto"/>
        <w:left w:val="none" w:sz="0" w:space="0" w:color="auto"/>
        <w:bottom w:val="none" w:sz="0" w:space="0" w:color="auto"/>
        <w:right w:val="none" w:sz="0" w:space="0" w:color="auto"/>
      </w:divBdr>
    </w:div>
    <w:div w:id="697118997">
      <w:bodyDiv w:val="1"/>
      <w:marLeft w:val="0"/>
      <w:marRight w:val="0"/>
      <w:marTop w:val="0"/>
      <w:marBottom w:val="0"/>
      <w:divBdr>
        <w:top w:val="none" w:sz="0" w:space="0" w:color="auto"/>
        <w:left w:val="none" w:sz="0" w:space="0" w:color="auto"/>
        <w:bottom w:val="none" w:sz="0" w:space="0" w:color="auto"/>
        <w:right w:val="none" w:sz="0" w:space="0" w:color="auto"/>
      </w:divBdr>
    </w:div>
    <w:div w:id="717315885">
      <w:bodyDiv w:val="1"/>
      <w:marLeft w:val="0"/>
      <w:marRight w:val="0"/>
      <w:marTop w:val="0"/>
      <w:marBottom w:val="0"/>
      <w:divBdr>
        <w:top w:val="none" w:sz="0" w:space="0" w:color="auto"/>
        <w:left w:val="none" w:sz="0" w:space="0" w:color="auto"/>
        <w:bottom w:val="none" w:sz="0" w:space="0" w:color="auto"/>
        <w:right w:val="none" w:sz="0" w:space="0" w:color="auto"/>
      </w:divBdr>
    </w:div>
    <w:div w:id="798063834">
      <w:bodyDiv w:val="1"/>
      <w:marLeft w:val="0"/>
      <w:marRight w:val="0"/>
      <w:marTop w:val="0"/>
      <w:marBottom w:val="0"/>
      <w:divBdr>
        <w:top w:val="none" w:sz="0" w:space="0" w:color="auto"/>
        <w:left w:val="none" w:sz="0" w:space="0" w:color="auto"/>
        <w:bottom w:val="none" w:sz="0" w:space="0" w:color="auto"/>
        <w:right w:val="none" w:sz="0" w:space="0" w:color="auto"/>
      </w:divBdr>
    </w:div>
    <w:div w:id="799229373">
      <w:bodyDiv w:val="1"/>
      <w:marLeft w:val="0"/>
      <w:marRight w:val="0"/>
      <w:marTop w:val="0"/>
      <w:marBottom w:val="0"/>
      <w:divBdr>
        <w:top w:val="none" w:sz="0" w:space="0" w:color="auto"/>
        <w:left w:val="none" w:sz="0" w:space="0" w:color="auto"/>
        <w:bottom w:val="none" w:sz="0" w:space="0" w:color="auto"/>
        <w:right w:val="none" w:sz="0" w:space="0" w:color="auto"/>
      </w:divBdr>
    </w:div>
    <w:div w:id="803816465">
      <w:bodyDiv w:val="1"/>
      <w:marLeft w:val="0"/>
      <w:marRight w:val="0"/>
      <w:marTop w:val="0"/>
      <w:marBottom w:val="0"/>
      <w:divBdr>
        <w:top w:val="none" w:sz="0" w:space="0" w:color="auto"/>
        <w:left w:val="none" w:sz="0" w:space="0" w:color="auto"/>
        <w:bottom w:val="none" w:sz="0" w:space="0" w:color="auto"/>
        <w:right w:val="none" w:sz="0" w:space="0" w:color="auto"/>
      </w:divBdr>
    </w:div>
    <w:div w:id="837118669">
      <w:bodyDiv w:val="1"/>
      <w:marLeft w:val="0"/>
      <w:marRight w:val="0"/>
      <w:marTop w:val="0"/>
      <w:marBottom w:val="0"/>
      <w:divBdr>
        <w:top w:val="none" w:sz="0" w:space="0" w:color="auto"/>
        <w:left w:val="none" w:sz="0" w:space="0" w:color="auto"/>
        <w:bottom w:val="none" w:sz="0" w:space="0" w:color="auto"/>
        <w:right w:val="none" w:sz="0" w:space="0" w:color="auto"/>
      </w:divBdr>
    </w:div>
    <w:div w:id="843209906">
      <w:bodyDiv w:val="1"/>
      <w:marLeft w:val="0"/>
      <w:marRight w:val="0"/>
      <w:marTop w:val="0"/>
      <w:marBottom w:val="0"/>
      <w:divBdr>
        <w:top w:val="none" w:sz="0" w:space="0" w:color="auto"/>
        <w:left w:val="none" w:sz="0" w:space="0" w:color="auto"/>
        <w:bottom w:val="none" w:sz="0" w:space="0" w:color="auto"/>
        <w:right w:val="none" w:sz="0" w:space="0" w:color="auto"/>
      </w:divBdr>
    </w:div>
    <w:div w:id="900672407">
      <w:bodyDiv w:val="1"/>
      <w:marLeft w:val="0"/>
      <w:marRight w:val="0"/>
      <w:marTop w:val="0"/>
      <w:marBottom w:val="0"/>
      <w:divBdr>
        <w:top w:val="none" w:sz="0" w:space="0" w:color="auto"/>
        <w:left w:val="none" w:sz="0" w:space="0" w:color="auto"/>
        <w:bottom w:val="none" w:sz="0" w:space="0" w:color="auto"/>
        <w:right w:val="none" w:sz="0" w:space="0" w:color="auto"/>
      </w:divBdr>
    </w:div>
    <w:div w:id="946618423">
      <w:bodyDiv w:val="1"/>
      <w:marLeft w:val="0"/>
      <w:marRight w:val="0"/>
      <w:marTop w:val="0"/>
      <w:marBottom w:val="0"/>
      <w:divBdr>
        <w:top w:val="none" w:sz="0" w:space="0" w:color="auto"/>
        <w:left w:val="none" w:sz="0" w:space="0" w:color="auto"/>
        <w:bottom w:val="none" w:sz="0" w:space="0" w:color="auto"/>
        <w:right w:val="none" w:sz="0" w:space="0" w:color="auto"/>
      </w:divBdr>
    </w:div>
    <w:div w:id="1212185890">
      <w:bodyDiv w:val="1"/>
      <w:marLeft w:val="0"/>
      <w:marRight w:val="0"/>
      <w:marTop w:val="0"/>
      <w:marBottom w:val="0"/>
      <w:divBdr>
        <w:top w:val="none" w:sz="0" w:space="0" w:color="auto"/>
        <w:left w:val="none" w:sz="0" w:space="0" w:color="auto"/>
        <w:bottom w:val="none" w:sz="0" w:space="0" w:color="auto"/>
        <w:right w:val="none" w:sz="0" w:space="0" w:color="auto"/>
      </w:divBdr>
    </w:div>
    <w:div w:id="1309477671">
      <w:bodyDiv w:val="1"/>
      <w:marLeft w:val="0"/>
      <w:marRight w:val="0"/>
      <w:marTop w:val="0"/>
      <w:marBottom w:val="0"/>
      <w:divBdr>
        <w:top w:val="none" w:sz="0" w:space="0" w:color="auto"/>
        <w:left w:val="none" w:sz="0" w:space="0" w:color="auto"/>
        <w:bottom w:val="none" w:sz="0" w:space="0" w:color="auto"/>
        <w:right w:val="none" w:sz="0" w:space="0" w:color="auto"/>
      </w:divBdr>
    </w:div>
    <w:div w:id="1605460554">
      <w:bodyDiv w:val="1"/>
      <w:marLeft w:val="0"/>
      <w:marRight w:val="0"/>
      <w:marTop w:val="0"/>
      <w:marBottom w:val="0"/>
      <w:divBdr>
        <w:top w:val="none" w:sz="0" w:space="0" w:color="auto"/>
        <w:left w:val="none" w:sz="0" w:space="0" w:color="auto"/>
        <w:bottom w:val="none" w:sz="0" w:space="0" w:color="auto"/>
        <w:right w:val="none" w:sz="0" w:space="0" w:color="auto"/>
      </w:divBdr>
    </w:div>
    <w:div w:id="1701660478">
      <w:bodyDiv w:val="1"/>
      <w:marLeft w:val="0"/>
      <w:marRight w:val="0"/>
      <w:marTop w:val="0"/>
      <w:marBottom w:val="0"/>
      <w:divBdr>
        <w:top w:val="none" w:sz="0" w:space="0" w:color="auto"/>
        <w:left w:val="none" w:sz="0" w:space="0" w:color="auto"/>
        <w:bottom w:val="none" w:sz="0" w:space="0" w:color="auto"/>
        <w:right w:val="none" w:sz="0" w:space="0" w:color="auto"/>
      </w:divBdr>
    </w:div>
    <w:div w:id="1766069519">
      <w:bodyDiv w:val="1"/>
      <w:marLeft w:val="0"/>
      <w:marRight w:val="0"/>
      <w:marTop w:val="0"/>
      <w:marBottom w:val="0"/>
      <w:divBdr>
        <w:top w:val="none" w:sz="0" w:space="0" w:color="auto"/>
        <w:left w:val="none" w:sz="0" w:space="0" w:color="auto"/>
        <w:bottom w:val="none" w:sz="0" w:space="0" w:color="auto"/>
        <w:right w:val="none" w:sz="0" w:space="0" w:color="auto"/>
      </w:divBdr>
    </w:div>
    <w:div w:id="1774127109">
      <w:bodyDiv w:val="1"/>
      <w:marLeft w:val="0"/>
      <w:marRight w:val="0"/>
      <w:marTop w:val="0"/>
      <w:marBottom w:val="0"/>
      <w:divBdr>
        <w:top w:val="none" w:sz="0" w:space="0" w:color="auto"/>
        <w:left w:val="none" w:sz="0" w:space="0" w:color="auto"/>
        <w:bottom w:val="none" w:sz="0" w:space="0" w:color="auto"/>
        <w:right w:val="none" w:sz="0" w:space="0" w:color="auto"/>
      </w:divBdr>
    </w:div>
    <w:div w:id="1807621092">
      <w:bodyDiv w:val="1"/>
      <w:marLeft w:val="0"/>
      <w:marRight w:val="0"/>
      <w:marTop w:val="0"/>
      <w:marBottom w:val="0"/>
      <w:divBdr>
        <w:top w:val="none" w:sz="0" w:space="0" w:color="auto"/>
        <w:left w:val="none" w:sz="0" w:space="0" w:color="auto"/>
        <w:bottom w:val="none" w:sz="0" w:space="0" w:color="auto"/>
        <w:right w:val="none" w:sz="0" w:space="0" w:color="auto"/>
      </w:divBdr>
    </w:div>
    <w:div w:id="1865632514">
      <w:bodyDiv w:val="1"/>
      <w:marLeft w:val="0"/>
      <w:marRight w:val="0"/>
      <w:marTop w:val="0"/>
      <w:marBottom w:val="0"/>
      <w:divBdr>
        <w:top w:val="none" w:sz="0" w:space="0" w:color="auto"/>
        <w:left w:val="none" w:sz="0" w:space="0" w:color="auto"/>
        <w:bottom w:val="none" w:sz="0" w:space="0" w:color="auto"/>
        <w:right w:val="none" w:sz="0" w:space="0" w:color="auto"/>
      </w:divBdr>
    </w:div>
    <w:div w:id="1900938932">
      <w:bodyDiv w:val="1"/>
      <w:marLeft w:val="0"/>
      <w:marRight w:val="0"/>
      <w:marTop w:val="0"/>
      <w:marBottom w:val="0"/>
      <w:divBdr>
        <w:top w:val="none" w:sz="0" w:space="0" w:color="auto"/>
        <w:left w:val="none" w:sz="0" w:space="0" w:color="auto"/>
        <w:bottom w:val="none" w:sz="0" w:space="0" w:color="auto"/>
        <w:right w:val="none" w:sz="0" w:space="0" w:color="auto"/>
      </w:divBdr>
    </w:div>
    <w:div w:id="1932085908">
      <w:bodyDiv w:val="1"/>
      <w:marLeft w:val="0"/>
      <w:marRight w:val="0"/>
      <w:marTop w:val="0"/>
      <w:marBottom w:val="0"/>
      <w:divBdr>
        <w:top w:val="none" w:sz="0" w:space="0" w:color="auto"/>
        <w:left w:val="none" w:sz="0" w:space="0" w:color="auto"/>
        <w:bottom w:val="none" w:sz="0" w:space="0" w:color="auto"/>
        <w:right w:val="none" w:sz="0" w:space="0" w:color="auto"/>
      </w:divBdr>
    </w:div>
    <w:div w:id="2009289115">
      <w:bodyDiv w:val="1"/>
      <w:marLeft w:val="0"/>
      <w:marRight w:val="0"/>
      <w:marTop w:val="0"/>
      <w:marBottom w:val="0"/>
      <w:divBdr>
        <w:top w:val="none" w:sz="0" w:space="0" w:color="auto"/>
        <w:left w:val="none" w:sz="0" w:space="0" w:color="auto"/>
        <w:bottom w:val="none" w:sz="0" w:space="0" w:color="auto"/>
        <w:right w:val="none" w:sz="0" w:space="0" w:color="auto"/>
      </w:divBdr>
    </w:div>
    <w:div w:id="207739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70343-AB28-4F9B-A7DF-ED01B6538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5562</Words>
  <Characters>31708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Davtyan</dc:creator>
  <cp:keywords/>
  <dc:description/>
  <cp:lastModifiedBy>Arpi Ghazaryan</cp:lastModifiedBy>
  <cp:revision>3</cp:revision>
  <dcterms:created xsi:type="dcterms:W3CDTF">2024-12-18T05:47:00Z</dcterms:created>
  <dcterms:modified xsi:type="dcterms:W3CDTF">2024-12-18T05:51:00Z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c1175ff8e415e6930d0caa7d5b4ca06be8e2c557821a4082ce8ef19ad00c87e0</vt:lpwstr>
  </property>
</Properties>
</file>