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1BC" w:rsidRPr="000E1B62" w:rsidRDefault="00E911BC" w:rsidP="00E911BC">
      <w:pPr>
        <w:shd w:val="clear" w:color="auto" w:fill="FFFFFF"/>
        <w:spacing w:after="0" w:line="360" w:lineRule="auto"/>
        <w:jc w:val="right"/>
        <w:textAlignment w:val="baseline"/>
        <w:rPr>
          <w:rFonts w:ascii="GHEA Grapalat" w:eastAsia="Times New Roman" w:hAnsi="GHEA Grapalat" w:cs="Times New Roman"/>
          <w:bCs/>
          <w:sz w:val="24"/>
          <w:szCs w:val="24"/>
          <w:bdr w:val="none" w:sz="0" w:space="0" w:color="auto" w:frame="1"/>
          <w:lang w:val="ru-RU"/>
        </w:rPr>
      </w:pPr>
      <w:r w:rsidRPr="000E1B62">
        <w:rPr>
          <w:rFonts w:ascii="GHEA Grapalat" w:eastAsia="Times New Roman" w:hAnsi="GHEA Grapalat" w:cs="Times New Roman"/>
          <w:bCs/>
          <w:sz w:val="24"/>
          <w:szCs w:val="24"/>
          <w:bdr w:val="none" w:sz="0" w:space="0" w:color="auto" w:frame="1"/>
          <w:lang w:val="ru-RU"/>
        </w:rPr>
        <w:t>ՆԱԽԱԳԻԾ</w:t>
      </w:r>
    </w:p>
    <w:p w:rsidR="00E911BC" w:rsidRPr="000E1B62" w:rsidRDefault="00E911BC" w:rsidP="00E911BC">
      <w:pPr>
        <w:pStyle w:val="mechtex"/>
        <w:rPr>
          <w:rFonts w:ascii="GHEA Grapalat" w:hAnsi="GHEA Grapalat" w:cs="Arial Armenian"/>
          <w:b/>
          <w:sz w:val="24"/>
          <w:szCs w:val="24"/>
        </w:rPr>
      </w:pPr>
      <w:r w:rsidRPr="000E1B62">
        <w:rPr>
          <w:rFonts w:ascii="GHEA Grapalat" w:hAnsi="GHEA Grapalat" w:cs="Sylfaen"/>
          <w:b/>
          <w:sz w:val="24"/>
          <w:szCs w:val="24"/>
        </w:rPr>
        <w:t>ՀԱՅԱՍՏԱՆԻ</w:t>
      </w:r>
      <w:r w:rsidRPr="000E1B62">
        <w:rPr>
          <w:rFonts w:ascii="GHEA Grapalat" w:hAnsi="GHEA Grapalat" w:cs="Arial Armenian"/>
          <w:b/>
          <w:sz w:val="24"/>
          <w:szCs w:val="24"/>
        </w:rPr>
        <w:t xml:space="preserve"> </w:t>
      </w:r>
      <w:r w:rsidRPr="000E1B62">
        <w:rPr>
          <w:rFonts w:ascii="GHEA Grapalat" w:hAnsi="GHEA Grapalat" w:cs="Sylfaen"/>
          <w:b/>
          <w:sz w:val="24"/>
          <w:szCs w:val="24"/>
        </w:rPr>
        <w:t>ՀԱՆՐԱՊԵՏՈՒԹՅԱՆ</w:t>
      </w:r>
      <w:r w:rsidRPr="000E1B62">
        <w:rPr>
          <w:rFonts w:ascii="GHEA Grapalat" w:hAnsi="GHEA Grapalat" w:cs="Arial Armenian"/>
          <w:b/>
          <w:sz w:val="24"/>
          <w:szCs w:val="24"/>
        </w:rPr>
        <w:t xml:space="preserve">  ԿԱՌԱՎԱՐՈՒԹՅՈՒՆ</w:t>
      </w:r>
    </w:p>
    <w:p w:rsidR="00E911BC" w:rsidRPr="000E1B62" w:rsidRDefault="00E911BC" w:rsidP="00E911BC">
      <w:pPr>
        <w:pStyle w:val="mechtex"/>
        <w:rPr>
          <w:rFonts w:ascii="GHEA Grapalat" w:hAnsi="GHEA Grapalat" w:cs="Times New Roman"/>
          <w:b/>
          <w:sz w:val="24"/>
          <w:szCs w:val="24"/>
        </w:rPr>
      </w:pPr>
    </w:p>
    <w:p w:rsidR="00E911BC" w:rsidRPr="000E1B62" w:rsidRDefault="00E911BC" w:rsidP="00E911BC">
      <w:pPr>
        <w:pStyle w:val="mechtex"/>
        <w:rPr>
          <w:rFonts w:ascii="GHEA Grapalat" w:hAnsi="GHEA Grapalat" w:cs="Sylfaen"/>
          <w:b/>
          <w:sz w:val="24"/>
          <w:szCs w:val="24"/>
        </w:rPr>
      </w:pPr>
      <w:r w:rsidRPr="000E1B62">
        <w:rPr>
          <w:rFonts w:ascii="GHEA Grapalat" w:hAnsi="GHEA Grapalat" w:cs="Sylfaen"/>
          <w:b/>
          <w:sz w:val="24"/>
          <w:szCs w:val="24"/>
        </w:rPr>
        <w:t>Ո</w:t>
      </w:r>
      <w:r w:rsidRPr="000E1B62">
        <w:rPr>
          <w:rFonts w:ascii="GHEA Grapalat" w:hAnsi="GHEA Grapalat" w:cs="Arial Armenian"/>
          <w:b/>
          <w:sz w:val="24"/>
          <w:szCs w:val="24"/>
        </w:rPr>
        <w:t xml:space="preserve">  </w:t>
      </w:r>
      <w:r w:rsidRPr="000E1B62">
        <w:rPr>
          <w:rFonts w:ascii="GHEA Grapalat" w:hAnsi="GHEA Grapalat" w:cs="Sylfaen"/>
          <w:b/>
          <w:sz w:val="24"/>
          <w:szCs w:val="24"/>
        </w:rPr>
        <w:t>Ր</w:t>
      </w:r>
      <w:r w:rsidRPr="000E1B62">
        <w:rPr>
          <w:rFonts w:ascii="GHEA Grapalat" w:hAnsi="GHEA Grapalat" w:cs="Arial Armenian"/>
          <w:b/>
          <w:sz w:val="24"/>
          <w:szCs w:val="24"/>
        </w:rPr>
        <w:t xml:space="preserve">  </w:t>
      </w:r>
      <w:r w:rsidRPr="000E1B62">
        <w:rPr>
          <w:rFonts w:ascii="GHEA Grapalat" w:hAnsi="GHEA Grapalat" w:cs="Sylfaen"/>
          <w:b/>
          <w:sz w:val="24"/>
          <w:szCs w:val="24"/>
        </w:rPr>
        <w:t>Ո</w:t>
      </w:r>
      <w:r w:rsidRPr="000E1B62">
        <w:rPr>
          <w:rFonts w:ascii="GHEA Grapalat" w:hAnsi="GHEA Grapalat" w:cs="Arial Armenian"/>
          <w:b/>
          <w:sz w:val="24"/>
          <w:szCs w:val="24"/>
        </w:rPr>
        <w:t xml:space="preserve">  </w:t>
      </w:r>
      <w:r w:rsidRPr="000E1B62">
        <w:rPr>
          <w:rFonts w:ascii="GHEA Grapalat" w:hAnsi="GHEA Grapalat" w:cs="Sylfaen"/>
          <w:b/>
          <w:sz w:val="24"/>
          <w:szCs w:val="24"/>
        </w:rPr>
        <w:t>Շ</w:t>
      </w:r>
      <w:r w:rsidRPr="000E1B62">
        <w:rPr>
          <w:rFonts w:ascii="GHEA Grapalat" w:hAnsi="GHEA Grapalat" w:cs="Arial Armenian"/>
          <w:b/>
          <w:sz w:val="24"/>
          <w:szCs w:val="24"/>
        </w:rPr>
        <w:t xml:space="preserve">  </w:t>
      </w:r>
      <w:r w:rsidRPr="000E1B62">
        <w:rPr>
          <w:rFonts w:ascii="GHEA Grapalat" w:hAnsi="GHEA Grapalat" w:cs="Sylfaen"/>
          <w:b/>
          <w:sz w:val="24"/>
          <w:szCs w:val="24"/>
        </w:rPr>
        <w:t>Ո</w:t>
      </w:r>
      <w:r w:rsidRPr="000E1B62">
        <w:rPr>
          <w:rFonts w:ascii="GHEA Grapalat" w:hAnsi="GHEA Grapalat" w:cs="Arial Armenian"/>
          <w:b/>
          <w:sz w:val="24"/>
          <w:szCs w:val="24"/>
        </w:rPr>
        <w:t xml:space="preserve"> </w:t>
      </w:r>
      <w:r w:rsidRPr="000E1B62">
        <w:rPr>
          <w:rFonts w:ascii="GHEA Grapalat" w:hAnsi="GHEA Grapalat" w:cs="Sylfaen"/>
          <w:b/>
          <w:sz w:val="24"/>
          <w:szCs w:val="24"/>
        </w:rPr>
        <w:t>Ւ</w:t>
      </w:r>
      <w:r w:rsidRPr="000E1B62">
        <w:rPr>
          <w:rFonts w:ascii="GHEA Grapalat" w:hAnsi="GHEA Grapalat" w:cs="Arial Armenian"/>
          <w:b/>
          <w:sz w:val="24"/>
          <w:szCs w:val="24"/>
        </w:rPr>
        <w:t xml:space="preserve">  </w:t>
      </w:r>
      <w:r w:rsidRPr="000E1B62">
        <w:rPr>
          <w:rFonts w:ascii="GHEA Grapalat" w:hAnsi="GHEA Grapalat" w:cs="Sylfaen"/>
          <w:b/>
          <w:sz w:val="24"/>
          <w:szCs w:val="24"/>
        </w:rPr>
        <w:t>Մ</w:t>
      </w:r>
    </w:p>
    <w:p w:rsidR="00E911BC" w:rsidRPr="000E1B62" w:rsidRDefault="00E911BC" w:rsidP="00E911BC">
      <w:pPr>
        <w:jc w:val="center"/>
        <w:rPr>
          <w:rFonts w:ascii="GHEA Grapalat" w:hAnsi="GHEA Grapalat" w:cs="Times New Roman"/>
          <w:sz w:val="24"/>
          <w:szCs w:val="24"/>
        </w:rPr>
      </w:pPr>
    </w:p>
    <w:p w:rsidR="00E911BC" w:rsidRPr="000E1B62" w:rsidRDefault="00E911BC" w:rsidP="00E911BC">
      <w:pPr>
        <w:jc w:val="center"/>
        <w:rPr>
          <w:rFonts w:ascii="GHEA Grapalat" w:hAnsi="GHEA Grapalat"/>
          <w:sz w:val="24"/>
          <w:szCs w:val="24"/>
        </w:rPr>
      </w:pPr>
      <w:r w:rsidRPr="000E1B62">
        <w:rPr>
          <w:rFonts w:ascii="GHEA Grapalat" w:hAnsi="GHEA Grapalat" w:cs="Sylfaen"/>
          <w:spacing w:val="-4"/>
          <w:sz w:val="24"/>
          <w:szCs w:val="24"/>
          <w:lang w:val="fr-FR"/>
        </w:rPr>
        <w:t>հունվա</w:t>
      </w:r>
      <w:r w:rsidRPr="000E1B62">
        <w:rPr>
          <w:rFonts w:ascii="GHEA Grapalat" w:hAnsi="GHEA Grapalat" w:cs="Sylfaen"/>
          <w:spacing w:val="-4"/>
          <w:sz w:val="24"/>
          <w:szCs w:val="24"/>
          <w:lang w:val="pt-BR"/>
        </w:rPr>
        <w:t>րի</w:t>
      </w:r>
      <w:r w:rsidRPr="000E1B62">
        <w:rPr>
          <w:rFonts w:ascii="GHEA Grapalat" w:hAnsi="GHEA Grapalat"/>
          <w:sz w:val="24"/>
          <w:szCs w:val="24"/>
        </w:rPr>
        <w:t xml:space="preserve"> 2025 </w:t>
      </w:r>
      <w:r w:rsidRPr="000E1B62">
        <w:rPr>
          <w:rFonts w:ascii="GHEA Grapalat" w:hAnsi="GHEA Grapalat" w:cs="Sylfaen"/>
          <w:sz w:val="24"/>
          <w:szCs w:val="24"/>
        </w:rPr>
        <w:t>թվականի</w:t>
      </w:r>
      <w:r w:rsidRPr="000E1B62">
        <w:rPr>
          <w:rFonts w:ascii="GHEA Grapalat" w:hAnsi="GHEA Grapalat"/>
          <w:sz w:val="24"/>
          <w:szCs w:val="24"/>
        </w:rPr>
        <w:t xml:space="preserve">  N     -Ն</w:t>
      </w:r>
    </w:p>
    <w:p w:rsidR="00E911BC" w:rsidRPr="000E1B62" w:rsidRDefault="00E911BC" w:rsidP="00E911B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E911BC" w:rsidRPr="000E1B62" w:rsidRDefault="00E911BC" w:rsidP="00E911B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0E1B62">
        <w:rPr>
          <w:rFonts w:ascii="GHEA Grapalat" w:eastAsia="Times New Roman" w:hAnsi="GHEA Grapalat" w:cs="Times New Roman"/>
          <w:b/>
          <w:bCs/>
          <w:sz w:val="24"/>
          <w:szCs w:val="24"/>
          <w:bdr w:val="none" w:sz="0" w:space="0" w:color="auto" w:frame="1"/>
        </w:rPr>
        <w:t>ՀԱՅԱՍՏԱՆԻ ՀԱՆՐԱՊԵՏՈՒԹՅԱՆ ԿԱՌԱՎԱՐՈՒԹՅԱՆ 2023 ԹՎԱԿԱՆԻ ՆՈՅԵՄԲԵՐԻ 2-Ի N 1890-Ն ՈՐՈՇՄԱՆ ՄԵՋ ՓՈՓՈԽՈՒԹՅՈՒՆՆԵՐ ԵՎ ԼՐԱՑՈՒՄՆԵՐ ԿԱՏԱՐԵԼՈՒ ՄԱՍԻՆ</w:t>
      </w:r>
    </w:p>
    <w:p w:rsidR="00E911BC" w:rsidRPr="000E1B62" w:rsidRDefault="00E911BC" w:rsidP="00E911B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E911BC" w:rsidRPr="000E1B62" w:rsidRDefault="00E911BC" w:rsidP="00E911BC">
      <w:pPr>
        <w:pStyle w:val="norm"/>
        <w:spacing w:line="360" w:lineRule="auto"/>
        <w:rPr>
          <w:rFonts w:ascii="GHEA Grapalat" w:hAnsi="GHEA Grapalat"/>
          <w:sz w:val="24"/>
          <w:szCs w:val="24"/>
          <w:lang w:val="de-DE"/>
        </w:rPr>
      </w:pPr>
      <w:r w:rsidRPr="000E1B62">
        <w:rPr>
          <w:rFonts w:ascii="GHEA Grapalat" w:hAnsi="GHEA Grapalat" w:cs="Arial"/>
          <w:sz w:val="24"/>
          <w:szCs w:val="24"/>
        </w:rPr>
        <w:t>Հիմք</w:t>
      </w:r>
      <w:r w:rsidRPr="000E1B62">
        <w:rPr>
          <w:rFonts w:ascii="GHEA Grapalat" w:hAnsi="GHEA Grapalat"/>
          <w:sz w:val="24"/>
          <w:szCs w:val="24"/>
        </w:rPr>
        <w:t xml:space="preserve"> </w:t>
      </w:r>
      <w:r w:rsidRPr="000E1B62">
        <w:rPr>
          <w:rFonts w:ascii="GHEA Grapalat" w:hAnsi="GHEA Grapalat" w:cs="Arial"/>
          <w:sz w:val="24"/>
          <w:szCs w:val="24"/>
        </w:rPr>
        <w:t>ընդունելով</w:t>
      </w:r>
      <w:r w:rsidRPr="000E1B62">
        <w:rPr>
          <w:rFonts w:ascii="GHEA Grapalat" w:hAnsi="GHEA Grapalat"/>
          <w:sz w:val="24"/>
          <w:szCs w:val="24"/>
        </w:rPr>
        <w:t xml:space="preserve"> </w:t>
      </w:r>
      <w:r w:rsidRPr="000E1B62">
        <w:rPr>
          <w:rFonts w:ascii="GHEA Grapalat" w:hAnsi="GHEA Grapalat" w:cs="Arial Armenian"/>
          <w:sz w:val="24"/>
          <w:szCs w:val="24"/>
        </w:rPr>
        <w:t>«</w:t>
      </w:r>
      <w:r w:rsidRPr="000E1B62">
        <w:rPr>
          <w:rFonts w:ascii="GHEA Grapalat" w:hAnsi="GHEA Grapalat" w:cs="Arial"/>
          <w:sz w:val="24"/>
          <w:szCs w:val="24"/>
        </w:rPr>
        <w:t>Նորմատիվ</w:t>
      </w:r>
      <w:r w:rsidRPr="000E1B62">
        <w:rPr>
          <w:rFonts w:ascii="GHEA Grapalat" w:hAnsi="GHEA Grapalat"/>
          <w:sz w:val="24"/>
          <w:szCs w:val="24"/>
        </w:rPr>
        <w:t xml:space="preserve"> </w:t>
      </w:r>
      <w:r w:rsidRPr="000E1B62">
        <w:rPr>
          <w:rFonts w:ascii="GHEA Grapalat" w:hAnsi="GHEA Grapalat" w:cs="Arial"/>
          <w:sz w:val="24"/>
          <w:szCs w:val="24"/>
        </w:rPr>
        <w:t>իրավական</w:t>
      </w:r>
      <w:r w:rsidRPr="000E1B62">
        <w:rPr>
          <w:rFonts w:ascii="GHEA Grapalat" w:hAnsi="GHEA Grapalat"/>
          <w:sz w:val="24"/>
          <w:szCs w:val="24"/>
        </w:rPr>
        <w:t xml:space="preserve"> </w:t>
      </w:r>
      <w:r w:rsidRPr="000E1B62">
        <w:rPr>
          <w:rFonts w:ascii="GHEA Grapalat" w:hAnsi="GHEA Grapalat" w:cs="Arial"/>
          <w:sz w:val="24"/>
          <w:szCs w:val="24"/>
        </w:rPr>
        <w:t>ակտերի</w:t>
      </w:r>
      <w:r w:rsidRPr="000E1B62">
        <w:rPr>
          <w:rFonts w:ascii="GHEA Grapalat" w:hAnsi="GHEA Grapalat"/>
          <w:sz w:val="24"/>
          <w:szCs w:val="24"/>
        </w:rPr>
        <w:t xml:space="preserve"> </w:t>
      </w:r>
      <w:r w:rsidRPr="000E1B62">
        <w:rPr>
          <w:rFonts w:ascii="GHEA Grapalat" w:hAnsi="GHEA Grapalat" w:cs="Arial"/>
          <w:sz w:val="24"/>
          <w:szCs w:val="24"/>
        </w:rPr>
        <w:t>մասին</w:t>
      </w:r>
      <w:r w:rsidRPr="000E1B62">
        <w:rPr>
          <w:rFonts w:ascii="GHEA Grapalat" w:hAnsi="GHEA Grapalat" w:cs="Arial Armenian"/>
          <w:sz w:val="24"/>
          <w:szCs w:val="24"/>
        </w:rPr>
        <w:t>»</w:t>
      </w:r>
      <w:r w:rsidRPr="000E1B62">
        <w:rPr>
          <w:rFonts w:ascii="GHEA Grapalat" w:hAnsi="GHEA Grapalat"/>
          <w:sz w:val="24"/>
          <w:szCs w:val="24"/>
        </w:rPr>
        <w:t xml:space="preserve"> </w:t>
      </w:r>
      <w:r w:rsidRPr="000E1B62">
        <w:rPr>
          <w:rFonts w:ascii="GHEA Grapalat" w:hAnsi="GHEA Grapalat" w:cs="Arial"/>
          <w:sz w:val="24"/>
          <w:szCs w:val="24"/>
        </w:rPr>
        <w:t>օրենքի</w:t>
      </w:r>
      <w:r w:rsidRPr="000E1B62">
        <w:rPr>
          <w:rFonts w:ascii="GHEA Grapalat" w:hAnsi="GHEA Grapalat"/>
          <w:sz w:val="24"/>
          <w:szCs w:val="24"/>
        </w:rPr>
        <w:t xml:space="preserve"> 33-</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sz w:val="24"/>
          <w:szCs w:val="24"/>
        </w:rPr>
        <w:br/>
      </w:r>
      <w:r w:rsidRPr="000E1B62">
        <w:rPr>
          <w:rFonts w:ascii="GHEA Grapalat" w:hAnsi="GHEA Grapalat" w:cs="Arial"/>
          <w:sz w:val="24"/>
          <w:szCs w:val="24"/>
        </w:rPr>
        <w:t>և</w:t>
      </w:r>
      <w:r w:rsidRPr="000E1B62">
        <w:rPr>
          <w:rFonts w:ascii="GHEA Grapalat" w:hAnsi="GHEA Grapalat"/>
          <w:sz w:val="24"/>
          <w:szCs w:val="24"/>
        </w:rPr>
        <w:t xml:space="preserve"> 34-</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cs="Arial"/>
          <w:sz w:val="24"/>
          <w:szCs w:val="24"/>
        </w:rPr>
        <w:t>հոդվածները՝</w:t>
      </w:r>
      <w:r w:rsidRPr="000E1B62">
        <w:rPr>
          <w:rFonts w:ascii="GHEA Grapalat" w:hAnsi="GHEA Grapalat"/>
          <w:sz w:val="24"/>
          <w:szCs w:val="24"/>
        </w:rPr>
        <w:t xml:space="preserve"> </w:t>
      </w:r>
      <w:r w:rsidRPr="000E1B62">
        <w:rPr>
          <w:rFonts w:ascii="GHEA Grapalat" w:hAnsi="GHEA Grapalat" w:cs="Sylfaen"/>
          <w:sz w:val="24"/>
          <w:szCs w:val="24"/>
          <w:lang w:val="de-DE"/>
        </w:rPr>
        <w:t>Հայաստանի</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Հանրապետության</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կառավարությունը</w:t>
      </w:r>
      <w:r w:rsidRPr="000E1B62">
        <w:rPr>
          <w:rFonts w:ascii="GHEA Grapalat" w:hAnsi="GHEA Grapalat" w:cs="Arial Armenian"/>
          <w:sz w:val="24"/>
          <w:szCs w:val="24"/>
          <w:lang w:val="de-DE"/>
        </w:rPr>
        <w:t xml:space="preserve">    </w:t>
      </w:r>
      <w:r w:rsidRPr="000E1B62">
        <w:rPr>
          <w:rFonts w:ascii="GHEA Grapalat" w:hAnsi="GHEA Grapalat" w:cs="Arial Armenian"/>
          <w:sz w:val="24"/>
          <w:szCs w:val="24"/>
          <w:lang w:val="de-DE"/>
        </w:rPr>
        <w:br/>
      </w:r>
      <w:r w:rsidRPr="000E1B62">
        <w:rPr>
          <w:rFonts w:ascii="GHEA Grapalat" w:hAnsi="GHEA Grapalat" w:cs="Sylfaen"/>
          <w:sz w:val="24"/>
          <w:szCs w:val="24"/>
          <w:lang w:val="de-DE"/>
        </w:rPr>
        <w:t>ո</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ր</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ո</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շ</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ու</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մ</w:t>
      </w:r>
      <w:r w:rsidRPr="000E1B62">
        <w:rPr>
          <w:rFonts w:ascii="GHEA Grapalat" w:hAnsi="GHEA Grapalat" w:cs="Arial Armenian"/>
          <w:sz w:val="24"/>
          <w:szCs w:val="24"/>
          <w:lang w:val="de-DE"/>
        </w:rPr>
        <w:t xml:space="preserve">     </w:t>
      </w:r>
      <w:r w:rsidRPr="000E1B62">
        <w:rPr>
          <w:rFonts w:ascii="GHEA Grapalat" w:hAnsi="GHEA Grapalat" w:cs="Sylfaen"/>
          <w:sz w:val="24"/>
          <w:szCs w:val="24"/>
          <w:lang w:val="de-DE"/>
        </w:rPr>
        <w:t>է</w:t>
      </w:r>
      <w:r w:rsidRPr="000E1B62">
        <w:rPr>
          <w:rFonts w:ascii="GHEA Grapalat" w:hAnsi="GHEA Grapalat" w:cs="Arial Armenian"/>
          <w:sz w:val="24"/>
          <w:szCs w:val="24"/>
          <w:lang w:val="de-DE"/>
        </w:rPr>
        <w:t>.</w:t>
      </w:r>
    </w:p>
    <w:p w:rsidR="00E911BC" w:rsidRPr="000E1B62" w:rsidRDefault="00E911BC" w:rsidP="00E911BC">
      <w:pPr>
        <w:pStyle w:val="norm"/>
        <w:spacing w:line="360" w:lineRule="auto"/>
        <w:ind w:firstLine="706"/>
        <w:rPr>
          <w:rFonts w:ascii="GHEA Grapalat" w:hAnsi="GHEA Grapalat"/>
          <w:sz w:val="24"/>
          <w:szCs w:val="24"/>
        </w:rPr>
      </w:pPr>
      <w:r w:rsidRPr="000E1B62">
        <w:rPr>
          <w:rFonts w:ascii="GHEA Grapalat" w:hAnsi="GHEA Grapalat"/>
          <w:sz w:val="24"/>
          <w:szCs w:val="24"/>
        </w:rPr>
        <w:t xml:space="preserve">1. </w:t>
      </w:r>
      <w:r w:rsidRPr="000E1B62">
        <w:rPr>
          <w:rFonts w:ascii="GHEA Grapalat" w:hAnsi="GHEA Grapalat" w:cs="Arial"/>
          <w:sz w:val="24"/>
          <w:szCs w:val="24"/>
        </w:rPr>
        <w:t>Հայաստանի Հանրապետության կառավարության 2023 թվականի նոյեմբերի 2-ի «</w:t>
      </w:r>
      <w:r w:rsidRPr="000E1B62">
        <w:rPr>
          <w:rFonts w:ascii="GHEA Grapalat" w:hAnsi="GHEA Grapalat" w:cs="Arial"/>
          <w:sz w:val="24"/>
          <w:szCs w:val="24"/>
          <w:lang w:val="ru-RU"/>
        </w:rPr>
        <w:t>Հ</w:t>
      </w:r>
      <w:r w:rsidRPr="000E1B62">
        <w:rPr>
          <w:rFonts w:ascii="GHEA Grapalat" w:hAnsi="GHEA Grapalat"/>
          <w:bCs/>
          <w:sz w:val="24"/>
          <w:szCs w:val="24"/>
        </w:rPr>
        <w:t>այաստանի</w:t>
      </w:r>
      <w:r w:rsidRPr="000E1B62">
        <w:rPr>
          <w:rFonts w:ascii="GHEA Grapalat" w:hAnsi="GHEA Grapalat" w:cs="Arial"/>
          <w:bCs/>
          <w:sz w:val="24"/>
          <w:szCs w:val="24"/>
        </w:rPr>
        <w:t xml:space="preserve"> </w:t>
      </w:r>
      <w:r w:rsidRPr="000E1B62">
        <w:rPr>
          <w:rFonts w:ascii="GHEA Grapalat" w:hAnsi="GHEA Grapalat"/>
          <w:bCs/>
          <w:sz w:val="24"/>
          <w:szCs w:val="24"/>
          <w:lang w:val="ru-RU"/>
        </w:rPr>
        <w:t>Հ</w:t>
      </w:r>
      <w:r w:rsidRPr="000E1B62">
        <w:rPr>
          <w:rFonts w:ascii="GHEA Grapalat" w:hAnsi="GHEA Grapalat"/>
          <w:bCs/>
          <w:sz w:val="24"/>
          <w:szCs w:val="24"/>
        </w:rPr>
        <w:t>անրապետության</w:t>
      </w:r>
      <w:r w:rsidRPr="000E1B62">
        <w:rPr>
          <w:rFonts w:ascii="GHEA Grapalat" w:hAnsi="GHEA Grapalat" w:cs="Arial"/>
          <w:bCs/>
          <w:sz w:val="24"/>
          <w:szCs w:val="24"/>
        </w:rPr>
        <w:t xml:space="preserve"> </w:t>
      </w:r>
      <w:r w:rsidRPr="000E1B62">
        <w:rPr>
          <w:rFonts w:ascii="GHEA Grapalat" w:hAnsi="GHEA Grapalat"/>
          <w:bCs/>
          <w:sz w:val="24"/>
          <w:szCs w:val="24"/>
        </w:rPr>
        <w:t>համայնքներում</w:t>
      </w:r>
      <w:r w:rsidRPr="000E1B62">
        <w:rPr>
          <w:rFonts w:ascii="GHEA Grapalat" w:hAnsi="GHEA Grapalat" w:cs="Arial"/>
          <w:bCs/>
          <w:sz w:val="24"/>
          <w:szCs w:val="24"/>
        </w:rPr>
        <w:t xml:space="preserve"> </w:t>
      </w:r>
      <w:r w:rsidRPr="000E1B62">
        <w:rPr>
          <w:rFonts w:ascii="GHEA Grapalat" w:hAnsi="GHEA Grapalat"/>
          <w:bCs/>
          <w:sz w:val="24"/>
          <w:szCs w:val="24"/>
        </w:rPr>
        <w:t>մասնակցային</w:t>
      </w:r>
      <w:r w:rsidRPr="000E1B62">
        <w:rPr>
          <w:rFonts w:ascii="GHEA Grapalat" w:hAnsi="GHEA Grapalat" w:cs="Arial"/>
          <w:bCs/>
          <w:sz w:val="24"/>
          <w:szCs w:val="24"/>
        </w:rPr>
        <w:t xml:space="preserve"> </w:t>
      </w:r>
      <w:r w:rsidRPr="000E1B62">
        <w:rPr>
          <w:rFonts w:ascii="GHEA Grapalat" w:hAnsi="GHEA Grapalat"/>
          <w:bCs/>
          <w:sz w:val="24"/>
          <w:szCs w:val="24"/>
        </w:rPr>
        <w:t>բյուջետավորմամբ</w:t>
      </w:r>
      <w:r w:rsidRPr="000E1B62">
        <w:rPr>
          <w:rFonts w:ascii="GHEA Grapalat" w:hAnsi="GHEA Grapalat" w:cs="Arial"/>
          <w:bCs/>
          <w:sz w:val="24"/>
          <w:szCs w:val="24"/>
        </w:rPr>
        <w:t xml:space="preserve"> </w:t>
      </w:r>
      <w:r w:rsidRPr="000E1B62">
        <w:rPr>
          <w:rFonts w:ascii="GHEA Grapalat" w:hAnsi="GHEA Grapalat"/>
          <w:bCs/>
          <w:sz w:val="24"/>
          <w:szCs w:val="24"/>
        </w:rPr>
        <w:t>ձ</w:t>
      </w:r>
      <w:r w:rsidRPr="000E1B62">
        <w:rPr>
          <w:rFonts w:ascii="GHEA Grapalat" w:hAnsi="GHEA Grapalat"/>
          <w:bCs/>
          <w:sz w:val="24"/>
          <w:szCs w:val="24"/>
          <w:lang w:val="ru-RU"/>
        </w:rPr>
        <w:t>և</w:t>
      </w:r>
      <w:r w:rsidRPr="000E1B62">
        <w:rPr>
          <w:rFonts w:ascii="GHEA Grapalat" w:hAnsi="GHEA Grapalat"/>
          <w:bCs/>
          <w:sz w:val="24"/>
          <w:szCs w:val="24"/>
        </w:rPr>
        <w:t>ավորված</w:t>
      </w:r>
      <w:r w:rsidRPr="000E1B62">
        <w:rPr>
          <w:rFonts w:ascii="GHEA Grapalat" w:hAnsi="GHEA Grapalat" w:cs="Arial"/>
          <w:bCs/>
          <w:sz w:val="24"/>
          <w:szCs w:val="24"/>
        </w:rPr>
        <w:t xml:space="preserve"> ծրագրերի իրականացման նպատակով Հայաստանի Հանրապետության 2024 թվականի պետական բյուջեից համայնքներին սուբվենցիաների տրամադրման կարգը հաստատելու մասին» N 1890-Ն որոշման </w:t>
      </w:r>
      <w:r w:rsidRPr="000E1B62">
        <w:rPr>
          <w:rFonts w:ascii="GHEA Grapalat" w:hAnsi="GHEA Grapalat"/>
          <w:color w:val="000000"/>
          <w:sz w:val="24"/>
          <w:szCs w:val="24"/>
          <w:lang w:eastAsia="hy-AM"/>
        </w:rPr>
        <w:t xml:space="preserve">(այսուհետ՝ որոշում) </w:t>
      </w:r>
      <w:r w:rsidRPr="000E1B62">
        <w:rPr>
          <w:rFonts w:ascii="GHEA Grapalat" w:hAnsi="GHEA Grapalat" w:cs="Arial"/>
          <w:bCs/>
          <w:sz w:val="24"/>
          <w:szCs w:val="24"/>
        </w:rPr>
        <w:t>մեջ կատարել հետևյալ փոփոխությունները  և լրացումները`</w:t>
      </w:r>
      <w:r w:rsidRPr="000E1B62">
        <w:rPr>
          <w:rFonts w:ascii="GHEA Grapalat" w:hAnsi="GHEA Grapalat"/>
          <w:sz w:val="24"/>
          <w:szCs w:val="24"/>
        </w:rPr>
        <w:t xml:space="preserve">  </w:t>
      </w:r>
    </w:p>
    <w:p w:rsidR="00E911BC" w:rsidRPr="000E1B62" w:rsidRDefault="00E911BC" w:rsidP="00E911BC">
      <w:pPr>
        <w:pStyle w:val="norm"/>
        <w:spacing w:line="360" w:lineRule="auto"/>
        <w:ind w:firstLine="706"/>
        <w:rPr>
          <w:rFonts w:ascii="GHEA Grapalat" w:hAnsi="GHEA Grapalat"/>
          <w:sz w:val="24"/>
          <w:szCs w:val="24"/>
        </w:rPr>
      </w:pPr>
      <w:r w:rsidRPr="000E1B62">
        <w:rPr>
          <w:rFonts w:ascii="GHEA Grapalat" w:hAnsi="GHEA Grapalat"/>
          <w:sz w:val="24"/>
          <w:szCs w:val="24"/>
        </w:rPr>
        <w:t xml:space="preserve">1) </w:t>
      </w:r>
      <w:r w:rsidRPr="000E1B62">
        <w:rPr>
          <w:rFonts w:ascii="GHEA Grapalat" w:hAnsi="GHEA Grapalat" w:cs="Arial"/>
          <w:bCs/>
          <w:sz w:val="24"/>
          <w:szCs w:val="24"/>
        </w:rPr>
        <w:t>որոշման վերնագրում, որոշման 1-ին կետում, որոշման 1-ին կետով հաստատված հավելվածի վերնագրում և հավելվածի 1-ին կետում «2024 թվականի» թիվը և բառը հանել.</w:t>
      </w:r>
      <w:r w:rsidRPr="000E1B62">
        <w:rPr>
          <w:rFonts w:ascii="GHEA Grapalat" w:hAnsi="GHEA Grapalat"/>
          <w:sz w:val="24"/>
          <w:szCs w:val="24"/>
        </w:rPr>
        <w:t xml:space="preserve"> </w:t>
      </w:r>
    </w:p>
    <w:p w:rsidR="00E911BC" w:rsidRPr="000E1B62" w:rsidRDefault="00E911BC" w:rsidP="00E911BC">
      <w:pPr>
        <w:pStyle w:val="norm"/>
        <w:spacing w:line="360" w:lineRule="auto"/>
        <w:ind w:firstLine="706"/>
        <w:rPr>
          <w:rFonts w:ascii="GHEA Grapalat" w:hAnsi="GHEA Grapalat"/>
          <w:sz w:val="24"/>
          <w:szCs w:val="24"/>
        </w:rPr>
      </w:pPr>
      <w:r w:rsidRPr="003E15FE">
        <w:rPr>
          <w:rFonts w:ascii="GHEA Grapalat" w:hAnsi="GHEA Grapalat"/>
          <w:sz w:val="24"/>
          <w:szCs w:val="24"/>
        </w:rPr>
        <w:t>2</w:t>
      </w:r>
      <w:r w:rsidRPr="000E1B62">
        <w:rPr>
          <w:rFonts w:ascii="GHEA Grapalat" w:hAnsi="GHEA Grapalat"/>
          <w:sz w:val="24"/>
          <w:szCs w:val="24"/>
        </w:rPr>
        <w:t>) որոշման 3-</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cs="Arial"/>
          <w:sz w:val="24"/>
          <w:szCs w:val="24"/>
        </w:rPr>
        <w:t>կետը շարադրել</w:t>
      </w:r>
      <w:r w:rsidRPr="000E1B62">
        <w:rPr>
          <w:rFonts w:ascii="GHEA Grapalat" w:hAnsi="GHEA Grapalat"/>
          <w:sz w:val="24"/>
          <w:szCs w:val="24"/>
        </w:rPr>
        <w:t xml:space="preserve"> </w:t>
      </w:r>
      <w:r w:rsidRPr="000E1B62">
        <w:rPr>
          <w:rFonts w:ascii="GHEA Grapalat" w:hAnsi="GHEA Grapalat" w:cs="Arial"/>
          <w:sz w:val="24"/>
          <w:szCs w:val="24"/>
        </w:rPr>
        <w:t>հետևյալ</w:t>
      </w:r>
      <w:r w:rsidRPr="000E1B62">
        <w:rPr>
          <w:rFonts w:ascii="GHEA Grapalat" w:hAnsi="GHEA Grapalat"/>
          <w:sz w:val="24"/>
          <w:szCs w:val="24"/>
        </w:rPr>
        <w:t xml:space="preserve"> </w:t>
      </w:r>
      <w:r w:rsidRPr="000E1B62">
        <w:rPr>
          <w:rFonts w:ascii="GHEA Grapalat" w:hAnsi="GHEA Grapalat" w:cs="Arial"/>
          <w:sz w:val="24"/>
          <w:szCs w:val="24"/>
        </w:rPr>
        <w:t>խմբագրությամբ</w:t>
      </w:r>
      <w:r w:rsidRPr="000E1B62">
        <w:rPr>
          <w:rFonts w:ascii="GHEA Grapalat" w:hAnsi="GHEA Grapalat"/>
          <w:sz w:val="24"/>
          <w:szCs w:val="24"/>
        </w:rPr>
        <w:t>.</w:t>
      </w:r>
    </w:p>
    <w:p w:rsidR="00E911BC" w:rsidRPr="000E1B62" w:rsidRDefault="00E911BC" w:rsidP="00E911BC">
      <w:pPr>
        <w:pStyle w:val="norm"/>
        <w:spacing w:line="360" w:lineRule="auto"/>
        <w:ind w:firstLine="706"/>
        <w:rPr>
          <w:rFonts w:ascii="GHEA Grapalat" w:hAnsi="GHEA Grapalat" w:cs="Arial"/>
          <w:bCs/>
          <w:sz w:val="24"/>
          <w:szCs w:val="24"/>
        </w:rPr>
      </w:pPr>
      <w:r w:rsidRPr="000E1B62">
        <w:rPr>
          <w:rFonts w:ascii="GHEA Grapalat" w:hAnsi="GHEA Grapalat" w:cs="Arial"/>
          <w:bCs/>
          <w:sz w:val="24"/>
          <w:szCs w:val="24"/>
        </w:rPr>
        <w:t xml:space="preserve">«3. Սույն որոշումն ուժի մեջ է մտնում պաշտոնական հրապարակմանը հաջորդող օրվանից, և դրա գործողությունը Հայաստանի Հանրապետության 2024 թվականի բյուջետային գործընթացի ժամանակահատվածում տարածվում և փորձարկվում է Հայաստանի Հանրապետության Արագածոտնի մարզի Աշտարակ, Հայաստանի Հանրապետության Արմավիրի մարզի Արմավիր, Հայաստանի Հանրապետության Կոտայքի մարզի Աբովյան և Հայաստանի Հանրապետության Վայոց ձորի մարզի Ջերմուկ համայնքներում, իսկ Հայաստանի Հանրապետության 2025 թվականի բյուջետային գործընթացի ժամանակահատվածում` </w:t>
      </w:r>
      <w:r w:rsidRPr="00C646D3">
        <w:rPr>
          <w:rFonts w:ascii="GHEA Grapalat" w:eastAsia="Times New Roman" w:hAnsi="GHEA Grapalat" w:cs="Times New Roman"/>
          <w:color w:val="000000"/>
          <w:sz w:val="24"/>
          <w:szCs w:val="24"/>
        </w:rPr>
        <w:t xml:space="preserve">Հայաստանի Հանրապետության Արագածոտնի մարզի Աշտարակ, </w:t>
      </w:r>
      <w:r>
        <w:rPr>
          <w:rFonts w:ascii="GHEA Grapalat" w:eastAsia="Times New Roman" w:hAnsi="GHEA Grapalat" w:cs="Times New Roman"/>
          <w:color w:val="000000"/>
          <w:sz w:val="24"/>
          <w:szCs w:val="24"/>
        </w:rPr>
        <w:t xml:space="preserve">Թալին, Ծաղկահովիտ, </w:t>
      </w:r>
      <w:r w:rsidRPr="00C646D3">
        <w:rPr>
          <w:rFonts w:ascii="GHEA Grapalat" w:eastAsia="Times New Roman" w:hAnsi="GHEA Grapalat" w:cs="Times New Roman"/>
          <w:color w:val="000000"/>
          <w:sz w:val="24"/>
          <w:szCs w:val="24"/>
        </w:rPr>
        <w:t>Հայաստանի Հանրապետության Արա</w:t>
      </w:r>
      <w:r>
        <w:rPr>
          <w:rFonts w:ascii="GHEA Grapalat" w:eastAsia="Times New Roman" w:hAnsi="GHEA Grapalat" w:cs="Times New Roman"/>
          <w:color w:val="000000"/>
          <w:sz w:val="24"/>
          <w:szCs w:val="24"/>
        </w:rPr>
        <w:t>րատի</w:t>
      </w:r>
      <w:r w:rsidRPr="00C646D3">
        <w:rPr>
          <w:rFonts w:ascii="GHEA Grapalat" w:eastAsia="Times New Roman" w:hAnsi="GHEA Grapalat" w:cs="Times New Roman"/>
          <w:color w:val="000000"/>
          <w:sz w:val="24"/>
          <w:szCs w:val="24"/>
        </w:rPr>
        <w:t xml:space="preserve"> մարզի </w:t>
      </w:r>
      <w:r>
        <w:rPr>
          <w:rFonts w:ascii="GHEA Grapalat" w:eastAsia="Times New Roman" w:hAnsi="GHEA Grapalat" w:cs="Times New Roman"/>
          <w:color w:val="000000"/>
          <w:sz w:val="24"/>
          <w:szCs w:val="24"/>
        </w:rPr>
        <w:t>Մասիս,</w:t>
      </w:r>
      <w:r w:rsidRPr="00C646D3">
        <w:rPr>
          <w:rFonts w:ascii="GHEA Grapalat" w:eastAsia="Times New Roman" w:hAnsi="GHEA Grapalat" w:cs="Times New Roman"/>
          <w:color w:val="000000"/>
          <w:sz w:val="24"/>
          <w:szCs w:val="24"/>
        </w:rPr>
        <w:t xml:space="preserve"> Հայաստանի Հանրապետության Արմավիրի մարզի Արմավիր,</w:t>
      </w:r>
      <w:r>
        <w:rPr>
          <w:rFonts w:ascii="GHEA Grapalat" w:eastAsia="Times New Roman" w:hAnsi="GHEA Grapalat" w:cs="Times New Roman"/>
          <w:color w:val="000000"/>
          <w:sz w:val="24"/>
          <w:szCs w:val="24"/>
        </w:rPr>
        <w:t xml:space="preserve"> Արաքս, Խոյ, </w:t>
      </w:r>
      <w:r w:rsidRPr="00C646D3">
        <w:rPr>
          <w:rFonts w:ascii="GHEA Grapalat" w:eastAsia="Times New Roman" w:hAnsi="GHEA Grapalat" w:cs="Times New Roman"/>
          <w:color w:val="000000"/>
          <w:sz w:val="24"/>
          <w:szCs w:val="24"/>
        </w:rPr>
        <w:t xml:space="preserve"> </w:t>
      </w:r>
      <w:r w:rsidRPr="00C646D3">
        <w:rPr>
          <w:rFonts w:ascii="GHEA Grapalat" w:eastAsia="Times New Roman" w:hAnsi="GHEA Grapalat" w:cs="Times New Roman"/>
          <w:color w:val="000000"/>
          <w:sz w:val="24"/>
          <w:szCs w:val="24"/>
        </w:rPr>
        <w:lastRenderedPageBreak/>
        <w:t xml:space="preserve">Հայաստանի Հանրապետության </w:t>
      </w:r>
      <w:r>
        <w:rPr>
          <w:rFonts w:ascii="GHEA Grapalat" w:eastAsia="Times New Roman" w:hAnsi="GHEA Grapalat" w:cs="Times New Roman"/>
          <w:color w:val="000000"/>
          <w:sz w:val="24"/>
          <w:szCs w:val="24"/>
        </w:rPr>
        <w:t xml:space="preserve">Գեղարքունիքի մարզի Գավառ, </w:t>
      </w:r>
      <w:r w:rsidRPr="00C646D3">
        <w:rPr>
          <w:rFonts w:ascii="GHEA Grapalat" w:eastAsia="Times New Roman" w:hAnsi="GHEA Grapalat" w:cs="Times New Roman"/>
          <w:color w:val="000000"/>
          <w:sz w:val="24"/>
          <w:szCs w:val="24"/>
        </w:rPr>
        <w:t>Հայաստանի Հանրապետության</w:t>
      </w:r>
      <w:r w:rsidRPr="008E741F">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Լոռու մարզի Վանաձոր, Փամբակ, Ստեփանավան, </w:t>
      </w:r>
      <w:r w:rsidRPr="00C646D3">
        <w:rPr>
          <w:rFonts w:ascii="GHEA Grapalat" w:eastAsia="Times New Roman" w:hAnsi="GHEA Grapalat" w:cs="Times New Roman"/>
          <w:color w:val="000000"/>
          <w:sz w:val="24"/>
          <w:szCs w:val="24"/>
        </w:rPr>
        <w:t>Հայաստանի Հանրապետության Կոտայքի մարզի Աբովյան</w:t>
      </w:r>
      <w:r>
        <w:rPr>
          <w:rFonts w:ascii="GHEA Grapalat" w:eastAsia="Times New Roman" w:hAnsi="GHEA Grapalat" w:cs="Times New Roman"/>
          <w:color w:val="000000"/>
          <w:sz w:val="24"/>
          <w:szCs w:val="24"/>
        </w:rPr>
        <w:t xml:space="preserve">, Բյուրեղավան, Հրազդան, Չարենցավան, </w:t>
      </w:r>
      <w:r w:rsidRPr="00C646D3">
        <w:rPr>
          <w:rFonts w:ascii="GHEA Grapalat" w:eastAsia="Times New Roman" w:hAnsi="GHEA Grapalat" w:cs="Times New Roman"/>
          <w:color w:val="000000"/>
          <w:sz w:val="24"/>
          <w:szCs w:val="24"/>
        </w:rPr>
        <w:t xml:space="preserve">Հայաստանի Հանրապետության </w:t>
      </w:r>
      <w:r>
        <w:rPr>
          <w:rFonts w:ascii="GHEA Grapalat" w:eastAsia="Times New Roman" w:hAnsi="GHEA Grapalat" w:cs="Times New Roman"/>
          <w:color w:val="000000"/>
          <w:sz w:val="24"/>
          <w:szCs w:val="24"/>
        </w:rPr>
        <w:t>Շիրակի մարզի Ախուրյան, Գյումրի,</w:t>
      </w:r>
      <w:r w:rsidRPr="00C646D3">
        <w:rPr>
          <w:rFonts w:ascii="GHEA Grapalat" w:eastAsia="Times New Roman" w:hAnsi="GHEA Grapalat" w:cs="Times New Roman"/>
          <w:color w:val="000000"/>
          <w:sz w:val="24"/>
          <w:szCs w:val="24"/>
        </w:rPr>
        <w:t xml:space="preserve"> Հայաստանի Հանրապետության Վայոց ձորի մարզի</w:t>
      </w:r>
      <w:r>
        <w:rPr>
          <w:rFonts w:ascii="GHEA Grapalat" w:eastAsia="Times New Roman" w:hAnsi="GHEA Grapalat" w:cs="Times New Roman"/>
          <w:color w:val="000000"/>
          <w:sz w:val="24"/>
          <w:szCs w:val="24"/>
        </w:rPr>
        <w:t xml:space="preserve"> Արենի,</w:t>
      </w:r>
      <w:r w:rsidRPr="00C646D3">
        <w:rPr>
          <w:rFonts w:ascii="GHEA Grapalat" w:eastAsia="Times New Roman" w:hAnsi="GHEA Grapalat" w:cs="Times New Roman"/>
          <w:color w:val="000000"/>
          <w:sz w:val="24"/>
          <w:szCs w:val="24"/>
        </w:rPr>
        <w:t xml:space="preserve"> Ջերմուկ</w:t>
      </w:r>
      <w:r>
        <w:rPr>
          <w:rFonts w:ascii="GHEA Grapalat" w:eastAsia="Times New Roman" w:hAnsi="GHEA Grapalat" w:cs="Times New Roman"/>
          <w:color w:val="000000"/>
          <w:sz w:val="24"/>
          <w:szCs w:val="24"/>
        </w:rPr>
        <w:t>, Եղեգիս և Հայաստանի Հանրապետության Տավուշի մարզի Դիլիջան</w:t>
      </w:r>
      <w:r w:rsidRPr="00C646D3">
        <w:rPr>
          <w:rFonts w:ascii="GHEA Grapalat" w:eastAsia="Times New Roman" w:hAnsi="GHEA Grapalat" w:cs="Times New Roman"/>
          <w:color w:val="000000"/>
          <w:sz w:val="24"/>
          <w:szCs w:val="24"/>
        </w:rPr>
        <w:t xml:space="preserve"> համայնքներում</w:t>
      </w:r>
      <w:r w:rsidRPr="000E1B62">
        <w:rPr>
          <w:rFonts w:ascii="GHEA Grapalat" w:eastAsia="Times New Roman" w:hAnsi="GHEA Grapalat" w:cs="Times New Roman"/>
          <w:color w:val="000000"/>
          <w:sz w:val="24"/>
          <w:szCs w:val="24"/>
        </w:rPr>
        <w:t>:</w:t>
      </w:r>
      <w:r w:rsidRPr="000E1B62">
        <w:rPr>
          <w:rFonts w:ascii="GHEA Grapalat" w:hAnsi="GHEA Grapalat" w:cs="Arial"/>
          <w:bCs/>
          <w:sz w:val="24"/>
          <w:szCs w:val="24"/>
        </w:rPr>
        <w:t>.</w:t>
      </w:r>
    </w:p>
    <w:p w:rsidR="00E911BC" w:rsidRPr="000E1B62" w:rsidRDefault="00E911BC" w:rsidP="00E911BC">
      <w:pPr>
        <w:pStyle w:val="norm"/>
        <w:spacing w:line="360" w:lineRule="auto"/>
        <w:ind w:firstLine="706"/>
        <w:rPr>
          <w:rFonts w:ascii="GHEA Grapalat" w:hAnsi="GHEA Grapalat"/>
          <w:sz w:val="24"/>
          <w:szCs w:val="24"/>
        </w:rPr>
      </w:pPr>
      <w:r w:rsidRPr="00FA6C67">
        <w:rPr>
          <w:rFonts w:ascii="GHEA Grapalat" w:hAnsi="GHEA Grapalat"/>
          <w:sz w:val="24"/>
          <w:szCs w:val="24"/>
        </w:rPr>
        <w:t>3</w:t>
      </w:r>
      <w:r w:rsidRPr="000E1B62">
        <w:rPr>
          <w:rFonts w:ascii="GHEA Grapalat" w:hAnsi="GHEA Grapalat"/>
          <w:sz w:val="24"/>
          <w:szCs w:val="24"/>
        </w:rPr>
        <w:t>) հավելվածի 3-</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cs="Arial"/>
          <w:sz w:val="24"/>
          <w:szCs w:val="24"/>
        </w:rPr>
        <w:t xml:space="preserve">կետում, 4-րդ կետի 2-րդ ենթակետում, 6-րդ, 8-րդ, 9-րդ, 11-րդ, 14-րդ կետերում, 20-րդ կետի 6-րդ ենթակետում </w:t>
      </w:r>
      <w:r w:rsidRPr="000E1B62">
        <w:rPr>
          <w:rFonts w:ascii="GHEA Grapalat" w:hAnsi="GHEA Grapalat" w:cs="Arial"/>
          <w:bCs/>
          <w:sz w:val="24"/>
          <w:szCs w:val="24"/>
        </w:rPr>
        <w:t>«2024» թիվը փոխարինել «2025»</w:t>
      </w:r>
      <w:r w:rsidRPr="000E1B62">
        <w:rPr>
          <w:rFonts w:ascii="GHEA Grapalat" w:hAnsi="GHEA Grapalat"/>
          <w:sz w:val="24"/>
          <w:szCs w:val="24"/>
        </w:rPr>
        <w:t xml:space="preserve"> թվով.</w:t>
      </w:r>
    </w:p>
    <w:p w:rsidR="00E911BC" w:rsidRPr="000E1B62" w:rsidRDefault="00E911BC" w:rsidP="00E911BC">
      <w:pPr>
        <w:pStyle w:val="norm"/>
        <w:spacing w:line="360" w:lineRule="auto"/>
        <w:ind w:firstLine="706"/>
        <w:rPr>
          <w:rFonts w:ascii="GHEA Grapalat" w:hAnsi="GHEA Grapalat" w:cs="Arial"/>
          <w:sz w:val="24"/>
          <w:szCs w:val="24"/>
        </w:rPr>
      </w:pPr>
      <w:r w:rsidRPr="00FA6C67">
        <w:rPr>
          <w:rFonts w:ascii="GHEA Grapalat" w:hAnsi="GHEA Grapalat"/>
          <w:sz w:val="24"/>
          <w:szCs w:val="24"/>
        </w:rPr>
        <w:t>4</w:t>
      </w:r>
      <w:r w:rsidRPr="000E1B62">
        <w:rPr>
          <w:rFonts w:ascii="GHEA Grapalat" w:hAnsi="GHEA Grapalat"/>
          <w:sz w:val="24"/>
          <w:szCs w:val="24"/>
        </w:rPr>
        <w:t>) հավելվածի 4-</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cs="Arial"/>
          <w:sz w:val="24"/>
          <w:szCs w:val="24"/>
        </w:rPr>
        <w:t>կետի 2-րդ ենթակետում.</w:t>
      </w:r>
    </w:p>
    <w:p w:rsidR="00E911BC" w:rsidRPr="000E1B62" w:rsidRDefault="00E911BC" w:rsidP="00E911BC">
      <w:pPr>
        <w:pStyle w:val="norm"/>
        <w:spacing w:line="360" w:lineRule="auto"/>
        <w:ind w:firstLine="706"/>
        <w:rPr>
          <w:rFonts w:ascii="GHEA Grapalat" w:hAnsi="GHEA Grapalat" w:cs="Arial"/>
          <w:bCs/>
          <w:sz w:val="24"/>
          <w:szCs w:val="24"/>
        </w:rPr>
      </w:pPr>
      <w:r w:rsidRPr="000E1B62">
        <w:rPr>
          <w:rFonts w:ascii="GHEA Grapalat" w:hAnsi="GHEA Grapalat" w:cs="Arial"/>
          <w:sz w:val="24"/>
          <w:szCs w:val="24"/>
        </w:rPr>
        <w:t>ա.</w:t>
      </w:r>
      <w:r w:rsidRPr="000E1B62">
        <w:rPr>
          <w:rFonts w:ascii="GHEA Grapalat" w:hAnsi="GHEA Grapalat" w:cs="Arial"/>
          <w:bCs/>
          <w:sz w:val="24"/>
          <w:szCs w:val="24"/>
        </w:rPr>
        <w:t xml:space="preserve"> «ըստ առանձին համայնքների» բառերը փոխարինել «գործընթացին մասնակից համայնքների գծով» բառերով.</w:t>
      </w:r>
    </w:p>
    <w:p w:rsidR="00E911BC" w:rsidRPr="000E1B62" w:rsidRDefault="00E911BC" w:rsidP="00E911BC">
      <w:pPr>
        <w:pStyle w:val="norm"/>
        <w:spacing w:line="360" w:lineRule="auto"/>
        <w:ind w:firstLine="706"/>
        <w:rPr>
          <w:rFonts w:ascii="GHEA Grapalat" w:hAnsi="GHEA Grapalat" w:cs="Arial"/>
          <w:sz w:val="24"/>
          <w:szCs w:val="24"/>
        </w:rPr>
      </w:pPr>
      <w:r w:rsidRPr="000E1B62">
        <w:rPr>
          <w:rFonts w:ascii="GHEA Grapalat" w:eastAsia="Times New Roman" w:hAnsi="GHEA Grapalat" w:cs="Times New Roman"/>
          <w:color w:val="000000"/>
          <w:sz w:val="24"/>
          <w:szCs w:val="24"/>
        </w:rPr>
        <w:t xml:space="preserve">բ. </w:t>
      </w:r>
      <w:r w:rsidRPr="000E1B62">
        <w:rPr>
          <w:rFonts w:ascii="GHEA Grapalat" w:hAnsi="GHEA Grapalat" w:cs="Arial"/>
          <w:bCs/>
          <w:sz w:val="24"/>
          <w:szCs w:val="24"/>
        </w:rPr>
        <w:t>«ուղիղ համեմատական» բառերը փոխարինել «համապատասխան» բառով.</w:t>
      </w:r>
      <w:r w:rsidRPr="000E1B62">
        <w:rPr>
          <w:rFonts w:ascii="GHEA Grapalat" w:hAnsi="GHEA Grapalat"/>
          <w:sz w:val="24"/>
          <w:szCs w:val="24"/>
        </w:rPr>
        <w:t xml:space="preserve"> </w:t>
      </w:r>
    </w:p>
    <w:p w:rsidR="00E911BC" w:rsidRPr="000E1B62" w:rsidRDefault="00E911BC" w:rsidP="00E911BC">
      <w:pPr>
        <w:pStyle w:val="norm"/>
        <w:spacing w:line="360" w:lineRule="auto"/>
        <w:ind w:firstLine="706"/>
        <w:rPr>
          <w:rFonts w:ascii="GHEA Grapalat" w:hAnsi="GHEA Grapalat"/>
          <w:sz w:val="24"/>
          <w:szCs w:val="24"/>
        </w:rPr>
      </w:pPr>
      <w:r w:rsidRPr="00FA6C67">
        <w:rPr>
          <w:rFonts w:ascii="GHEA Grapalat" w:hAnsi="GHEA Grapalat"/>
          <w:sz w:val="24"/>
          <w:szCs w:val="24"/>
        </w:rPr>
        <w:t>5</w:t>
      </w:r>
      <w:r w:rsidRPr="000E1B62">
        <w:rPr>
          <w:rFonts w:ascii="GHEA Grapalat" w:hAnsi="GHEA Grapalat"/>
          <w:sz w:val="24"/>
          <w:szCs w:val="24"/>
        </w:rPr>
        <w:t>) հավելվածի 5-</w:t>
      </w:r>
      <w:r w:rsidRPr="000E1B62">
        <w:rPr>
          <w:rFonts w:ascii="GHEA Grapalat" w:hAnsi="GHEA Grapalat" w:cs="Arial"/>
          <w:sz w:val="24"/>
          <w:szCs w:val="24"/>
        </w:rPr>
        <w:t>րդ</w:t>
      </w:r>
      <w:r w:rsidRPr="000E1B62">
        <w:rPr>
          <w:rFonts w:ascii="GHEA Grapalat" w:hAnsi="GHEA Grapalat"/>
          <w:sz w:val="24"/>
          <w:szCs w:val="24"/>
        </w:rPr>
        <w:t xml:space="preserve"> </w:t>
      </w:r>
      <w:r w:rsidRPr="000E1B62">
        <w:rPr>
          <w:rFonts w:ascii="GHEA Grapalat" w:hAnsi="GHEA Grapalat" w:cs="Arial"/>
          <w:sz w:val="24"/>
          <w:szCs w:val="24"/>
        </w:rPr>
        <w:t>կետը շարադրել</w:t>
      </w:r>
      <w:r w:rsidRPr="000E1B62">
        <w:rPr>
          <w:rFonts w:ascii="GHEA Grapalat" w:hAnsi="GHEA Grapalat"/>
          <w:sz w:val="24"/>
          <w:szCs w:val="24"/>
        </w:rPr>
        <w:t xml:space="preserve"> </w:t>
      </w:r>
      <w:r w:rsidRPr="000E1B62">
        <w:rPr>
          <w:rFonts w:ascii="GHEA Grapalat" w:hAnsi="GHEA Grapalat" w:cs="Arial"/>
          <w:sz w:val="24"/>
          <w:szCs w:val="24"/>
        </w:rPr>
        <w:t>հետևյալ</w:t>
      </w:r>
      <w:r w:rsidRPr="000E1B62">
        <w:rPr>
          <w:rFonts w:ascii="GHEA Grapalat" w:hAnsi="GHEA Grapalat"/>
          <w:sz w:val="24"/>
          <w:szCs w:val="24"/>
        </w:rPr>
        <w:t xml:space="preserve"> </w:t>
      </w:r>
      <w:r w:rsidRPr="000E1B62">
        <w:rPr>
          <w:rFonts w:ascii="GHEA Grapalat" w:hAnsi="GHEA Grapalat" w:cs="Arial"/>
          <w:sz w:val="24"/>
          <w:szCs w:val="24"/>
        </w:rPr>
        <w:t>խմբագրությամբ</w:t>
      </w:r>
      <w:r w:rsidRPr="000E1B62">
        <w:rPr>
          <w:rFonts w:ascii="GHEA Grapalat" w:hAnsi="GHEA Grapalat"/>
          <w:sz w:val="24"/>
          <w:szCs w:val="24"/>
        </w:rPr>
        <w:t>.</w:t>
      </w:r>
    </w:p>
    <w:p w:rsidR="00E911BC" w:rsidRPr="000E1B62" w:rsidRDefault="00E911BC" w:rsidP="00E911BC">
      <w:pPr>
        <w:pStyle w:val="norm"/>
        <w:spacing w:line="360" w:lineRule="auto"/>
        <w:ind w:firstLine="706"/>
        <w:rPr>
          <w:rFonts w:ascii="GHEA Grapalat" w:hAnsi="GHEA Grapalat"/>
          <w:sz w:val="24"/>
          <w:szCs w:val="24"/>
        </w:rPr>
      </w:pPr>
      <w:r w:rsidRPr="000E1B62">
        <w:rPr>
          <w:rFonts w:ascii="GHEA Grapalat" w:hAnsi="GHEA Grapalat"/>
          <w:sz w:val="24"/>
          <w:szCs w:val="24"/>
        </w:rPr>
        <w:t>«5.</w:t>
      </w:r>
      <w:r w:rsidRPr="000E1B62">
        <w:rPr>
          <w:rFonts w:ascii="GHEA Grapalat" w:hAnsi="GHEA Grapalat"/>
          <w:sz w:val="24"/>
          <w:szCs w:val="24"/>
        </w:rPr>
        <w:tab/>
        <w:t>Հայաստանի Հանրապետության պետական բյուջեով մասնակցային բյուջետավորմամբ ձևավորվող ծրագրերի իրականացման համար նախատեսված սուբվենցիաների՝ ըստ առանձին համայնքների սահմանաչափերի հաշվարկն իրականացնում է տարածքային կառավարման բնագավառում Հայաստանի Հանրապետության կառավարության լիազորած պետական կառավարման մարմինը (այսուհետ՝ լիազոր մարմին):</w:t>
      </w:r>
      <w:r w:rsidRPr="009D1CBE">
        <w:rPr>
          <w:rFonts w:ascii="GHEA Grapalat" w:eastAsia="Times New Roman" w:hAnsi="GHEA Grapalat" w:cs="Times New Roman"/>
          <w:color w:val="000000"/>
          <w:sz w:val="24"/>
          <w:szCs w:val="24"/>
        </w:rPr>
        <w:t xml:space="preserve"> </w:t>
      </w:r>
      <w:r w:rsidRPr="00C646D3">
        <w:rPr>
          <w:rFonts w:ascii="GHEA Grapalat" w:eastAsia="Times New Roman" w:hAnsi="GHEA Grapalat" w:cs="Times New Roman"/>
          <w:color w:val="000000"/>
          <w:sz w:val="24"/>
          <w:szCs w:val="24"/>
        </w:rPr>
        <w:t xml:space="preserve">Մասնակցային բյուջետավորմամբ ձևավորվող ծրագրերի իրականացման համար նախատեսված սուբվենցիայի՝ ըստ առանձին համայնքների </w:t>
      </w:r>
      <w:r w:rsidRPr="00D42C8A">
        <w:rPr>
          <w:rFonts w:ascii="GHEA Grapalat" w:eastAsia="Times New Roman" w:hAnsi="GHEA Grapalat" w:cs="Times New Roman"/>
          <w:color w:val="000000"/>
          <w:sz w:val="24"/>
          <w:szCs w:val="24"/>
        </w:rPr>
        <w:t>հաշվարկվա</w:t>
      </w:r>
      <w:r w:rsidRPr="00C646D3">
        <w:rPr>
          <w:rFonts w:ascii="GHEA Grapalat" w:eastAsia="Times New Roman" w:hAnsi="GHEA Grapalat" w:cs="Times New Roman"/>
          <w:color w:val="000000"/>
          <w:sz w:val="24"/>
          <w:szCs w:val="24"/>
        </w:rPr>
        <w:t>ծ սահմանաչափերը</w:t>
      </w:r>
      <w:r>
        <w:rPr>
          <w:rFonts w:ascii="GHEA Grapalat" w:eastAsia="Times New Roman" w:hAnsi="GHEA Grapalat" w:cs="Times New Roman"/>
          <w:color w:val="000000"/>
          <w:sz w:val="24"/>
          <w:szCs w:val="24"/>
        </w:rPr>
        <w:t xml:space="preserve"> մինչև 2025 թվականի մարտի 1-ը հրապարակվում են լիազոր մարմնի </w:t>
      </w:r>
      <w:r w:rsidRPr="00C646D3">
        <w:rPr>
          <w:rFonts w:ascii="GHEA Grapalat" w:eastAsia="Times New Roman" w:hAnsi="GHEA Grapalat" w:cs="Times New Roman"/>
          <w:color w:val="000000"/>
          <w:sz w:val="24"/>
          <w:szCs w:val="24"/>
        </w:rPr>
        <w:t>պաշտոնական կայքում</w:t>
      </w:r>
      <w:r>
        <w:rPr>
          <w:rFonts w:ascii="GHEA Grapalat" w:eastAsia="Times New Roman" w:hAnsi="GHEA Grapalat" w:cs="Times New Roman"/>
          <w:color w:val="000000"/>
          <w:sz w:val="24"/>
          <w:szCs w:val="24"/>
        </w:rPr>
        <w:t>:</w:t>
      </w:r>
      <w:r w:rsidRPr="000E1B62">
        <w:rPr>
          <w:rFonts w:ascii="GHEA Grapalat" w:hAnsi="GHEA Grapalat"/>
          <w:sz w:val="24"/>
          <w:szCs w:val="24"/>
        </w:rPr>
        <w:t>.</w:t>
      </w:r>
    </w:p>
    <w:p w:rsidR="00E911BC" w:rsidRPr="000E1B62" w:rsidRDefault="00E911BC" w:rsidP="00E911BC">
      <w:pPr>
        <w:pStyle w:val="norm"/>
        <w:spacing w:line="360" w:lineRule="auto"/>
        <w:ind w:firstLine="706"/>
        <w:rPr>
          <w:rFonts w:ascii="GHEA Grapalat" w:hAnsi="GHEA Grapalat" w:cs="Arial"/>
          <w:sz w:val="24"/>
          <w:szCs w:val="24"/>
        </w:rPr>
      </w:pPr>
      <w:r w:rsidRPr="00FA6C67">
        <w:rPr>
          <w:rFonts w:ascii="GHEA Grapalat" w:hAnsi="GHEA Grapalat"/>
          <w:sz w:val="24"/>
          <w:szCs w:val="24"/>
        </w:rPr>
        <w:t>6</w:t>
      </w:r>
      <w:r w:rsidRPr="000E1B62">
        <w:rPr>
          <w:rFonts w:ascii="GHEA Grapalat" w:hAnsi="GHEA Grapalat"/>
          <w:sz w:val="24"/>
          <w:szCs w:val="24"/>
        </w:rPr>
        <w:t xml:space="preserve">) հավելվածի </w:t>
      </w:r>
      <w:r w:rsidRPr="000E1B62">
        <w:rPr>
          <w:rFonts w:ascii="GHEA Grapalat" w:hAnsi="GHEA Grapalat" w:cs="Arial"/>
          <w:sz w:val="24"/>
          <w:szCs w:val="24"/>
        </w:rPr>
        <w:t>11-րդ կետում «Սահմանված չափանիշներին չհամապատասխանող առաջարկ-նախագծերը մերժվում են և ծանուցմամբ տեղեկացվում են դրանց հեղինակներին՝ նշելով մերժման կոնկրետ պատճառները:» նախադասությունից հետո լրացնել նոր նախադասություն հետևյալ  բովանդակությամբ.</w:t>
      </w:r>
    </w:p>
    <w:p w:rsidR="00E911BC" w:rsidRPr="000E1B62" w:rsidRDefault="00E911BC" w:rsidP="00E911BC">
      <w:pPr>
        <w:pStyle w:val="norm"/>
        <w:spacing w:line="360" w:lineRule="auto"/>
        <w:ind w:firstLine="706"/>
        <w:rPr>
          <w:rFonts w:ascii="GHEA Grapalat" w:hAnsi="GHEA Grapalat" w:cs="Arial"/>
          <w:sz w:val="24"/>
          <w:szCs w:val="24"/>
        </w:rPr>
      </w:pPr>
      <w:r w:rsidRPr="000E1B62">
        <w:rPr>
          <w:rFonts w:ascii="GHEA Grapalat" w:hAnsi="GHEA Grapalat" w:cs="Arial"/>
          <w:sz w:val="24"/>
          <w:szCs w:val="24"/>
        </w:rPr>
        <w:t xml:space="preserve"> «Հանձնաժողովի որոշմամբ նույնաբովանդակ կամ բովանդակությամբ մեկտեղման հնարավորություն ներառող (այդ թվում համայնքի տարբեր բնակավայրերի գծով) առաջարկ-նախագծերը կարող են միավորվել:.</w:t>
      </w:r>
    </w:p>
    <w:p w:rsidR="00E911BC" w:rsidRPr="000E1B62" w:rsidRDefault="00E911BC" w:rsidP="00E911BC">
      <w:pPr>
        <w:pStyle w:val="norm"/>
        <w:spacing w:line="360" w:lineRule="auto"/>
        <w:ind w:firstLine="706"/>
        <w:rPr>
          <w:rFonts w:ascii="GHEA Grapalat" w:hAnsi="GHEA Grapalat" w:cs="Calibri"/>
          <w:sz w:val="24"/>
          <w:szCs w:val="24"/>
        </w:rPr>
      </w:pPr>
      <w:r w:rsidRPr="00FA6C67">
        <w:rPr>
          <w:rFonts w:ascii="GHEA Grapalat" w:hAnsi="GHEA Grapalat" w:cs="Calibri"/>
          <w:sz w:val="24"/>
          <w:szCs w:val="24"/>
        </w:rPr>
        <w:t>7</w:t>
      </w:r>
      <w:r w:rsidRPr="000E1B62">
        <w:rPr>
          <w:rFonts w:ascii="GHEA Grapalat" w:hAnsi="GHEA Grapalat" w:cs="Calibri"/>
          <w:sz w:val="24"/>
          <w:szCs w:val="24"/>
        </w:rPr>
        <w:t xml:space="preserve">) </w:t>
      </w:r>
      <w:r w:rsidRPr="000E1B62">
        <w:rPr>
          <w:rFonts w:ascii="GHEA Grapalat" w:hAnsi="GHEA Grapalat"/>
          <w:sz w:val="24"/>
          <w:szCs w:val="24"/>
        </w:rPr>
        <w:t xml:space="preserve">հավելվածի </w:t>
      </w:r>
      <w:r w:rsidRPr="000E1B62">
        <w:rPr>
          <w:rFonts w:ascii="GHEA Grapalat" w:hAnsi="GHEA Grapalat" w:cs="Arial"/>
          <w:sz w:val="24"/>
          <w:szCs w:val="24"/>
        </w:rPr>
        <w:t>14-րդ կետում</w:t>
      </w:r>
      <w:r w:rsidRPr="000E1B62">
        <w:rPr>
          <w:rFonts w:ascii="GHEA Grapalat" w:hAnsi="GHEA Grapalat" w:cs="Calibri"/>
          <w:sz w:val="24"/>
          <w:szCs w:val="24"/>
        </w:rPr>
        <w:t xml:space="preserve"> </w:t>
      </w:r>
      <w:r w:rsidRPr="000E1B62">
        <w:rPr>
          <w:rFonts w:ascii="GHEA Grapalat" w:hAnsi="GHEA Grapalat" w:cs="Arial"/>
          <w:bCs/>
          <w:sz w:val="24"/>
          <w:szCs w:val="24"/>
        </w:rPr>
        <w:t>«սուբվենցիայի հայտով հայցվող պետական ֆինանսավորման» բառերը փոխարինել «ծախսերի ընդհանուր» բառերով.</w:t>
      </w:r>
    </w:p>
    <w:p w:rsidR="00E911BC" w:rsidRPr="000E1B62" w:rsidRDefault="00E911BC" w:rsidP="00E911BC">
      <w:pPr>
        <w:pStyle w:val="norm"/>
        <w:spacing w:line="360" w:lineRule="auto"/>
        <w:ind w:firstLine="706"/>
        <w:rPr>
          <w:rFonts w:ascii="GHEA Grapalat" w:hAnsi="GHEA Grapalat"/>
          <w:sz w:val="24"/>
          <w:szCs w:val="24"/>
        </w:rPr>
      </w:pPr>
      <w:r w:rsidRPr="00FA6C67">
        <w:rPr>
          <w:rFonts w:ascii="GHEA Grapalat" w:hAnsi="GHEA Grapalat" w:cs="Calibri"/>
          <w:sz w:val="24"/>
          <w:szCs w:val="24"/>
        </w:rPr>
        <w:t>8</w:t>
      </w:r>
      <w:r w:rsidRPr="000E1B62">
        <w:rPr>
          <w:rFonts w:ascii="GHEA Grapalat" w:hAnsi="GHEA Grapalat" w:cs="Calibri"/>
          <w:sz w:val="24"/>
          <w:szCs w:val="24"/>
        </w:rPr>
        <w:t xml:space="preserve">) </w:t>
      </w:r>
      <w:r w:rsidRPr="000E1B62">
        <w:rPr>
          <w:rFonts w:ascii="GHEA Grapalat" w:hAnsi="GHEA Grapalat"/>
          <w:sz w:val="24"/>
          <w:szCs w:val="24"/>
        </w:rPr>
        <w:t xml:space="preserve">հավելվածի </w:t>
      </w:r>
      <w:r w:rsidRPr="000E1B62">
        <w:rPr>
          <w:rFonts w:ascii="GHEA Grapalat" w:hAnsi="GHEA Grapalat" w:cs="Arial"/>
          <w:sz w:val="24"/>
          <w:szCs w:val="24"/>
        </w:rPr>
        <w:t>23-րդ կետը շարադրել</w:t>
      </w:r>
      <w:r w:rsidRPr="000E1B62">
        <w:rPr>
          <w:rFonts w:ascii="GHEA Grapalat" w:hAnsi="GHEA Grapalat"/>
          <w:sz w:val="24"/>
          <w:szCs w:val="24"/>
        </w:rPr>
        <w:t xml:space="preserve"> </w:t>
      </w:r>
      <w:r w:rsidRPr="000E1B62">
        <w:rPr>
          <w:rFonts w:ascii="GHEA Grapalat" w:hAnsi="GHEA Grapalat" w:cs="Arial"/>
          <w:sz w:val="24"/>
          <w:szCs w:val="24"/>
        </w:rPr>
        <w:t>հետևյալ</w:t>
      </w:r>
      <w:r w:rsidRPr="000E1B62">
        <w:rPr>
          <w:rFonts w:ascii="GHEA Grapalat" w:hAnsi="GHEA Grapalat"/>
          <w:sz w:val="24"/>
          <w:szCs w:val="24"/>
        </w:rPr>
        <w:t xml:space="preserve"> </w:t>
      </w:r>
      <w:r w:rsidRPr="000E1B62">
        <w:rPr>
          <w:rFonts w:ascii="GHEA Grapalat" w:hAnsi="GHEA Grapalat" w:cs="Arial"/>
          <w:sz w:val="24"/>
          <w:szCs w:val="24"/>
        </w:rPr>
        <w:t>խմբագրությամբ</w:t>
      </w:r>
      <w:r w:rsidRPr="000E1B62">
        <w:rPr>
          <w:rFonts w:ascii="GHEA Grapalat" w:hAnsi="GHEA Grapalat"/>
          <w:sz w:val="24"/>
          <w:szCs w:val="24"/>
        </w:rPr>
        <w:t>.</w:t>
      </w:r>
    </w:p>
    <w:p w:rsidR="00E911BC" w:rsidRPr="000E1B62" w:rsidRDefault="00E911BC" w:rsidP="00E911BC">
      <w:pPr>
        <w:pStyle w:val="norm"/>
        <w:spacing w:line="360" w:lineRule="auto"/>
        <w:ind w:firstLine="706"/>
        <w:rPr>
          <w:rFonts w:ascii="GHEA Grapalat" w:hAnsi="GHEA Grapalat" w:cs="Arial"/>
          <w:bCs/>
          <w:sz w:val="24"/>
          <w:szCs w:val="24"/>
        </w:rPr>
      </w:pPr>
      <w:r w:rsidRPr="000E1B62">
        <w:rPr>
          <w:rFonts w:ascii="GHEA Grapalat" w:hAnsi="GHEA Grapalat" w:cs="Arial"/>
          <w:bCs/>
          <w:sz w:val="24"/>
          <w:szCs w:val="24"/>
        </w:rPr>
        <w:lastRenderedPageBreak/>
        <w:t xml:space="preserve">«23. </w:t>
      </w:r>
      <w:r w:rsidRPr="000E1B62">
        <w:rPr>
          <w:rFonts w:ascii="GHEA Grapalat" w:hAnsi="GHEA Grapalat" w:cs="Arial"/>
          <w:sz w:val="24"/>
          <w:szCs w:val="24"/>
        </w:rPr>
        <w:t xml:space="preserve">Հայտին համաձայնություն տալու մասին ծանուցվելուց հետո երկամսյա ժամկետում համայնքի ղեկավարը լիազոր մարմին է ներկայացնում սուբվենցիոն ծրագրի շինարարական աշխատանքների իրականացման համար </w:t>
      </w:r>
      <w:r w:rsidRPr="000E1B62">
        <w:rPr>
          <w:rFonts w:ascii="GHEA Grapalat" w:hAnsi="GHEA Grapalat" w:cs="Arial"/>
          <w:bCs/>
          <w:sz w:val="24"/>
          <w:szCs w:val="24"/>
        </w:rPr>
        <w:t>Հայաստանի Հանրապետության</w:t>
      </w:r>
      <w:r w:rsidRPr="000E1B62">
        <w:rPr>
          <w:rFonts w:ascii="GHEA Grapalat" w:hAnsi="GHEA Grapalat" w:cs="Arial"/>
          <w:sz w:val="24"/>
          <w:szCs w:val="24"/>
        </w:rPr>
        <w:t xml:space="preserve"> օրենսդրությամբ սահմանված կարգով նախատեսված նախագծանախահաշվային փաստաթղթերը և նախագծանախահաշվային փաստաթղթերի փորձաքննության դրական եզրակացությունը: Նախագծանախահաշվային փաստաթղթերը և նախագծանախահաշվային փաստաթղթերի փորձաքննության դրական եզրակացությունը ստանալուց հետո մեկամսյա ժամկետում լիազոր մարմինը մշակում և սահմանված կարգով Հայաստանի Հանրապետության վարչապետի աշխատակազմ է ներկայացնում մասնակցային բյուջետավորմամբ ձևավորված համապատասխան ծրագրի իրականացման համար տվյալ համայնքին սուբվենցիայի տրամադրելու մասին Հայաստանի Հանրապետության կառավարության որոշման նախագիծը:</w:t>
      </w:r>
      <w:r w:rsidRPr="000E1B62">
        <w:rPr>
          <w:rFonts w:ascii="GHEA Grapalat" w:hAnsi="GHEA Grapalat" w:cs="Arial"/>
          <w:bCs/>
          <w:sz w:val="24"/>
          <w:szCs w:val="24"/>
        </w:rPr>
        <w:t>.</w:t>
      </w:r>
    </w:p>
    <w:p w:rsidR="00E911BC" w:rsidRPr="000E1B62" w:rsidRDefault="00E911BC" w:rsidP="00E911BC">
      <w:pPr>
        <w:pStyle w:val="norm"/>
        <w:spacing w:line="360" w:lineRule="auto"/>
        <w:ind w:firstLine="706"/>
        <w:rPr>
          <w:rFonts w:ascii="GHEA Grapalat" w:hAnsi="GHEA Grapalat" w:cs="Arial"/>
          <w:bCs/>
          <w:sz w:val="24"/>
          <w:szCs w:val="24"/>
        </w:rPr>
      </w:pPr>
      <w:r w:rsidRPr="00FA6C67">
        <w:rPr>
          <w:rFonts w:ascii="GHEA Grapalat" w:hAnsi="GHEA Grapalat" w:cs="Calibri"/>
          <w:sz w:val="24"/>
          <w:szCs w:val="24"/>
        </w:rPr>
        <w:t>9</w:t>
      </w:r>
      <w:r w:rsidRPr="000E1B62">
        <w:rPr>
          <w:rFonts w:ascii="GHEA Grapalat" w:hAnsi="GHEA Grapalat" w:cs="Calibri"/>
          <w:sz w:val="24"/>
          <w:szCs w:val="24"/>
        </w:rPr>
        <w:t xml:space="preserve">) </w:t>
      </w:r>
      <w:r w:rsidRPr="000E1B62">
        <w:rPr>
          <w:rFonts w:ascii="GHEA Grapalat" w:hAnsi="GHEA Grapalat"/>
          <w:sz w:val="24"/>
          <w:szCs w:val="24"/>
        </w:rPr>
        <w:t xml:space="preserve">հավելվածի </w:t>
      </w:r>
      <w:r w:rsidRPr="000E1B62">
        <w:rPr>
          <w:rFonts w:ascii="GHEA Grapalat" w:hAnsi="GHEA Grapalat" w:cs="Arial"/>
          <w:sz w:val="24"/>
          <w:szCs w:val="24"/>
        </w:rPr>
        <w:t xml:space="preserve">24-րդ </w:t>
      </w:r>
      <w:r w:rsidRPr="000E1B62">
        <w:rPr>
          <w:rFonts w:ascii="GHEA Grapalat" w:hAnsi="GHEA Grapalat" w:cs="Arial"/>
          <w:bCs/>
          <w:sz w:val="24"/>
          <w:szCs w:val="24"/>
        </w:rPr>
        <w:t>կետում «փաստագրման հարաբերությունները» բառերից հետո լրացնել «, այդ թվում` շինարարական աշխատանքների ավարտական ակտերի ընդունման պահանջները (մասնագիտական կառույցների ներկայացուցիչների ներգրավմամբ շինարարական աշխատանքների ընդունող հանձնաժողովի ձևավորում, օբյեկտի տեխնիկական վիճակի (շահագործման ենթակա լինելու) մասին հանձնաժողովի կողմից համապատասխան հետազննության դրական եզրակացության հիման վրա համայնքի ղեկավարի կողմից ավարտական ակտի հաստատում)» բառերը</w:t>
      </w:r>
      <w:r w:rsidRPr="000E1B62">
        <w:rPr>
          <w:rFonts w:ascii="GHEA Grapalat" w:hAnsi="GHEA Grapalat" w:cs="Calibri"/>
          <w:sz w:val="24"/>
          <w:szCs w:val="24"/>
        </w:rPr>
        <w:t>.</w:t>
      </w:r>
    </w:p>
    <w:p w:rsidR="00E911BC" w:rsidRPr="000E1B62" w:rsidRDefault="00AB5F3C" w:rsidP="00E911BC">
      <w:pPr>
        <w:pStyle w:val="norm"/>
        <w:spacing w:line="360" w:lineRule="auto"/>
        <w:ind w:firstLine="706"/>
        <w:rPr>
          <w:rFonts w:ascii="GHEA Grapalat" w:hAnsi="GHEA Grapalat" w:cs="Arial"/>
          <w:bCs/>
          <w:sz w:val="24"/>
          <w:szCs w:val="24"/>
        </w:rPr>
      </w:pPr>
      <w:r>
        <w:rPr>
          <w:rFonts w:ascii="GHEA Grapalat" w:hAnsi="GHEA Grapalat" w:cs="Calibri"/>
          <w:sz w:val="24"/>
          <w:szCs w:val="24"/>
        </w:rPr>
        <w:t>10</w:t>
      </w:r>
      <w:r w:rsidR="00E911BC" w:rsidRPr="000E1B62">
        <w:rPr>
          <w:rFonts w:ascii="GHEA Grapalat" w:hAnsi="GHEA Grapalat" w:cs="Calibri"/>
          <w:sz w:val="24"/>
          <w:szCs w:val="24"/>
        </w:rPr>
        <w:t xml:space="preserve">) </w:t>
      </w:r>
      <w:r w:rsidR="00E911BC" w:rsidRPr="000E1B62">
        <w:rPr>
          <w:rFonts w:ascii="GHEA Grapalat" w:hAnsi="GHEA Grapalat"/>
          <w:sz w:val="24"/>
          <w:szCs w:val="24"/>
        </w:rPr>
        <w:t xml:space="preserve">հավելվածի </w:t>
      </w:r>
      <w:r w:rsidR="00E911BC" w:rsidRPr="000E1B62">
        <w:rPr>
          <w:rFonts w:ascii="GHEA Grapalat" w:hAnsi="GHEA Grapalat" w:cs="Arial"/>
          <w:sz w:val="24"/>
          <w:szCs w:val="24"/>
        </w:rPr>
        <w:t xml:space="preserve">25-րդ </w:t>
      </w:r>
      <w:r w:rsidR="00E911BC" w:rsidRPr="000E1B62">
        <w:rPr>
          <w:rFonts w:ascii="GHEA Grapalat" w:hAnsi="GHEA Grapalat" w:cs="Arial"/>
          <w:bCs/>
          <w:sz w:val="24"/>
          <w:szCs w:val="24"/>
        </w:rPr>
        <w:t>կետում «Մասնակցային բյուջետավորմամբ ձևավորված ծրագրերի իրականացման նպատակով տրամադրված սուբվենցիաների նպատակային օգտագործման նկատմամբ հսկողությունն իրականացնում է լիազոր մարմինը:» նախադասությունից հետո լրացնել նոր նախադասություններ հետևյալ  բովանդակությամբ.</w:t>
      </w:r>
    </w:p>
    <w:p w:rsidR="00E911BC" w:rsidRPr="000E1B62" w:rsidRDefault="00E911BC" w:rsidP="00E911BC">
      <w:pPr>
        <w:pStyle w:val="norm"/>
        <w:spacing w:line="360" w:lineRule="auto"/>
        <w:ind w:firstLine="706"/>
        <w:rPr>
          <w:rFonts w:ascii="GHEA Grapalat" w:hAnsi="GHEA Grapalat" w:cs="Arial"/>
          <w:bCs/>
          <w:sz w:val="24"/>
          <w:szCs w:val="24"/>
        </w:rPr>
      </w:pPr>
      <w:r w:rsidRPr="000E1B62">
        <w:rPr>
          <w:rFonts w:ascii="GHEA Grapalat" w:hAnsi="GHEA Grapalat" w:cs="Arial"/>
          <w:bCs/>
          <w:sz w:val="24"/>
          <w:szCs w:val="24"/>
        </w:rPr>
        <w:t xml:space="preserve"> «Մասնակցային բյուջետավորմամբ ձևավորված ծրագրերի իրականացման ընթացքի և տրամադրված սուբվենցիաների նպատակային օգտագործման վերաբերյալ տեղեկատվությունը յուրաքանչյուր ամսվա պարբերականությամբ համայնքի ղեկավարի կողմից հրապարակվում է համայնքի պաշտոնական կայքում:</w:t>
      </w:r>
      <w:r w:rsidRPr="00E11C34">
        <w:rPr>
          <w:rFonts w:ascii="GHEA Grapalat" w:hAnsi="GHEA Grapalat" w:cs="Arial"/>
          <w:bCs/>
          <w:sz w:val="24"/>
          <w:szCs w:val="24"/>
        </w:rPr>
        <w:t xml:space="preserve"> </w:t>
      </w:r>
      <w:r w:rsidRPr="00C646D3">
        <w:rPr>
          <w:rFonts w:ascii="GHEA Grapalat" w:eastAsia="Times New Roman" w:hAnsi="GHEA Grapalat" w:cs="Times New Roman"/>
          <w:color w:val="000000"/>
          <w:sz w:val="24"/>
          <w:szCs w:val="24"/>
        </w:rPr>
        <w:t xml:space="preserve">Մասնակցային բյուջետավորմամբ ձևավորված ծրագրերի իրականացման ընթացքի և տրամադրված սուբվենցիաների նպատակային </w:t>
      </w:r>
      <w:r>
        <w:rPr>
          <w:rFonts w:ascii="GHEA Grapalat" w:eastAsia="Times New Roman" w:hAnsi="GHEA Grapalat" w:cs="Times New Roman"/>
          <w:color w:val="000000"/>
          <w:sz w:val="24"/>
          <w:szCs w:val="24"/>
        </w:rPr>
        <w:t xml:space="preserve">օգտագործման նկատմամբ </w:t>
      </w:r>
      <w:r w:rsidRPr="00C646D3">
        <w:rPr>
          <w:rFonts w:ascii="GHEA Grapalat" w:eastAsia="Times New Roman" w:hAnsi="GHEA Grapalat" w:cs="Times New Roman"/>
          <w:color w:val="000000"/>
          <w:sz w:val="24"/>
          <w:szCs w:val="24"/>
        </w:rPr>
        <w:t>հանրային հսկողության նպատակով</w:t>
      </w:r>
      <w:r w:rsidRPr="002D42AF">
        <w:rPr>
          <w:rFonts w:ascii="GHEA Grapalat" w:eastAsia="Times New Roman" w:hAnsi="GHEA Grapalat" w:cs="Times New Roman"/>
          <w:color w:val="000000"/>
          <w:sz w:val="24"/>
          <w:szCs w:val="24"/>
        </w:rPr>
        <w:t xml:space="preserve"> կարող են </w:t>
      </w:r>
      <w:r>
        <w:rPr>
          <w:rFonts w:ascii="GHEA Grapalat" w:eastAsia="Times New Roman" w:hAnsi="GHEA Grapalat" w:cs="Times New Roman"/>
          <w:color w:val="000000"/>
          <w:sz w:val="24"/>
          <w:szCs w:val="24"/>
        </w:rPr>
        <w:t xml:space="preserve">մասնակցել Հայաստանի Հանրապետության կառավարության </w:t>
      </w:r>
      <w:r w:rsidRPr="00C77ECD">
        <w:rPr>
          <w:rFonts w:ascii="GHEA Grapalat" w:eastAsia="Times New Roman" w:hAnsi="GHEA Grapalat" w:cs="Times New Roman"/>
          <w:color w:val="000000"/>
          <w:sz w:val="24"/>
          <w:szCs w:val="24"/>
        </w:rPr>
        <w:t>2017 թվականի</w:t>
      </w:r>
      <w:r>
        <w:rPr>
          <w:rFonts w:ascii="GHEA Grapalat" w:eastAsia="Times New Roman" w:hAnsi="GHEA Grapalat" w:cs="Times New Roman"/>
          <w:color w:val="000000"/>
          <w:sz w:val="24"/>
          <w:szCs w:val="24"/>
        </w:rPr>
        <w:t xml:space="preserve"> մայիսի 4-ի </w:t>
      </w:r>
      <w:r w:rsidRPr="00C77ECD">
        <w:rPr>
          <w:rFonts w:ascii="GHEA Grapalat" w:eastAsia="Times New Roman" w:hAnsi="GHEA Grapalat" w:cs="Times New Roman"/>
          <w:color w:val="000000"/>
          <w:sz w:val="24"/>
          <w:szCs w:val="24"/>
        </w:rPr>
        <w:t>N 526-Ն</w:t>
      </w:r>
      <w:r>
        <w:rPr>
          <w:rFonts w:ascii="GHEA Grapalat" w:eastAsia="Times New Roman" w:hAnsi="GHEA Grapalat" w:cs="Times New Roman"/>
          <w:color w:val="000000"/>
          <w:sz w:val="24"/>
          <w:szCs w:val="24"/>
        </w:rPr>
        <w:t xml:space="preserve"> որոշմամբ հաստատված՝ </w:t>
      </w:r>
      <w:r w:rsidRPr="00BA7A4D">
        <w:rPr>
          <w:rFonts w:ascii="GHEA Grapalat" w:eastAsia="Times New Roman" w:hAnsi="GHEA Grapalat" w:cs="Times New Roman"/>
          <w:color w:val="000000"/>
          <w:sz w:val="24"/>
          <w:szCs w:val="24"/>
        </w:rPr>
        <w:t>գնումների գործընթացի կազմակերպման կարգի համաձայն՝</w:t>
      </w:r>
      <w:r w:rsidRPr="00950ADF">
        <w:rPr>
          <w:rFonts w:ascii="GHEA Grapalat" w:eastAsia="Times New Roman" w:hAnsi="GHEA Grapalat" w:cs="Times New Roman"/>
          <w:color w:val="000000"/>
          <w:sz w:val="24"/>
          <w:szCs w:val="24"/>
        </w:rPr>
        <w:t xml:space="preserve"> Հայաստանի</w:t>
      </w:r>
      <w:r w:rsidRPr="00C646D3">
        <w:rPr>
          <w:rFonts w:ascii="GHEA Grapalat" w:eastAsia="Times New Roman" w:hAnsi="GHEA Grapalat" w:cs="Times New Roman"/>
          <w:color w:val="000000"/>
          <w:sz w:val="24"/>
          <w:szCs w:val="24"/>
        </w:rPr>
        <w:t xml:space="preserve"> Հանրապետության </w:t>
      </w:r>
      <w:r>
        <w:rPr>
          <w:rFonts w:ascii="GHEA Grapalat" w:eastAsia="Times New Roman" w:hAnsi="GHEA Grapalat" w:cs="Times New Roman"/>
          <w:color w:val="000000"/>
          <w:sz w:val="24"/>
          <w:szCs w:val="24"/>
        </w:rPr>
        <w:t xml:space="preserve">ֆինանսների </w:t>
      </w:r>
      <w:r>
        <w:rPr>
          <w:rFonts w:ascii="GHEA Grapalat" w:eastAsia="Times New Roman" w:hAnsi="GHEA Grapalat" w:cs="Times New Roman"/>
          <w:color w:val="000000"/>
          <w:sz w:val="24"/>
          <w:szCs w:val="24"/>
        </w:rPr>
        <w:lastRenderedPageBreak/>
        <w:t xml:space="preserve">նախարարության </w:t>
      </w:r>
      <w:r w:rsidRPr="00C77ECD">
        <w:rPr>
          <w:rFonts w:ascii="GHEA Grapalat" w:eastAsia="Times New Roman" w:hAnsi="GHEA Grapalat" w:cs="Times New Roman"/>
          <w:color w:val="000000"/>
          <w:sz w:val="24"/>
          <w:szCs w:val="24"/>
        </w:rPr>
        <w:t xml:space="preserve">կողմից վարվող ցուցակում ընդգրկված՝ </w:t>
      </w:r>
      <w:r w:rsidRPr="002D42AF">
        <w:rPr>
          <w:rFonts w:ascii="GHEA Grapalat" w:eastAsia="Times New Roman" w:hAnsi="GHEA Grapalat" w:cs="Times New Roman"/>
          <w:color w:val="000000"/>
          <w:sz w:val="24"/>
          <w:szCs w:val="24"/>
        </w:rPr>
        <w:t>Հայաստանի Հանրապետությունում պետական գրանցում ստացած հասարակական կազմակերպությունների ներկայացուցիչները, լրատվական գործունեություն իրականացնող անձինք կամ վերջ</w:t>
      </w:r>
      <w:bookmarkStart w:id="0" w:name="_GoBack"/>
      <w:bookmarkEnd w:id="0"/>
      <w:r w:rsidRPr="002D42AF">
        <w:rPr>
          <w:rFonts w:ascii="GHEA Grapalat" w:eastAsia="Times New Roman" w:hAnsi="GHEA Grapalat" w:cs="Times New Roman"/>
          <w:color w:val="000000"/>
          <w:sz w:val="24"/>
          <w:szCs w:val="24"/>
        </w:rPr>
        <w:t>իններիս ներկայացուցիչները</w:t>
      </w:r>
      <w:r>
        <w:rPr>
          <w:rFonts w:ascii="GHEA Grapalat" w:eastAsia="Times New Roman" w:hAnsi="GHEA Grapalat" w:cs="Times New Roman"/>
          <w:color w:val="000000"/>
          <w:sz w:val="24"/>
          <w:szCs w:val="24"/>
        </w:rPr>
        <w:t>:</w:t>
      </w:r>
      <w:r w:rsidRPr="000E1B62">
        <w:rPr>
          <w:rFonts w:ascii="GHEA Grapalat" w:hAnsi="GHEA Grapalat" w:cs="Arial"/>
          <w:bCs/>
          <w:sz w:val="24"/>
          <w:szCs w:val="24"/>
        </w:rPr>
        <w:t>.</w:t>
      </w:r>
    </w:p>
    <w:p w:rsidR="00E911BC" w:rsidRPr="000E1B62" w:rsidRDefault="00AB5F3C" w:rsidP="00E911BC">
      <w:pPr>
        <w:pStyle w:val="norm"/>
        <w:spacing w:line="360" w:lineRule="auto"/>
        <w:ind w:firstLine="706"/>
        <w:rPr>
          <w:rFonts w:ascii="GHEA Grapalat" w:hAnsi="GHEA Grapalat" w:cs="Calibri"/>
          <w:sz w:val="24"/>
          <w:szCs w:val="24"/>
        </w:rPr>
      </w:pPr>
      <w:r>
        <w:rPr>
          <w:rFonts w:ascii="GHEA Grapalat" w:hAnsi="GHEA Grapalat" w:cs="Calibri"/>
          <w:sz w:val="24"/>
          <w:szCs w:val="24"/>
        </w:rPr>
        <w:t>11</w:t>
      </w:r>
      <w:r w:rsidR="00E911BC" w:rsidRPr="000E1B62">
        <w:rPr>
          <w:rFonts w:ascii="GHEA Grapalat" w:hAnsi="GHEA Grapalat" w:cs="Calibri"/>
          <w:sz w:val="24"/>
          <w:szCs w:val="24"/>
        </w:rPr>
        <w:t xml:space="preserve">) </w:t>
      </w:r>
      <w:r w:rsidR="00E911BC" w:rsidRPr="000E1B62">
        <w:rPr>
          <w:rFonts w:ascii="GHEA Grapalat" w:hAnsi="GHEA Grapalat"/>
          <w:sz w:val="24"/>
          <w:szCs w:val="24"/>
        </w:rPr>
        <w:t xml:space="preserve">հավելվածի </w:t>
      </w:r>
      <w:r w:rsidR="00E911BC" w:rsidRPr="000E1B62">
        <w:rPr>
          <w:rFonts w:ascii="GHEA Grapalat" w:hAnsi="GHEA Grapalat" w:cs="Arial"/>
          <w:sz w:val="24"/>
          <w:szCs w:val="24"/>
        </w:rPr>
        <w:t xml:space="preserve">26-րդ կետում </w:t>
      </w:r>
      <w:r w:rsidR="00E911BC" w:rsidRPr="000E1B62">
        <w:rPr>
          <w:rFonts w:ascii="GHEA Grapalat" w:hAnsi="GHEA Grapalat" w:cs="Arial"/>
          <w:bCs/>
          <w:sz w:val="24"/>
          <w:szCs w:val="24"/>
        </w:rPr>
        <w:t>«2025» թիվը փոխարինել «2026» թվով</w:t>
      </w:r>
      <w:r w:rsidR="00E911BC" w:rsidRPr="000E1B62">
        <w:rPr>
          <w:rFonts w:ascii="GHEA Grapalat" w:hAnsi="GHEA Grapalat" w:cs="Calibri"/>
          <w:sz w:val="24"/>
          <w:szCs w:val="24"/>
        </w:rPr>
        <w:t>.</w:t>
      </w:r>
    </w:p>
    <w:p w:rsidR="00E911BC" w:rsidRPr="000E1B62" w:rsidRDefault="00AB5F3C" w:rsidP="00E911BC">
      <w:pPr>
        <w:pStyle w:val="norm"/>
        <w:spacing w:line="360" w:lineRule="auto"/>
        <w:ind w:firstLine="706"/>
        <w:rPr>
          <w:rFonts w:ascii="GHEA Grapalat" w:hAnsi="GHEA Grapalat" w:cs="Arial"/>
          <w:bCs/>
          <w:sz w:val="24"/>
          <w:szCs w:val="24"/>
        </w:rPr>
      </w:pPr>
      <w:r>
        <w:rPr>
          <w:rFonts w:ascii="GHEA Grapalat" w:hAnsi="GHEA Grapalat" w:cs="Calibri"/>
          <w:sz w:val="24"/>
          <w:szCs w:val="24"/>
        </w:rPr>
        <w:t>12</w:t>
      </w:r>
      <w:r w:rsidR="00E911BC" w:rsidRPr="000E1B62">
        <w:rPr>
          <w:rFonts w:ascii="GHEA Grapalat" w:hAnsi="GHEA Grapalat" w:cs="Calibri"/>
          <w:sz w:val="24"/>
          <w:szCs w:val="24"/>
        </w:rPr>
        <w:t xml:space="preserve">) </w:t>
      </w:r>
      <w:r w:rsidR="00E911BC" w:rsidRPr="000E1B62">
        <w:rPr>
          <w:rFonts w:ascii="GHEA Grapalat" w:hAnsi="GHEA Grapalat"/>
          <w:sz w:val="24"/>
          <w:szCs w:val="24"/>
        </w:rPr>
        <w:t>հավելվածի Ձև N 1</w:t>
      </w:r>
      <w:r w:rsidR="00E911BC" w:rsidRPr="000E1B62">
        <w:rPr>
          <w:rFonts w:ascii="GHEA Grapalat" w:hAnsi="GHEA Grapalat" w:cs="Arial"/>
          <w:sz w:val="24"/>
          <w:szCs w:val="24"/>
        </w:rPr>
        <w:t>-</w:t>
      </w:r>
      <w:r w:rsidR="00E911BC" w:rsidRPr="000E1B62">
        <w:rPr>
          <w:rFonts w:ascii="GHEA Grapalat" w:hAnsi="GHEA Grapalat" w:cs="Arial"/>
          <w:bCs/>
          <w:sz w:val="24"/>
          <w:szCs w:val="24"/>
        </w:rPr>
        <w:t>ի.</w:t>
      </w:r>
    </w:p>
    <w:p w:rsidR="00E911BC" w:rsidRPr="000E1B62" w:rsidRDefault="00E911BC" w:rsidP="00E911BC">
      <w:pPr>
        <w:pStyle w:val="norm"/>
        <w:spacing w:line="360" w:lineRule="auto"/>
        <w:ind w:firstLine="706"/>
        <w:rPr>
          <w:rFonts w:ascii="GHEA Grapalat" w:hAnsi="GHEA Grapalat" w:cs="Calibri"/>
          <w:sz w:val="24"/>
          <w:szCs w:val="24"/>
        </w:rPr>
      </w:pPr>
      <w:r w:rsidRPr="000E1B62">
        <w:rPr>
          <w:rFonts w:ascii="GHEA Grapalat" w:hAnsi="GHEA Grapalat" w:cs="Arial"/>
          <w:bCs/>
          <w:sz w:val="24"/>
          <w:szCs w:val="24"/>
        </w:rPr>
        <w:t>ա. «Ծրագրի ընդհանուր նկարագրությունը և դրա իրականացման անհրաժեշտությունը», «Ծրագրի իրականացման տևողությունը» և «Ամսաթիվ» պարբերություններում «2024» թիվը փոխարինել «2025» թվով</w:t>
      </w:r>
      <w:r w:rsidRPr="000E1B62">
        <w:rPr>
          <w:rFonts w:ascii="GHEA Grapalat" w:hAnsi="GHEA Grapalat" w:cs="Calibri"/>
          <w:sz w:val="24"/>
          <w:szCs w:val="24"/>
        </w:rPr>
        <w:t>.</w:t>
      </w:r>
    </w:p>
    <w:p w:rsidR="00E911BC" w:rsidRPr="000E1B62" w:rsidRDefault="00E911BC" w:rsidP="00E911BC">
      <w:pPr>
        <w:pStyle w:val="norm"/>
        <w:spacing w:line="360" w:lineRule="auto"/>
        <w:ind w:firstLine="706"/>
        <w:rPr>
          <w:rFonts w:ascii="GHEA Grapalat" w:hAnsi="GHEA Grapalat" w:cs="Arial"/>
          <w:bCs/>
          <w:sz w:val="24"/>
          <w:szCs w:val="24"/>
        </w:rPr>
      </w:pPr>
      <w:r w:rsidRPr="000E1B62">
        <w:rPr>
          <w:rFonts w:ascii="GHEA Grapalat" w:hAnsi="GHEA Grapalat" w:cs="Calibri"/>
          <w:sz w:val="24"/>
          <w:szCs w:val="24"/>
        </w:rPr>
        <w:t>բ.</w:t>
      </w:r>
      <w:r w:rsidRPr="000E1B62">
        <w:rPr>
          <w:rFonts w:ascii="GHEA Grapalat" w:hAnsi="GHEA Grapalat" w:cs="Arial"/>
          <w:bCs/>
          <w:sz w:val="24"/>
          <w:szCs w:val="24"/>
        </w:rPr>
        <w:t xml:space="preserve"> «Համայնքի 2023 թվականի փաստացի և 2024 թվականի հաստատված բյուջեն» պարբերության «2023» թիվը փոխարինել «2024» թվով, իսկ «2024» թիվը՝ «2025» թվով:</w:t>
      </w:r>
    </w:p>
    <w:p w:rsidR="00E911BC" w:rsidRPr="000E1B62" w:rsidRDefault="00E911BC" w:rsidP="00E911BC">
      <w:pPr>
        <w:pStyle w:val="norm"/>
        <w:spacing w:line="360" w:lineRule="auto"/>
        <w:ind w:firstLine="706"/>
        <w:rPr>
          <w:rFonts w:ascii="GHEA Grapalat" w:hAnsi="GHEA Grapalat" w:cs="Arial"/>
          <w:sz w:val="24"/>
          <w:szCs w:val="24"/>
        </w:rPr>
      </w:pPr>
      <w:r w:rsidRPr="000E1B62">
        <w:rPr>
          <w:rFonts w:ascii="GHEA Grapalat" w:hAnsi="GHEA Grapalat" w:cs="Arial"/>
          <w:sz w:val="24"/>
          <w:szCs w:val="24"/>
        </w:rPr>
        <w:t>2. Սահմանել, որ 2024 թվականին մ</w:t>
      </w:r>
      <w:r w:rsidRPr="000E1B62">
        <w:rPr>
          <w:rFonts w:ascii="GHEA Grapalat" w:eastAsia="Times New Roman" w:hAnsi="GHEA Grapalat" w:cs="Times New Roman"/>
          <w:color w:val="000000"/>
          <w:sz w:val="24"/>
          <w:szCs w:val="24"/>
        </w:rPr>
        <w:t>ասնակցային բյուջետավորմամբ ձևավորված և սուբվենցիաներ ստացած ծրագրերի վերաբերյալ տարեկան հաշվետվությունն համայնքի ղեկավարը լիազոր մարմնի է ներկայացնում մինչև 2025 թվականի մարտի 1-ը:</w:t>
      </w:r>
      <w:r w:rsidRPr="000E1B62">
        <w:rPr>
          <w:rFonts w:ascii="GHEA Grapalat" w:hAnsi="GHEA Grapalat" w:cs="Arial"/>
          <w:sz w:val="24"/>
          <w:szCs w:val="24"/>
        </w:rPr>
        <w:t xml:space="preserve"> </w:t>
      </w:r>
    </w:p>
    <w:p w:rsidR="00E911BC" w:rsidRPr="000E1B62" w:rsidRDefault="00E911BC" w:rsidP="00E911BC">
      <w:pPr>
        <w:pStyle w:val="norm"/>
        <w:spacing w:line="360" w:lineRule="auto"/>
        <w:ind w:firstLine="706"/>
        <w:rPr>
          <w:rFonts w:ascii="GHEA Grapalat" w:hAnsi="GHEA Grapalat"/>
          <w:sz w:val="24"/>
          <w:szCs w:val="24"/>
        </w:rPr>
      </w:pPr>
      <w:r w:rsidRPr="000E1B62">
        <w:rPr>
          <w:rFonts w:ascii="GHEA Grapalat" w:hAnsi="GHEA Grapalat" w:cs="Arial"/>
          <w:sz w:val="24"/>
          <w:szCs w:val="24"/>
        </w:rPr>
        <w:t>3. Սույն</w:t>
      </w:r>
      <w:r w:rsidRPr="000E1B62">
        <w:rPr>
          <w:rFonts w:ascii="GHEA Grapalat" w:hAnsi="GHEA Grapalat"/>
          <w:sz w:val="24"/>
          <w:szCs w:val="24"/>
        </w:rPr>
        <w:t xml:space="preserve"> </w:t>
      </w:r>
      <w:r w:rsidRPr="000E1B62">
        <w:rPr>
          <w:rFonts w:ascii="GHEA Grapalat" w:hAnsi="GHEA Grapalat" w:cs="Arial"/>
          <w:sz w:val="24"/>
          <w:szCs w:val="24"/>
        </w:rPr>
        <w:t>որոշումն</w:t>
      </w:r>
      <w:r w:rsidRPr="000E1B62">
        <w:rPr>
          <w:rFonts w:ascii="GHEA Grapalat" w:hAnsi="GHEA Grapalat"/>
          <w:sz w:val="24"/>
          <w:szCs w:val="24"/>
        </w:rPr>
        <w:t xml:space="preserve"> </w:t>
      </w:r>
      <w:r w:rsidRPr="000E1B62">
        <w:rPr>
          <w:rFonts w:ascii="GHEA Grapalat" w:hAnsi="GHEA Grapalat" w:cs="Arial"/>
          <w:sz w:val="24"/>
          <w:szCs w:val="24"/>
        </w:rPr>
        <w:t>ուժի</w:t>
      </w:r>
      <w:r w:rsidRPr="000E1B62">
        <w:rPr>
          <w:rFonts w:ascii="GHEA Grapalat" w:hAnsi="GHEA Grapalat"/>
          <w:sz w:val="24"/>
          <w:szCs w:val="24"/>
        </w:rPr>
        <w:t xml:space="preserve"> </w:t>
      </w:r>
      <w:r w:rsidRPr="000E1B62">
        <w:rPr>
          <w:rFonts w:ascii="GHEA Grapalat" w:hAnsi="GHEA Grapalat" w:cs="Arial"/>
          <w:sz w:val="24"/>
          <w:szCs w:val="24"/>
        </w:rPr>
        <w:t>մեջ</w:t>
      </w:r>
      <w:r w:rsidRPr="000E1B62">
        <w:rPr>
          <w:rFonts w:ascii="GHEA Grapalat" w:hAnsi="GHEA Grapalat"/>
          <w:sz w:val="24"/>
          <w:szCs w:val="24"/>
        </w:rPr>
        <w:t xml:space="preserve"> </w:t>
      </w:r>
      <w:r w:rsidRPr="000E1B62">
        <w:rPr>
          <w:rFonts w:ascii="GHEA Grapalat" w:hAnsi="GHEA Grapalat" w:cs="Arial"/>
          <w:sz w:val="24"/>
          <w:szCs w:val="24"/>
        </w:rPr>
        <w:t>է</w:t>
      </w:r>
      <w:r w:rsidRPr="000E1B62">
        <w:rPr>
          <w:rFonts w:ascii="GHEA Grapalat" w:hAnsi="GHEA Grapalat"/>
          <w:sz w:val="24"/>
          <w:szCs w:val="24"/>
        </w:rPr>
        <w:t xml:space="preserve"> </w:t>
      </w:r>
      <w:r w:rsidRPr="000E1B62">
        <w:rPr>
          <w:rFonts w:ascii="GHEA Grapalat" w:hAnsi="GHEA Grapalat" w:cs="Arial"/>
          <w:sz w:val="24"/>
          <w:szCs w:val="24"/>
        </w:rPr>
        <w:t>մտնում</w:t>
      </w:r>
      <w:r w:rsidRPr="000E1B62">
        <w:rPr>
          <w:rFonts w:ascii="GHEA Grapalat" w:hAnsi="GHEA Grapalat"/>
          <w:sz w:val="24"/>
          <w:szCs w:val="24"/>
        </w:rPr>
        <w:t xml:space="preserve"> </w:t>
      </w:r>
      <w:r w:rsidRPr="000E1B62">
        <w:rPr>
          <w:rFonts w:ascii="GHEA Grapalat" w:hAnsi="GHEA Grapalat" w:cs="Arial"/>
          <w:sz w:val="24"/>
          <w:szCs w:val="24"/>
        </w:rPr>
        <w:t>պաշտոնական</w:t>
      </w:r>
      <w:r w:rsidRPr="000E1B62">
        <w:rPr>
          <w:rFonts w:ascii="GHEA Grapalat" w:hAnsi="GHEA Grapalat"/>
          <w:sz w:val="24"/>
          <w:szCs w:val="24"/>
        </w:rPr>
        <w:t xml:space="preserve"> </w:t>
      </w:r>
      <w:r w:rsidRPr="000E1B62">
        <w:rPr>
          <w:rFonts w:ascii="GHEA Grapalat" w:hAnsi="GHEA Grapalat" w:cs="Arial"/>
          <w:sz w:val="24"/>
          <w:szCs w:val="24"/>
        </w:rPr>
        <w:t>հրապարակմանը</w:t>
      </w:r>
      <w:r w:rsidRPr="000E1B62">
        <w:rPr>
          <w:rFonts w:ascii="GHEA Grapalat" w:hAnsi="GHEA Grapalat"/>
          <w:sz w:val="24"/>
          <w:szCs w:val="24"/>
        </w:rPr>
        <w:t xml:space="preserve"> </w:t>
      </w:r>
      <w:r w:rsidRPr="000E1B62">
        <w:rPr>
          <w:rFonts w:ascii="GHEA Grapalat" w:hAnsi="GHEA Grapalat" w:cs="Arial"/>
          <w:sz w:val="24"/>
          <w:szCs w:val="24"/>
        </w:rPr>
        <w:t>հաջորդող</w:t>
      </w:r>
      <w:r w:rsidRPr="000E1B62">
        <w:rPr>
          <w:rFonts w:ascii="GHEA Grapalat" w:hAnsi="GHEA Grapalat"/>
          <w:sz w:val="24"/>
          <w:szCs w:val="24"/>
        </w:rPr>
        <w:t xml:space="preserve"> </w:t>
      </w:r>
      <w:r w:rsidRPr="000E1B62">
        <w:rPr>
          <w:rFonts w:ascii="GHEA Grapalat" w:hAnsi="GHEA Grapalat" w:cs="Arial"/>
          <w:sz w:val="24"/>
          <w:szCs w:val="24"/>
        </w:rPr>
        <w:t>օրվանից</w:t>
      </w:r>
      <w:r w:rsidRPr="000E1B62">
        <w:rPr>
          <w:rFonts w:ascii="GHEA Grapalat" w:hAnsi="GHEA Grapalat"/>
          <w:sz w:val="24"/>
          <w:szCs w:val="24"/>
        </w:rPr>
        <w:t>:</w:t>
      </w:r>
    </w:p>
    <w:p w:rsidR="00E911BC" w:rsidRPr="000E1B62" w:rsidRDefault="00E911BC" w:rsidP="00E911BC">
      <w:pPr>
        <w:pStyle w:val="norm"/>
        <w:spacing w:line="360" w:lineRule="auto"/>
        <w:ind w:firstLine="706"/>
        <w:rPr>
          <w:rFonts w:ascii="GHEA Grapalat" w:eastAsia="Times New Roman" w:hAnsi="GHEA Grapalat" w:cs="Times New Roman"/>
          <w:color w:val="000000"/>
          <w:sz w:val="24"/>
          <w:szCs w:val="24"/>
        </w:rPr>
      </w:pPr>
    </w:p>
    <w:p w:rsidR="006C05A9" w:rsidRPr="00E911BC" w:rsidRDefault="006C05A9" w:rsidP="00E911BC"/>
    <w:sectPr w:rsidR="006C05A9" w:rsidRPr="00E911BC" w:rsidSect="00742D45">
      <w:pgSz w:w="11906" w:h="16838"/>
      <w:pgMar w:top="630" w:right="656" w:bottom="270" w:left="99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F44" w:rsidRDefault="00503F44" w:rsidP="006E388A">
      <w:pPr>
        <w:spacing w:after="0" w:line="240" w:lineRule="auto"/>
      </w:pPr>
      <w:r>
        <w:separator/>
      </w:r>
    </w:p>
  </w:endnote>
  <w:endnote w:type="continuationSeparator" w:id="0">
    <w:p w:rsidR="00503F44" w:rsidRDefault="00503F44" w:rsidP="006E3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F44" w:rsidRDefault="00503F44" w:rsidP="006E388A">
      <w:pPr>
        <w:spacing w:after="0" w:line="240" w:lineRule="auto"/>
      </w:pPr>
      <w:r>
        <w:separator/>
      </w:r>
    </w:p>
  </w:footnote>
  <w:footnote w:type="continuationSeparator" w:id="0">
    <w:p w:rsidR="00503F44" w:rsidRDefault="00503F44" w:rsidP="006E3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63"/>
    <w:rsid w:val="00002CD6"/>
    <w:rsid w:val="00022782"/>
    <w:rsid w:val="00023FA3"/>
    <w:rsid w:val="000265B4"/>
    <w:rsid w:val="00047923"/>
    <w:rsid w:val="0005442E"/>
    <w:rsid w:val="000576C9"/>
    <w:rsid w:val="00061213"/>
    <w:rsid w:val="00062BE6"/>
    <w:rsid w:val="0006415C"/>
    <w:rsid w:val="00066204"/>
    <w:rsid w:val="00067F96"/>
    <w:rsid w:val="000742C9"/>
    <w:rsid w:val="00075020"/>
    <w:rsid w:val="00075C26"/>
    <w:rsid w:val="0007689C"/>
    <w:rsid w:val="00086328"/>
    <w:rsid w:val="00086C44"/>
    <w:rsid w:val="0008719F"/>
    <w:rsid w:val="00091B75"/>
    <w:rsid w:val="0009443D"/>
    <w:rsid w:val="00094AE4"/>
    <w:rsid w:val="00097182"/>
    <w:rsid w:val="000971E4"/>
    <w:rsid w:val="000A0E4B"/>
    <w:rsid w:val="000A2DD8"/>
    <w:rsid w:val="000A59CB"/>
    <w:rsid w:val="000A6502"/>
    <w:rsid w:val="000B0193"/>
    <w:rsid w:val="000B1782"/>
    <w:rsid w:val="000B2D27"/>
    <w:rsid w:val="000B3614"/>
    <w:rsid w:val="000B730D"/>
    <w:rsid w:val="000C4604"/>
    <w:rsid w:val="000C6054"/>
    <w:rsid w:val="000C7458"/>
    <w:rsid w:val="000D4208"/>
    <w:rsid w:val="000D488B"/>
    <w:rsid w:val="000D5738"/>
    <w:rsid w:val="000D5D56"/>
    <w:rsid w:val="000D67B7"/>
    <w:rsid w:val="000E1B62"/>
    <w:rsid w:val="000E2B6A"/>
    <w:rsid w:val="000E486A"/>
    <w:rsid w:val="000F3E0F"/>
    <w:rsid w:val="000F7369"/>
    <w:rsid w:val="00102B6D"/>
    <w:rsid w:val="001112CE"/>
    <w:rsid w:val="00116FD1"/>
    <w:rsid w:val="00134E13"/>
    <w:rsid w:val="001423A0"/>
    <w:rsid w:val="001429EE"/>
    <w:rsid w:val="001459FE"/>
    <w:rsid w:val="0014745A"/>
    <w:rsid w:val="00153475"/>
    <w:rsid w:val="00154E16"/>
    <w:rsid w:val="00155707"/>
    <w:rsid w:val="00163925"/>
    <w:rsid w:val="00172EF7"/>
    <w:rsid w:val="00177192"/>
    <w:rsid w:val="001829BC"/>
    <w:rsid w:val="00185BD0"/>
    <w:rsid w:val="00187C23"/>
    <w:rsid w:val="00196070"/>
    <w:rsid w:val="001A0AD4"/>
    <w:rsid w:val="001A1789"/>
    <w:rsid w:val="001A1E14"/>
    <w:rsid w:val="001A7154"/>
    <w:rsid w:val="001B14AB"/>
    <w:rsid w:val="001C1F6E"/>
    <w:rsid w:val="001C7293"/>
    <w:rsid w:val="001C7A7C"/>
    <w:rsid w:val="001D0819"/>
    <w:rsid w:val="001D5197"/>
    <w:rsid w:val="001F2FE1"/>
    <w:rsid w:val="001F3698"/>
    <w:rsid w:val="001F671F"/>
    <w:rsid w:val="001F7304"/>
    <w:rsid w:val="001F7658"/>
    <w:rsid w:val="002071A0"/>
    <w:rsid w:val="002121E2"/>
    <w:rsid w:val="0021342A"/>
    <w:rsid w:val="00220A26"/>
    <w:rsid w:val="00230CB7"/>
    <w:rsid w:val="0023214D"/>
    <w:rsid w:val="002329DA"/>
    <w:rsid w:val="00240447"/>
    <w:rsid w:val="00242CE9"/>
    <w:rsid w:val="0024446E"/>
    <w:rsid w:val="00247CEB"/>
    <w:rsid w:val="002529EA"/>
    <w:rsid w:val="00252C78"/>
    <w:rsid w:val="002539F7"/>
    <w:rsid w:val="00253F6C"/>
    <w:rsid w:val="00266FAA"/>
    <w:rsid w:val="0027205A"/>
    <w:rsid w:val="00272222"/>
    <w:rsid w:val="00274972"/>
    <w:rsid w:val="00274B31"/>
    <w:rsid w:val="002758EA"/>
    <w:rsid w:val="00281CAA"/>
    <w:rsid w:val="00281F17"/>
    <w:rsid w:val="0028221F"/>
    <w:rsid w:val="00284166"/>
    <w:rsid w:val="002860A0"/>
    <w:rsid w:val="00286D1E"/>
    <w:rsid w:val="00287C26"/>
    <w:rsid w:val="00290727"/>
    <w:rsid w:val="00291AE6"/>
    <w:rsid w:val="00293B16"/>
    <w:rsid w:val="0029449D"/>
    <w:rsid w:val="002A75B3"/>
    <w:rsid w:val="002A7E9B"/>
    <w:rsid w:val="002B4550"/>
    <w:rsid w:val="002B47ED"/>
    <w:rsid w:val="002B64C5"/>
    <w:rsid w:val="002B729C"/>
    <w:rsid w:val="002B7BAF"/>
    <w:rsid w:val="002C1228"/>
    <w:rsid w:val="002C7047"/>
    <w:rsid w:val="002D01E2"/>
    <w:rsid w:val="002D055C"/>
    <w:rsid w:val="002E005A"/>
    <w:rsid w:val="002E076A"/>
    <w:rsid w:val="002E0BFF"/>
    <w:rsid w:val="002E2E8B"/>
    <w:rsid w:val="002E7E13"/>
    <w:rsid w:val="002F2AF4"/>
    <w:rsid w:val="002F3BF9"/>
    <w:rsid w:val="002F67F4"/>
    <w:rsid w:val="002F7B33"/>
    <w:rsid w:val="00300AE9"/>
    <w:rsid w:val="00310627"/>
    <w:rsid w:val="00310B69"/>
    <w:rsid w:val="00311AB8"/>
    <w:rsid w:val="00314245"/>
    <w:rsid w:val="00314D0B"/>
    <w:rsid w:val="00320B5E"/>
    <w:rsid w:val="00326CAF"/>
    <w:rsid w:val="00327A64"/>
    <w:rsid w:val="00336195"/>
    <w:rsid w:val="003400DA"/>
    <w:rsid w:val="00340331"/>
    <w:rsid w:val="00343EDD"/>
    <w:rsid w:val="00345368"/>
    <w:rsid w:val="00346F8F"/>
    <w:rsid w:val="00351E9B"/>
    <w:rsid w:val="00361F80"/>
    <w:rsid w:val="00361FCD"/>
    <w:rsid w:val="0036383A"/>
    <w:rsid w:val="003700B7"/>
    <w:rsid w:val="00372548"/>
    <w:rsid w:val="003758EC"/>
    <w:rsid w:val="003819D9"/>
    <w:rsid w:val="003837D7"/>
    <w:rsid w:val="00383D47"/>
    <w:rsid w:val="00386CEB"/>
    <w:rsid w:val="00393155"/>
    <w:rsid w:val="00393C2D"/>
    <w:rsid w:val="00394A76"/>
    <w:rsid w:val="0039700D"/>
    <w:rsid w:val="003A3942"/>
    <w:rsid w:val="003A49CB"/>
    <w:rsid w:val="003A5BBD"/>
    <w:rsid w:val="003A76D0"/>
    <w:rsid w:val="003B51BC"/>
    <w:rsid w:val="003B7E3B"/>
    <w:rsid w:val="003B7E6D"/>
    <w:rsid w:val="003C089F"/>
    <w:rsid w:val="003C6EA5"/>
    <w:rsid w:val="003D17FC"/>
    <w:rsid w:val="003E04E4"/>
    <w:rsid w:val="003F1808"/>
    <w:rsid w:val="003F2D25"/>
    <w:rsid w:val="003F2DFD"/>
    <w:rsid w:val="003F7914"/>
    <w:rsid w:val="00404B68"/>
    <w:rsid w:val="004057F7"/>
    <w:rsid w:val="00406560"/>
    <w:rsid w:val="00407A75"/>
    <w:rsid w:val="00410BB7"/>
    <w:rsid w:val="00411F82"/>
    <w:rsid w:val="0041269F"/>
    <w:rsid w:val="00414763"/>
    <w:rsid w:val="004172E8"/>
    <w:rsid w:val="004206AE"/>
    <w:rsid w:val="00420CF6"/>
    <w:rsid w:val="00422C75"/>
    <w:rsid w:val="00424576"/>
    <w:rsid w:val="00431A9A"/>
    <w:rsid w:val="0043498E"/>
    <w:rsid w:val="00437A34"/>
    <w:rsid w:val="00454AF8"/>
    <w:rsid w:val="00461A09"/>
    <w:rsid w:val="00471576"/>
    <w:rsid w:val="00474059"/>
    <w:rsid w:val="00475B69"/>
    <w:rsid w:val="00476654"/>
    <w:rsid w:val="0047685E"/>
    <w:rsid w:val="00480838"/>
    <w:rsid w:val="00483BBC"/>
    <w:rsid w:val="00483C8B"/>
    <w:rsid w:val="0049200F"/>
    <w:rsid w:val="004A374B"/>
    <w:rsid w:val="004A3C48"/>
    <w:rsid w:val="004A7A66"/>
    <w:rsid w:val="004B4CA3"/>
    <w:rsid w:val="004B74B9"/>
    <w:rsid w:val="004C1B19"/>
    <w:rsid w:val="004C421E"/>
    <w:rsid w:val="004C4604"/>
    <w:rsid w:val="004C5AA4"/>
    <w:rsid w:val="004C7D3E"/>
    <w:rsid w:val="004C7F3C"/>
    <w:rsid w:val="004C7FAC"/>
    <w:rsid w:val="004D01DF"/>
    <w:rsid w:val="004D5907"/>
    <w:rsid w:val="004D5AF9"/>
    <w:rsid w:val="004E18B5"/>
    <w:rsid w:val="004E3BE4"/>
    <w:rsid w:val="004F053B"/>
    <w:rsid w:val="004F13A0"/>
    <w:rsid w:val="004F4F40"/>
    <w:rsid w:val="004F7521"/>
    <w:rsid w:val="00502726"/>
    <w:rsid w:val="0050391E"/>
    <w:rsid w:val="00503F44"/>
    <w:rsid w:val="0050414B"/>
    <w:rsid w:val="005075BF"/>
    <w:rsid w:val="00507973"/>
    <w:rsid w:val="00512E06"/>
    <w:rsid w:val="00514051"/>
    <w:rsid w:val="00515E4C"/>
    <w:rsid w:val="00521BE1"/>
    <w:rsid w:val="00522710"/>
    <w:rsid w:val="0052578B"/>
    <w:rsid w:val="00532D9C"/>
    <w:rsid w:val="00533B89"/>
    <w:rsid w:val="00536319"/>
    <w:rsid w:val="005413ED"/>
    <w:rsid w:val="005464C2"/>
    <w:rsid w:val="00547380"/>
    <w:rsid w:val="00551D7C"/>
    <w:rsid w:val="00555BC1"/>
    <w:rsid w:val="005610D2"/>
    <w:rsid w:val="00563EB5"/>
    <w:rsid w:val="00564AC2"/>
    <w:rsid w:val="005733F3"/>
    <w:rsid w:val="005747FB"/>
    <w:rsid w:val="00574C91"/>
    <w:rsid w:val="005811D7"/>
    <w:rsid w:val="00586D5F"/>
    <w:rsid w:val="00591D49"/>
    <w:rsid w:val="005932F3"/>
    <w:rsid w:val="0059410B"/>
    <w:rsid w:val="00594385"/>
    <w:rsid w:val="00595831"/>
    <w:rsid w:val="0059654F"/>
    <w:rsid w:val="00596605"/>
    <w:rsid w:val="005967CC"/>
    <w:rsid w:val="00596820"/>
    <w:rsid w:val="005A6A1B"/>
    <w:rsid w:val="005B1DF9"/>
    <w:rsid w:val="005B6D01"/>
    <w:rsid w:val="005B7D1B"/>
    <w:rsid w:val="005C3A22"/>
    <w:rsid w:val="005C408D"/>
    <w:rsid w:val="005C4F9C"/>
    <w:rsid w:val="005C5181"/>
    <w:rsid w:val="005C59AC"/>
    <w:rsid w:val="005C65ED"/>
    <w:rsid w:val="005C7686"/>
    <w:rsid w:val="005D1BE2"/>
    <w:rsid w:val="005D541F"/>
    <w:rsid w:val="005E2374"/>
    <w:rsid w:val="005E3C5A"/>
    <w:rsid w:val="005F22A8"/>
    <w:rsid w:val="005F6E69"/>
    <w:rsid w:val="00601FC3"/>
    <w:rsid w:val="0060329D"/>
    <w:rsid w:val="00615C5E"/>
    <w:rsid w:val="00622750"/>
    <w:rsid w:val="006278B7"/>
    <w:rsid w:val="00631D51"/>
    <w:rsid w:val="00635E4A"/>
    <w:rsid w:val="0063624D"/>
    <w:rsid w:val="00637840"/>
    <w:rsid w:val="00637CD7"/>
    <w:rsid w:val="00646197"/>
    <w:rsid w:val="006553F2"/>
    <w:rsid w:val="00657C7D"/>
    <w:rsid w:val="0066006E"/>
    <w:rsid w:val="0066090E"/>
    <w:rsid w:val="006631D3"/>
    <w:rsid w:val="006745C2"/>
    <w:rsid w:val="00697264"/>
    <w:rsid w:val="006977E6"/>
    <w:rsid w:val="006A01C2"/>
    <w:rsid w:val="006A31C9"/>
    <w:rsid w:val="006A5DA4"/>
    <w:rsid w:val="006B2DD2"/>
    <w:rsid w:val="006B2EC6"/>
    <w:rsid w:val="006B32E2"/>
    <w:rsid w:val="006C05A9"/>
    <w:rsid w:val="006C1AD0"/>
    <w:rsid w:val="006C519D"/>
    <w:rsid w:val="006C60AC"/>
    <w:rsid w:val="006D16FD"/>
    <w:rsid w:val="006E2A63"/>
    <w:rsid w:val="006E388A"/>
    <w:rsid w:val="006E3FD9"/>
    <w:rsid w:val="006E4101"/>
    <w:rsid w:val="006E61C1"/>
    <w:rsid w:val="006F0BD3"/>
    <w:rsid w:val="006F5A5C"/>
    <w:rsid w:val="00704388"/>
    <w:rsid w:val="00706D94"/>
    <w:rsid w:val="007136A8"/>
    <w:rsid w:val="00732738"/>
    <w:rsid w:val="00732E38"/>
    <w:rsid w:val="00742D45"/>
    <w:rsid w:val="00745004"/>
    <w:rsid w:val="007569BD"/>
    <w:rsid w:val="00757EB4"/>
    <w:rsid w:val="0076175E"/>
    <w:rsid w:val="00773F9C"/>
    <w:rsid w:val="0078031B"/>
    <w:rsid w:val="00790262"/>
    <w:rsid w:val="0079177B"/>
    <w:rsid w:val="007934BF"/>
    <w:rsid w:val="00794DF9"/>
    <w:rsid w:val="007B05C4"/>
    <w:rsid w:val="007B1ACD"/>
    <w:rsid w:val="007B1B67"/>
    <w:rsid w:val="007C2A99"/>
    <w:rsid w:val="007C504C"/>
    <w:rsid w:val="007C5E86"/>
    <w:rsid w:val="007C751C"/>
    <w:rsid w:val="007C79F8"/>
    <w:rsid w:val="007C7F74"/>
    <w:rsid w:val="007E0723"/>
    <w:rsid w:val="007E62F3"/>
    <w:rsid w:val="007F1FF5"/>
    <w:rsid w:val="007F2A6B"/>
    <w:rsid w:val="007F4270"/>
    <w:rsid w:val="007F65EA"/>
    <w:rsid w:val="007F6BF8"/>
    <w:rsid w:val="00803F4B"/>
    <w:rsid w:val="00810D4B"/>
    <w:rsid w:val="0081220E"/>
    <w:rsid w:val="008146D9"/>
    <w:rsid w:val="008155FF"/>
    <w:rsid w:val="00817D79"/>
    <w:rsid w:val="00826A76"/>
    <w:rsid w:val="00826FD2"/>
    <w:rsid w:val="00840F5E"/>
    <w:rsid w:val="008418AE"/>
    <w:rsid w:val="0084227E"/>
    <w:rsid w:val="00846964"/>
    <w:rsid w:val="00847063"/>
    <w:rsid w:val="008546E0"/>
    <w:rsid w:val="00856214"/>
    <w:rsid w:val="0086443F"/>
    <w:rsid w:val="008906A9"/>
    <w:rsid w:val="00895BED"/>
    <w:rsid w:val="008A1EB5"/>
    <w:rsid w:val="008A2EDF"/>
    <w:rsid w:val="008A6D67"/>
    <w:rsid w:val="008A707A"/>
    <w:rsid w:val="008A7886"/>
    <w:rsid w:val="008B0250"/>
    <w:rsid w:val="008B18E5"/>
    <w:rsid w:val="008B353A"/>
    <w:rsid w:val="008D3AE8"/>
    <w:rsid w:val="008F0EA5"/>
    <w:rsid w:val="008F2CAF"/>
    <w:rsid w:val="008F3455"/>
    <w:rsid w:val="008F4954"/>
    <w:rsid w:val="008F667B"/>
    <w:rsid w:val="00901A35"/>
    <w:rsid w:val="00905FA1"/>
    <w:rsid w:val="00906276"/>
    <w:rsid w:val="00911206"/>
    <w:rsid w:val="00921313"/>
    <w:rsid w:val="009273EE"/>
    <w:rsid w:val="00941AFF"/>
    <w:rsid w:val="009440B2"/>
    <w:rsid w:val="00945259"/>
    <w:rsid w:val="00946984"/>
    <w:rsid w:val="00946AFD"/>
    <w:rsid w:val="00972951"/>
    <w:rsid w:val="00972E7C"/>
    <w:rsid w:val="009734E3"/>
    <w:rsid w:val="00976481"/>
    <w:rsid w:val="00977149"/>
    <w:rsid w:val="00981DD5"/>
    <w:rsid w:val="0098424B"/>
    <w:rsid w:val="00984348"/>
    <w:rsid w:val="00984C45"/>
    <w:rsid w:val="00985835"/>
    <w:rsid w:val="00985B8D"/>
    <w:rsid w:val="009861C9"/>
    <w:rsid w:val="00986F10"/>
    <w:rsid w:val="00997E7B"/>
    <w:rsid w:val="009A22FA"/>
    <w:rsid w:val="009A60DF"/>
    <w:rsid w:val="009B023F"/>
    <w:rsid w:val="009B0403"/>
    <w:rsid w:val="009B2B7B"/>
    <w:rsid w:val="009B3775"/>
    <w:rsid w:val="009B48FF"/>
    <w:rsid w:val="009B6CF0"/>
    <w:rsid w:val="009C104C"/>
    <w:rsid w:val="009C11D5"/>
    <w:rsid w:val="009C4D10"/>
    <w:rsid w:val="009C5DDA"/>
    <w:rsid w:val="009C799A"/>
    <w:rsid w:val="009D79C9"/>
    <w:rsid w:val="009E58FB"/>
    <w:rsid w:val="009F65AE"/>
    <w:rsid w:val="009F6665"/>
    <w:rsid w:val="009F687C"/>
    <w:rsid w:val="009F74C0"/>
    <w:rsid w:val="009F7E79"/>
    <w:rsid w:val="00A01B75"/>
    <w:rsid w:val="00A03229"/>
    <w:rsid w:val="00A0478D"/>
    <w:rsid w:val="00A147AB"/>
    <w:rsid w:val="00A153B2"/>
    <w:rsid w:val="00A21B37"/>
    <w:rsid w:val="00A22FA6"/>
    <w:rsid w:val="00A25C90"/>
    <w:rsid w:val="00A320AA"/>
    <w:rsid w:val="00A3407D"/>
    <w:rsid w:val="00A35D50"/>
    <w:rsid w:val="00A45DA8"/>
    <w:rsid w:val="00A50318"/>
    <w:rsid w:val="00A57C60"/>
    <w:rsid w:val="00A601B6"/>
    <w:rsid w:val="00A60F29"/>
    <w:rsid w:val="00A6370B"/>
    <w:rsid w:val="00A648B3"/>
    <w:rsid w:val="00A70AF6"/>
    <w:rsid w:val="00A73A31"/>
    <w:rsid w:val="00A753E2"/>
    <w:rsid w:val="00A800ED"/>
    <w:rsid w:val="00A8520B"/>
    <w:rsid w:val="00A86198"/>
    <w:rsid w:val="00A868B6"/>
    <w:rsid w:val="00A93BE8"/>
    <w:rsid w:val="00A94C07"/>
    <w:rsid w:val="00A95E6A"/>
    <w:rsid w:val="00AA5AE4"/>
    <w:rsid w:val="00AB0336"/>
    <w:rsid w:val="00AB3441"/>
    <w:rsid w:val="00AB3CF7"/>
    <w:rsid w:val="00AB5F3C"/>
    <w:rsid w:val="00AC18BA"/>
    <w:rsid w:val="00AC2F9B"/>
    <w:rsid w:val="00AD1FED"/>
    <w:rsid w:val="00AD32A2"/>
    <w:rsid w:val="00AE2D7B"/>
    <w:rsid w:val="00AE4D5D"/>
    <w:rsid w:val="00AE5473"/>
    <w:rsid w:val="00AE56C8"/>
    <w:rsid w:val="00AE6BA9"/>
    <w:rsid w:val="00AF71E3"/>
    <w:rsid w:val="00B01275"/>
    <w:rsid w:val="00B01AA9"/>
    <w:rsid w:val="00B01C45"/>
    <w:rsid w:val="00B064D9"/>
    <w:rsid w:val="00B15685"/>
    <w:rsid w:val="00B2108F"/>
    <w:rsid w:val="00B2133C"/>
    <w:rsid w:val="00B25D07"/>
    <w:rsid w:val="00B36EF8"/>
    <w:rsid w:val="00B37348"/>
    <w:rsid w:val="00B37ACA"/>
    <w:rsid w:val="00B47541"/>
    <w:rsid w:val="00B562BE"/>
    <w:rsid w:val="00B62E18"/>
    <w:rsid w:val="00B63663"/>
    <w:rsid w:val="00B646F8"/>
    <w:rsid w:val="00B66A31"/>
    <w:rsid w:val="00B702A4"/>
    <w:rsid w:val="00B72117"/>
    <w:rsid w:val="00B72C2F"/>
    <w:rsid w:val="00B73D24"/>
    <w:rsid w:val="00B94107"/>
    <w:rsid w:val="00BA0BC7"/>
    <w:rsid w:val="00BA48CA"/>
    <w:rsid w:val="00BA5210"/>
    <w:rsid w:val="00BB386C"/>
    <w:rsid w:val="00BC04E9"/>
    <w:rsid w:val="00BC12DB"/>
    <w:rsid w:val="00BC1AAA"/>
    <w:rsid w:val="00BC7FD1"/>
    <w:rsid w:val="00BD1836"/>
    <w:rsid w:val="00BD2DB6"/>
    <w:rsid w:val="00BD37AD"/>
    <w:rsid w:val="00BD41E7"/>
    <w:rsid w:val="00BD4B16"/>
    <w:rsid w:val="00BE038C"/>
    <w:rsid w:val="00BE051E"/>
    <w:rsid w:val="00BE1ECD"/>
    <w:rsid w:val="00BE4089"/>
    <w:rsid w:val="00BE4943"/>
    <w:rsid w:val="00BF21B5"/>
    <w:rsid w:val="00BF4EA6"/>
    <w:rsid w:val="00C0099F"/>
    <w:rsid w:val="00C00CC6"/>
    <w:rsid w:val="00C013D8"/>
    <w:rsid w:val="00C1127D"/>
    <w:rsid w:val="00C1182C"/>
    <w:rsid w:val="00C11832"/>
    <w:rsid w:val="00C119C2"/>
    <w:rsid w:val="00C13D86"/>
    <w:rsid w:val="00C1467A"/>
    <w:rsid w:val="00C16439"/>
    <w:rsid w:val="00C17CE7"/>
    <w:rsid w:val="00C21B17"/>
    <w:rsid w:val="00C23794"/>
    <w:rsid w:val="00C25200"/>
    <w:rsid w:val="00C31511"/>
    <w:rsid w:val="00C324D1"/>
    <w:rsid w:val="00C33455"/>
    <w:rsid w:val="00C36AC4"/>
    <w:rsid w:val="00C5131A"/>
    <w:rsid w:val="00C55194"/>
    <w:rsid w:val="00C60192"/>
    <w:rsid w:val="00C64F17"/>
    <w:rsid w:val="00C7532E"/>
    <w:rsid w:val="00C80A13"/>
    <w:rsid w:val="00C84AF7"/>
    <w:rsid w:val="00C86CEA"/>
    <w:rsid w:val="00C8704A"/>
    <w:rsid w:val="00C87382"/>
    <w:rsid w:val="00C920FC"/>
    <w:rsid w:val="00C961D0"/>
    <w:rsid w:val="00CA2A0D"/>
    <w:rsid w:val="00CB1E9D"/>
    <w:rsid w:val="00CB1F04"/>
    <w:rsid w:val="00CC71CA"/>
    <w:rsid w:val="00CD6910"/>
    <w:rsid w:val="00CD77D7"/>
    <w:rsid w:val="00CE08A8"/>
    <w:rsid w:val="00CE7E24"/>
    <w:rsid w:val="00CF1AB4"/>
    <w:rsid w:val="00CF20F9"/>
    <w:rsid w:val="00D021A8"/>
    <w:rsid w:val="00D06FF0"/>
    <w:rsid w:val="00D1207E"/>
    <w:rsid w:val="00D1231C"/>
    <w:rsid w:val="00D1400A"/>
    <w:rsid w:val="00D152A3"/>
    <w:rsid w:val="00D20F42"/>
    <w:rsid w:val="00D21382"/>
    <w:rsid w:val="00D2502C"/>
    <w:rsid w:val="00D30371"/>
    <w:rsid w:val="00D3065D"/>
    <w:rsid w:val="00D32A63"/>
    <w:rsid w:val="00D45198"/>
    <w:rsid w:val="00D47863"/>
    <w:rsid w:val="00D56978"/>
    <w:rsid w:val="00D60B4E"/>
    <w:rsid w:val="00D63BAB"/>
    <w:rsid w:val="00D72417"/>
    <w:rsid w:val="00D74FBF"/>
    <w:rsid w:val="00D915E6"/>
    <w:rsid w:val="00D91E8D"/>
    <w:rsid w:val="00D935ED"/>
    <w:rsid w:val="00D94901"/>
    <w:rsid w:val="00D966F8"/>
    <w:rsid w:val="00DA1A72"/>
    <w:rsid w:val="00DA4EFD"/>
    <w:rsid w:val="00DB2882"/>
    <w:rsid w:val="00DC10F3"/>
    <w:rsid w:val="00DC2C75"/>
    <w:rsid w:val="00DC3F71"/>
    <w:rsid w:val="00DC6668"/>
    <w:rsid w:val="00DE767C"/>
    <w:rsid w:val="00DE7CF4"/>
    <w:rsid w:val="00DF4BF5"/>
    <w:rsid w:val="00E00DE5"/>
    <w:rsid w:val="00E0465F"/>
    <w:rsid w:val="00E11C07"/>
    <w:rsid w:val="00E1522A"/>
    <w:rsid w:val="00E1632C"/>
    <w:rsid w:val="00E173C8"/>
    <w:rsid w:val="00E21F49"/>
    <w:rsid w:val="00E22158"/>
    <w:rsid w:val="00E23883"/>
    <w:rsid w:val="00E3306C"/>
    <w:rsid w:val="00E33DC1"/>
    <w:rsid w:val="00E37657"/>
    <w:rsid w:val="00E4068C"/>
    <w:rsid w:val="00E5269A"/>
    <w:rsid w:val="00E639A7"/>
    <w:rsid w:val="00E6419B"/>
    <w:rsid w:val="00E66DA6"/>
    <w:rsid w:val="00E70058"/>
    <w:rsid w:val="00E71C30"/>
    <w:rsid w:val="00E77CC5"/>
    <w:rsid w:val="00E826B0"/>
    <w:rsid w:val="00E82C13"/>
    <w:rsid w:val="00E84D55"/>
    <w:rsid w:val="00E850BF"/>
    <w:rsid w:val="00E858B4"/>
    <w:rsid w:val="00E85F79"/>
    <w:rsid w:val="00E911BC"/>
    <w:rsid w:val="00E928C5"/>
    <w:rsid w:val="00EA2060"/>
    <w:rsid w:val="00EB01D5"/>
    <w:rsid w:val="00EB051F"/>
    <w:rsid w:val="00EB17A9"/>
    <w:rsid w:val="00EB20DE"/>
    <w:rsid w:val="00EB56F1"/>
    <w:rsid w:val="00EB5B57"/>
    <w:rsid w:val="00EC6879"/>
    <w:rsid w:val="00ED5ACE"/>
    <w:rsid w:val="00ED76B5"/>
    <w:rsid w:val="00ED7D27"/>
    <w:rsid w:val="00EE76BA"/>
    <w:rsid w:val="00EF4F64"/>
    <w:rsid w:val="00EF52E3"/>
    <w:rsid w:val="00EF6244"/>
    <w:rsid w:val="00F00DA6"/>
    <w:rsid w:val="00F03011"/>
    <w:rsid w:val="00F109C7"/>
    <w:rsid w:val="00F112A7"/>
    <w:rsid w:val="00F1305F"/>
    <w:rsid w:val="00F140B7"/>
    <w:rsid w:val="00F16628"/>
    <w:rsid w:val="00F24C31"/>
    <w:rsid w:val="00F30FC8"/>
    <w:rsid w:val="00F313A4"/>
    <w:rsid w:val="00F3290B"/>
    <w:rsid w:val="00F418E1"/>
    <w:rsid w:val="00F42111"/>
    <w:rsid w:val="00F4305A"/>
    <w:rsid w:val="00F46AAF"/>
    <w:rsid w:val="00F46CB9"/>
    <w:rsid w:val="00F51BE2"/>
    <w:rsid w:val="00F53A8C"/>
    <w:rsid w:val="00F54402"/>
    <w:rsid w:val="00F54C82"/>
    <w:rsid w:val="00F62066"/>
    <w:rsid w:val="00F65A23"/>
    <w:rsid w:val="00F66E08"/>
    <w:rsid w:val="00F71F1F"/>
    <w:rsid w:val="00F73982"/>
    <w:rsid w:val="00F75A73"/>
    <w:rsid w:val="00F82742"/>
    <w:rsid w:val="00F82A47"/>
    <w:rsid w:val="00F83217"/>
    <w:rsid w:val="00F844F8"/>
    <w:rsid w:val="00F909CE"/>
    <w:rsid w:val="00F92592"/>
    <w:rsid w:val="00F950FA"/>
    <w:rsid w:val="00F951E9"/>
    <w:rsid w:val="00F95AC7"/>
    <w:rsid w:val="00FA4D62"/>
    <w:rsid w:val="00FB21F1"/>
    <w:rsid w:val="00FB5BF7"/>
    <w:rsid w:val="00FC0174"/>
    <w:rsid w:val="00FC30BC"/>
    <w:rsid w:val="00FC51B7"/>
    <w:rsid w:val="00FC73E2"/>
    <w:rsid w:val="00FD1B42"/>
    <w:rsid w:val="00FD54A4"/>
    <w:rsid w:val="00FD7745"/>
    <w:rsid w:val="00FD7DAF"/>
    <w:rsid w:val="00FE1598"/>
    <w:rsid w:val="00FE3C0F"/>
    <w:rsid w:val="00FF36CA"/>
    <w:rsid w:val="00FF406C"/>
    <w:rsid w:val="00FF54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BFB9"/>
  <w15:docId w15:val="{F62D960C-D796-4620-91E1-DD0E9774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57C6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A57C60"/>
    <w:rPr>
      <w:b/>
      <w:bCs/>
    </w:rPr>
  </w:style>
  <w:style w:type="paragraph" w:styleId="ListParagraph">
    <w:name w:val="List Paragraph"/>
    <w:basedOn w:val="Normal"/>
    <w:uiPriority w:val="34"/>
    <w:qFormat/>
    <w:rsid w:val="00062BE6"/>
    <w:pPr>
      <w:ind w:left="720"/>
      <w:contextualSpacing/>
    </w:pPr>
  </w:style>
  <w:style w:type="character" w:styleId="Hyperlink">
    <w:name w:val="Hyperlink"/>
    <w:basedOn w:val="DefaultParagraphFont"/>
    <w:uiPriority w:val="99"/>
    <w:unhideWhenUsed/>
    <w:rsid w:val="003A5BBD"/>
    <w:rPr>
      <w:color w:val="0563C1" w:themeColor="hyperlink"/>
      <w:u w:val="single"/>
    </w:rPr>
  </w:style>
  <w:style w:type="paragraph" w:styleId="BalloonText">
    <w:name w:val="Balloon Text"/>
    <w:basedOn w:val="Normal"/>
    <w:link w:val="BalloonTextChar"/>
    <w:uiPriority w:val="99"/>
    <w:semiHidden/>
    <w:unhideWhenUsed/>
    <w:rsid w:val="009213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313"/>
    <w:rPr>
      <w:rFonts w:ascii="Segoe UI" w:hAnsi="Segoe UI" w:cs="Segoe UI"/>
      <w:sz w:val="18"/>
      <w:szCs w:val="18"/>
    </w:rPr>
  </w:style>
  <w:style w:type="paragraph" w:customStyle="1" w:styleId="Style14">
    <w:name w:val="Style14"/>
    <w:basedOn w:val="Normal"/>
    <w:uiPriority w:val="99"/>
    <w:rsid w:val="00E1522A"/>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table" w:styleId="TableGrid">
    <w:name w:val="Table Grid"/>
    <w:basedOn w:val="TableNormal"/>
    <w:uiPriority w:val="39"/>
    <w:rsid w:val="00A60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3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88A"/>
  </w:style>
  <w:style w:type="paragraph" w:styleId="Footer">
    <w:name w:val="footer"/>
    <w:basedOn w:val="Normal"/>
    <w:link w:val="FooterChar"/>
    <w:uiPriority w:val="99"/>
    <w:unhideWhenUsed/>
    <w:rsid w:val="006E3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88A"/>
  </w:style>
  <w:style w:type="character" w:customStyle="1" w:styleId="NormalWebChar">
    <w:name w:val="Normal (Web) Char"/>
    <w:link w:val="NormalWeb"/>
    <w:locked/>
    <w:rsid w:val="000D5D56"/>
    <w:rPr>
      <w:rFonts w:ascii="Times New Roman" w:eastAsia="Times New Roman" w:hAnsi="Times New Roman" w:cs="Times New Roman"/>
      <w:sz w:val="24"/>
      <w:szCs w:val="24"/>
      <w:lang w:val="en-US"/>
    </w:rPr>
  </w:style>
  <w:style w:type="character" w:customStyle="1" w:styleId="mechtexChar">
    <w:name w:val="mechtex Char"/>
    <w:link w:val="mechtex"/>
    <w:uiPriority w:val="99"/>
    <w:locked/>
    <w:rsid w:val="00646197"/>
    <w:rPr>
      <w:rFonts w:ascii="Arial Armenian" w:hAnsi="Arial Armenian"/>
      <w:lang w:eastAsia="ru-RU"/>
    </w:rPr>
  </w:style>
  <w:style w:type="paragraph" w:customStyle="1" w:styleId="mechtex">
    <w:name w:val="mechtex"/>
    <w:basedOn w:val="Normal"/>
    <w:link w:val="mechtexChar"/>
    <w:uiPriority w:val="99"/>
    <w:qFormat/>
    <w:rsid w:val="00646197"/>
    <w:pPr>
      <w:spacing w:after="0" w:line="240" w:lineRule="auto"/>
      <w:jc w:val="center"/>
    </w:pPr>
    <w:rPr>
      <w:rFonts w:ascii="Arial Armenian" w:hAnsi="Arial Armenian"/>
      <w:lang w:eastAsia="ru-RU"/>
    </w:rPr>
  </w:style>
  <w:style w:type="character" w:customStyle="1" w:styleId="normChar">
    <w:name w:val="norm Char"/>
    <w:link w:val="norm"/>
    <w:locked/>
    <w:rsid w:val="00646197"/>
    <w:rPr>
      <w:rFonts w:ascii="Arial Armenian" w:hAnsi="Arial Armenian"/>
      <w:lang w:eastAsia="ru-RU"/>
    </w:rPr>
  </w:style>
  <w:style w:type="paragraph" w:customStyle="1" w:styleId="norm">
    <w:name w:val="norm"/>
    <w:basedOn w:val="Normal"/>
    <w:link w:val="normChar"/>
    <w:rsid w:val="00646197"/>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9545">
      <w:bodyDiv w:val="1"/>
      <w:marLeft w:val="0"/>
      <w:marRight w:val="0"/>
      <w:marTop w:val="0"/>
      <w:marBottom w:val="0"/>
      <w:divBdr>
        <w:top w:val="none" w:sz="0" w:space="0" w:color="auto"/>
        <w:left w:val="none" w:sz="0" w:space="0" w:color="auto"/>
        <w:bottom w:val="none" w:sz="0" w:space="0" w:color="auto"/>
        <w:right w:val="none" w:sz="0" w:space="0" w:color="auto"/>
      </w:divBdr>
    </w:div>
    <w:div w:id="162553988">
      <w:bodyDiv w:val="1"/>
      <w:marLeft w:val="0"/>
      <w:marRight w:val="0"/>
      <w:marTop w:val="0"/>
      <w:marBottom w:val="0"/>
      <w:divBdr>
        <w:top w:val="none" w:sz="0" w:space="0" w:color="auto"/>
        <w:left w:val="none" w:sz="0" w:space="0" w:color="auto"/>
        <w:bottom w:val="none" w:sz="0" w:space="0" w:color="auto"/>
        <w:right w:val="none" w:sz="0" w:space="0" w:color="auto"/>
      </w:divBdr>
    </w:div>
    <w:div w:id="227110543">
      <w:bodyDiv w:val="1"/>
      <w:marLeft w:val="0"/>
      <w:marRight w:val="0"/>
      <w:marTop w:val="0"/>
      <w:marBottom w:val="0"/>
      <w:divBdr>
        <w:top w:val="none" w:sz="0" w:space="0" w:color="auto"/>
        <w:left w:val="none" w:sz="0" w:space="0" w:color="auto"/>
        <w:bottom w:val="none" w:sz="0" w:space="0" w:color="auto"/>
        <w:right w:val="none" w:sz="0" w:space="0" w:color="auto"/>
      </w:divBdr>
    </w:div>
    <w:div w:id="306859489">
      <w:bodyDiv w:val="1"/>
      <w:marLeft w:val="0"/>
      <w:marRight w:val="0"/>
      <w:marTop w:val="0"/>
      <w:marBottom w:val="0"/>
      <w:divBdr>
        <w:top w:val="none" w:sz="0" w:space="0" w:color="auto"/>
        <w:left w:val="none" w:sz="0" w:space="0" w:color="auto"/>
        <w:bottom w:val="none" w:sz="0" w:space="0" w:color="auto"/>
        <w:right w:val="none" w:sz="0" w:space="0" w:color="auto"/>
      </w:divBdr>
    </w:div>
    <w:div w:id="317197525">
      <w:bodyDiv w:val="1"/>
      <w:marLeft w:val="0"/>
      <w:marRight w:val="0"/>
      <w:marTop w:val="0"/>
      <w:marBottom w:val="0"/>
      <w:divBdr>
        <w:top w:val="none" w:sz="0" w:space="0" w:color="auto"/>
        <w:left w:val="none" w:sz="0" w:space="0" w:color="auto"/>
        <w:bottom w:val="none" w:sz="0" w:space="0" w:color="auto"/>
        <w:right w:val="none" w:sz="0" w:space="0" w:color="auto"/>
      </w:divBdr>
    </w:div>
    <w:div w:id="353700871">
      <w:bodyDiv w:val="1"/>
      <w:marLeft w:val="0"/>
      <w:marRight w:val="0"/>
      <w:marTop w:val="0"/>
      <w:marBottom w:val="0"/>
      <w:divBdr>
        <w:top w:val="none" w:sz="0" w:space="0" w:color="auto"/>
        <w:left w:val="none" w:sz="0" w:space="0" w:color="auto"/>
        <w:bottom w:val="none" w:sz="0" w:space="0" w:color="auto"/>
        <w:right w:val="none" w:sz="0" w:space="0" w:color="auto"/>
      </w:divBdr>
    </w:div>
    <w:div w:id="360133537">
      <w:bodyDiv w:val="1"/>
      <w:marLeft w:val="0"/>
      <w:marRight w:val="0"/>
      <w:marTop w:val="0"/>
      <w:marBottom w:val="0"/>
      <w:divBdr>
        <w:top w:val="none" w:sz="0" w:space="0" w:color="auto"/>
        <w:left w:val="none" w:sz="0" w:space="0" w:color="auto"/>
        <w:bottom w:val="none" w:sz="0" w:space="0" w:color="auto"/>
        <w:right w:val="none" w:sz="0" w:space="0" w:color="auto"/>
      </w:divBdr>
    </w:div>
    <w:div w:id="464586404">
      <w:bodyDiv w:val="1"/>
      <w:marLeft w:val="0"/>
      <w:marRight w:val="0"/>
      <w:marTop w:val="0"/>
      <w:marBottom w:val="0"/>
      <w:divBdr>
        <w:top w:val="none" w:sz="0" w:space="0" w:color="auto"/>
        <w:left w:val="none" w:sz="0" w:space="0" w:color="auto"/>
        <w:bottom w:val="none" w:sz="0" w:space="0" w:color="auto"/>
        <w:right w:val="none" w:sz="0" w:space="0" w:color="auto"/>
      </w:divBdr>
    </w:div>
    <w:div w:id="494347200">
      <w:bodyDiv w:val="1"/>
      <w:marLeft w:val="0"/>
      <w:marRight w:val="0"/>
      <w:marTop w:val="0"/>
      <w:marBottom w:val="0"/>
      <w:divBdr>
        <w:top w:val="none" w:sz="0" w:space="0" w:color="auto"/>
        <w:left w:val="none" w:sz="0" w:space="0" w:color="auto"/>
        <w:bottom w:val="none" w:sz="0" w:space="0" w:color="auto"/>
        <w:right w:val="none" w:sz="0" w:space="0" w:color="auto"/>
      </w:divBdr>
    </w:div>
    <w:div w:id="504324317">
      <w:bodyDiv w:val="1"/>
      <w:marLeft w:val="0"/>
      <w:marRight w:val="0"/>
      <w:marTop w:val="0"/>
      <w:marBottom w:val="0"/>
      <w:divBdr>
        <w:top w:val="none" w:sz="0" w:space="0" w:color="auto"/>
        <w:left w:val="none" w:sz="0" w:space="0" w:color="auto"/>
        <w:bottom w:val="none" w:sz="0" w:space="0" w:color="auto"/>
        <w:right w:val="none" w:sz="0" w:space="0" w:color="auto"/>
      </w:divBdr>
    </w:div>
    <w:div w:id="584922116">
      <w:bodyDiv w:val="1"/>
      <w:marLeft w:val="0"/>
      <w:marRight w:val="0"/>
      <w:marTop w:val="0"/>
      <w:marBottom w:val="0"/>
      <w:divBdr>
        <w:top w:val="none" w:sz="0" w:space="0" w:color="auto"/>
        <w:left w:val="none" w:sz="0" w:space="0" w:color="auto"/>
        <w:bottom w:val="none" w:sz="0" w:space="0" w:color="auto"/>
        <w:right w:val="none" w:sz="0" w:space="0" w:color="auto"/>
      </w:divBdr>
    </w:div>
    <w:div w:id="617369769">
      <w:bodyDiv w:val="1"/>
      <w:marLeft w:val="0"/>
      <w:marRight w:val="0"/>
      <w:marTop w:val="0"/>
      <w:marBottom w:val="0"/>
      <w:divBdr>
        <w:top w:val="none" w:sz="0" w:space="0" w:color="auto"/>
        <w:left w:val="none" w:sz="0" w:space="0" w:color="auto"/>
        <w:bottom w:val="none" w:sz="0" w:space="0" w:color="auto"/>
        <w:right w:val="none" w:sz="0" w:space="0" w:color="auto"/>
      </w:divBdr>
    </w:div>
    <w:div w:id="618606925">
      <w:bodyDiv w:val="1"/>
      <w:marLeft w:val="0"/>
      <w:marRight w:val="0"/>
      <w:marTop w:val="0"/>
      <w:marBottom w:val="0"/>
      <w:divBdr>
        <w:top w:val="none" w:sz="0" w:space="0" w:color="auto"/>
        <w:left w:val="none" w:sz="0" w:space="0" w:color="auto"/>
        <w:bottom w:val="none" w:sz="0" w:space="0" w:color="auto"/>
        <w:right w:val="none" w:sz="0" w:space="0" w:color="auto"/>
      </w:divBdr>
    </w:div>
    <w:div w:id="621576048">
      <w:bodyDiv w:val="1"/>
      <w:marLeft w:val="0"/>
      <w:marRight w:val="0"/>
      <w:marTop w:val="0"/>
      <w:marBottom w:val="0"/>
      <w:divBdr>
        <w:top w:val="none" w:sz="0" w:space="0" w:color="auto"/>
        <w:left w:val="none" w:sz="0" w:space="0" w:color="auto"/>
        <w:bottom w:val="none" w:sz="0" w:space="0" w:color="auto"/>
        <w:right w:val="none" w:sz="0" w:space="0" w:color="auto"/>
      </w:divBdr>
    </w:div>
    <w:div w:id="677075440">
      <w:bodyDiv w:val="1"/>
      <w:marLeft w:val="0"/>
      <w:marRight w:val="0"/>
      <w:marTop w:val="0"/>
      <w:marBottom w:val="0"/>
      <w:divBdr>
        <w:top w:val="none" w:sz="0" w:space="0" w:color="auto"/>
        <w:left w:val="none" w:sz="0" w:space="0" w:color="auto"/>
        <w:bottom w:val="none" w:sz="0" w:space="0" w:color="auto"/>
        <w:right w:val="none" w:sz="0" w:space="0" w:color="auto"/>
      </w:divBdr>
    </w:div>
    <w:div w:id="767696503">
      <w:bodyDiv w:val="1"/>
      <w:marLeft w:val="0"/>
      <w:marRight w:val="0"/>
      <w:marTop w:val="0"/>
      <w:marBottom w:val="0"/>
      <w:divBdr>
        <w:top w:val="none" w:sz="0" w:space="0" w:color="auto"/>
        <w:left w:val="none" w:sz="0" w:space="0" w:color="auto"/>
        <w:bottom w:val="none" w:sz="0" w:space="0" w:color="auto"/>
        <w:right w:val="none" w:sz="0" w:space="0" w:color="auto"/>
      </w:divBdr>
    </w:div>
    <w:div w:id="775100924">
      <w:bodyDiv w:val="1"/>
      <w:marLeft w:val="0"/>
      <w:marRight w:val="0"/>
      <w:marTop w:val="0"/>
      <w:marBottom w:val="0"/>
      <w:divBdr>
        <w:top w:val="none" w:sz="0" w:space="0" w:color="auto"/>
        <w:left w:val="none" w:sz="0" w:space="0" w:color="auto"/>
        <w:bottom w:val="none" w:sz="0" w:space="0" w:color="auto"/>
        <w:right w:val="none" w:sz="0" w:space="0" w:color="auto"/>
      </w:divBdr>
    </w:div>
    <w:div w:id="873277047">
      <w:bodyDiv w:val="1"/>
      <w:marLeft w:val="0"/>
      <w:marRight w:val="0"/>
      <w:marTop w:val="0"/>
      <w:marBottom w:val="0"/>
      <w:divBdr>
        <w:top w:val="none" w:sz="0" w:space="0" w:color="auto"/>
        <w:left w:val="none" w:sz="0" w:space="0" w:color="auto"/>
        <w:bottom w:val="none" w:sz="0" w:space="0" w:color="auto"/>
        <w:right w:val="none" w:sz="0" w:space="0" w:color="auto"/>
      </w:divBdr>
    </w:div>
    <w:div w:id="891961404">
      <w:bodyDiv w:val="1"/>
      <w:marLeft w:val="0"/>
      <w:marRight w:val="0"/>
      <w:marTop w:val="0"/>
      <w:marBottom w:val="0"/>
      <w:divBdr>
        <w:top w:val="none" w:sz="0" w:space="0" w:color="auto"/>
        <w:left w:val="none" w:sz="0" w:space="0" w:color="auto"/>
        <w:bottom w:val="none" w:sz="0" w:space="0" w:color="auto"/>
        <w:right w:val="none" w:sz="0" w:space="0" w:color="auto"/>
      </w:divBdr>
    </w:div>
    <w:div w:id="1067804138">
      <w:bodyDiv w:val="1"/>
      <w:marLeft w:val="0"/>
      <w:marRight w:val="0"/>
      <w:marTop w:val="0"/>
      <w:marBottom w:val="0"/>
      <w:divBdr>
        <w:top w:val="none" w:sz="0" w:space="0" w:color="auto"/>
        <w:left w:val="none" w:sz="0" w:space="0" w:color="auto"/>
        <w:bottom w:val="none" w:sz="0" w:space="0" w:color="auto"/>
        <w:right w:val="none" w:sz="0" w:space="0" w:color="auto"/>
      </w:divBdr>
    </w:div>
    <w:div w:id="1112555575">
      <w:bodyDiv w:val="1"/>
      <w:marLeft w:val="0"/>
      <w:marRight w:val="0"/>
      <w:marTop w:val="0"/>
      <w:marBottom w:val="0"/>
      <w:divBdr>
        <w:top w:val="none" w:sz="0" w:space="0" w:color="auto"/>
        <w:left w:val="none" w:sz="0" w:space="0" w:color="auto"/>
        <w:bottom w:val="none" w:sz="0" w:space="0" w:color="auto"/>
        <w:right w:val="none" w:sz="0" w:space="0" w:color="auto"/>
      </w:divBdr>
    </w:div>
    <w:div w:id="1238441628">
      <w:bodyDiv w:val="1"/>
      <w:marLeft w:val="0"/>
      <w:marRight w:val="0"/>
      <w:marTop w:val="0"/>
      <w:marBottom w:val="0"/>
      <w:divBdr>
        <w:top w:val="none" w:sz="0" w:space="0" w:color="auto"/>
        <w:left w:val="none" w:sz="0" w:space="0" w:color="auto"/>
        <w:bottom w:val="none" w:sz="0" w:space="0" w:color="auto"/>
        <w:right w:val="none" w:sz="0" w:space="0" w:color="auto"/>
      </w:divBdr>
    </w:div>
    <w:div w:id="1266230495">
      <w:bodyDiv w:val="1"/>
      <w:marLeft w:val="0"/>
      <w:marRight w:val="0"/>
      <w:marTop w:val="0"/>
      <w:marBottom w:val="0"/>
      <w:divBdr>
        <w:top w:val="none" w:sz="0" w:space="0" w:color="auto"/>
        <w:left w:val="none" w:sz="0" w:space="0" w:color="auto"/>
        <w:bottom w:val="none" w:sz="0" w:space="0" w:color="auto"/>
        <w:right w:val="none" w:sz="0" w:space="0" w:color="auto"/>
      </w:divBdr>
    </w:div>
    <w:div w:id="1367488376">
      <w:bodyDiv w:val="1"/>
      <w:marLeft w:val="0"/>
      <w:marRight w:val="0"/>
      <w:marTop w:val="0"/>
      <w:marBottom w:val="0"/>
      <w:divBdr>
        <w:top w:val="none" w:sz="0" w:space="0" w:color="auto"/>
        <w:left w:val="none" w:sz="0" w:space="0" w:color="auto"/>
        <w:bottom w:val="none" w:sz="0" w:space="0" w:color="auto"/>
        <w:right w:val="none" w:sz="0" w:space="0" w:color="auto"/>
      </w:divBdr>
    </w:div>
    <w:div w:id="1420173437">
      <w:bodyDiv w:val="1"/>
      <w:marLeft w:val="0"/>
      <w:marRight w:val="0"/>
      <w:marTop w:val="0"/>
      <w:marBottom w:val="0"/>
      <w:divBdr>
        <w:top w:val="none" w:sz="0" w:space="0" w:color="auto"/>
        <w:left w:val="none" w:sz="0" w:space="0" w:color="auto"/>
        <w:bottom w:val="none" w:sz="0" w:space="0" w:color="auto"/>
        <w:right w:val="none" w:sz="0" w:space="0" w:color="auto"/>
      </w:divBdr>
    </w:div>
    <w:div w:id="1429158359">
      <w:bodyDiv w:val="1"/>
      <w:marLeft w:val="0"/>
      <w:marRight w:val="0"/>
      <w:marTop w:val="0"/>
      <w:marBottom w:val="0"/>
      <w:divBdr>
        <w:top w:val="none" w:sz="0" w:space="0" w:color="auto"/>
        <w:left w:val="none" w:sz="0" w:space="0" w:color="auto"/>
        <w:bottom w:val="none" w:sz="0" w:space="0" w:color="auto"/>
        <w:right w:val="none" w:sz="0" w:space="0" w:color="auto"/>
      </w:divBdr>
      <w:divsChild>
        <w:div w:id="707216374">
          <w:marLeft w:val="0"/>
          <w:marRight w:val="0"/>
          <w:marTop w:val="0"/>
          <w:marBottom w:val="0"/>
          <w:divBdr>
            <w:top w:val="none" w:sz="0" w:space="0" w:color="auto"/>
            <w:left w:val="none" w:sz="0" w:space="0" w:color="auto"/>
            <w:bottom w:val="none" w:sz="0" w:space="0" w:color="auto"/>
            <w:right w:val="none" w:sz="0" w:space="0" w:color="auto"/>
          </w:divBdr>
        </w:div>
      </w:divsChild>
    </w:div>
    <w:div w:id="1452434536">
      <w:bodyDiv w:val="1"/>
      <w:marLeft w:val="0"/>
      <w:marRight w:val="0"/>
      <w:marTop w:val="0"/>
      <w:marBottom w:val="0"/>
      <w:divBdr>
        <w:top w:val="none" w:sz="0" w:space="0" w:color="auto"/>
        <w:left w:val="none" w:sz="0" w:space="0" w:color="auto"/>
        <w:bottom w:val="none" w:sz="0" w:space="0" w:color="auto"/>
        <w:right w:val="none" w:sz="0" w:space="0" w:color="auto"/>
      </w:divBdr>
    </w:div>
    <w:div w:id="1501576616">
      <w:bodyDiv w:val="1"/>
      <w:marLeft w:val="0"/>
      <w:marRight w:val="0"/>
      <w:marTop w:val="0"/>
      <w:marBottom w:val="0"/>
      <w:divBdr>
        <w:top w:val="none" w:sz="0" w:space="0" w:color="auto"/>
        <w:left w:val="none" w:sz="0" w:space="0" w:color="auto"/>
        <w:bottom w:val="none" w:sz="0" w:space="0" w:color="auto"/>
        <w:right w:val="none" w:sz="0" w:space="0" w:color="auto"/>
      </w:divBdr>
    </w:div>
    <w:div w:id="1536775482">
      <w:bodyDiv w:val="1"/>
      <w:marLeft w:val="0"/>
      <w:marRight w:val="0"/>
      <w:marTop w:val="0"/>
      <w:marBottom w:val="0"/>
      <w:divBdr>
        <w:top w:val="none" w:sz="0" w:space="0" w:color="auto"/>
        <w:left w:val="none" w:sz="0" w:space="0" w:color="auto"/>
        <w:bottom w:val="none" w:sz="0" w:space="0" w:color="auto"/>
        <w:right w:val="none" w:sz="0" w:space="0" w:color="auto"/>
      </w:divBdr>
    </w:div>
    <w:div w:id="1567299183">
      <w:bodyDiv w:val="1"/>
      <w:marLeft w:val="0"/>
      <w:marRight w:val="0"/>
      <w:marTop w:val="0"/>
      <w:marBottom w:val="0"/>
      <w:divBdr>
        <w:top w:val="none" w:sz="0" w:space="0" w:color="auto"/>
        <w:left w:val="none" w:sz="0" w:space="0" w:color="auto"/>
        <w:bottom w:val="none" w:sz="0" w:space="0" w:color="auto"/>
        <w:right w:val="none" w:sz="0" w:space="0" w:color="auto"/>
      </w:divBdr>
    </w:div>
    <w:div w:id="1608348458">
      <w:bodyDiv w:val="1"/>
      <w:marLeft w:val="0"/>
      <w:marRight w:val="0"/>
      <w:marTop w:val="0"/>
      <w:marBottom w:val="0"/>
      <w:divBdr>
        <w:top w:val="none" w:sz="0" w:space="0" w:color="auto"/>
        <w:left w:val="none" w:sz="0" w:space="0" w:color="auto"/>
        <w:bottom w:val="none" w:sz="0" w:space="0" w:color="auto"/>
        <w:right w:val="none" w:sz="0" w:space="0" w:color="auto"/>
      </w:divBdr>
    </w:div>
    <w:div w:id="1642690480">
      <w:bodyDiv w:val="1"/>
      <w:marLeft w:val="0"/>
      <w:marRight w:val="0"/>
      <w:marTop w:val="0"/>
      <w:marBottom w:val="0"/>
      <w:divBdr>
        <w:top w:val="none" w:sz="0" w:space="0" w:color="auto"/>
        <w:left w:val="none" w:sz="0" w:space="0" w:color="auto"/>
        <w:bottom w:val="none" w:sz="0" w:space="0" w:color="auto"/>
        <w:right w:val="none" w:sz="0" w:space="0" w:color="auto"/>
      </w:divBdr>
    </w:div>
    <w:div w:id="1649548412">
      <w:bodyDiv w:val="1"/>
      <w:marLeft w:val="0"/>
      <w:marRight w:val="0"/>
      <w:marTop w:val="0"/>
      <w:marBottom w:val="0"/>
      <w:divBdr>
        <w:top w:val="none" w:sz="0" w:space="0" w:color="auto"/>
        <w:left w:val="none" w:sz="0" w:space="0" w:color="auto"/>
        <w:bottom w:val="none" w:sz="0" w:space="0" w:color="auto"/>
        <w:right w:val="none" w:sz="0" w:space="0" w:color="auto"/>
      </w:divBdr>
    </w:div>
    <w:div w:id="1678120640">
      <w:bodyDiv w:val="1"/>
      <w:marLeft w:val="0"/>
      <w:marRight w:val="0"/>
      <w:marTop w:val="0"/>
      <w:marBottom w:val="0"/>
      <w:divBdr>
        <w:top w:val="none" w:sz="0" w:space="0" w:color="auto"/>
        <w:left w:val="none" w:sz="0" w:space="0" w:color="auto"/>
        <w:bottom w:val="none" w:sz="0" w:space="0" w:color="auto"/>
        <w:right w:val="none" w:sz="0" w:space="0" w:color="auto"/>
      </w:divBdr>
    </w:div>
    <w:div w:id="1711145315">
      <w:bodyDiv w:val="1"/>
      <w:marLeft w:val="0"/>
      <w:marRight w:val="0"/>
      <w:marTop w:val="0"/>
      <w:marBottom w:val="0"/>
      <w:divBdr>
        <w:top w:val="none" w:sz="0" w:space="0" w:color="auto"/>
        <w:left w:val="none" w:sz="0" w:space="0" w:color="auto"/>
        <w:bottom w:val="none" w:sz="0" w:space="0" w:color="auto"/>
        <w:right w:val="none" w:sz="0" w:space="0" w:color="auto"/>
      </w:divBdr>
    </w:div>
    <w:div w:id="1721399676">
      <w:bodyDiv w:val="1"/>
      <w:marLeft w:val="0"/>
      <w:marRight w:val="0"/>
      <w:marTop w:val="0"/>
      <w:marBottom w:val="0"/>
      <w:divBdr>
        <w:top w:val="none" w:sz="0" w:space="0" w:color="auto"/>
        <w:left w:val="none" w:sz="0" w:space="0" w:color="auto"/>
        <w:bottom w:val="none" w:sz="0" w:space="0" w:color="auto"/>
        <w:right w:val="none" w:sz="0" w:space="0" w:color="auto"/>
      </w:divBdr>
    </w:div>
    <w:div w:id="1771508485">
      <w:bodyDiv w:val="1"/>
      <w:marLeft w:val="0"/>
      <w:marRight w:val="0"/>
      <w:marTop w:val="0"/>
      <w:marBottom w:val="0"/>
      <w:divBdr>
        <w:top w:val="none" w:sz="0" w:space="0" w:color="auto"/>
        <w:left w:val="none" w:sz="0" w:space="0" w:color="auto"/>
        <w:bottom w:val="none" w:sz="0" w:space="0" w:color="auto"/>
        <w:right w:val="none" w:sz="0" w:space="0" w:color="auto"/>
      </w:divBdr>
    </w:div>
    <w:div w:id="1785347425">
      <w:bodyDiv w:val="1"/>
      <w:marLeft w:val="0"/>
      <w:marRight w:val="0"/>
      <w:marTop w:val="0"/>
      <w:marBottom w:val="0"/>
      <w:divBdr>
        <w:top w:val="none" w:sz="0" w:space="0" w:color="auto"/>
        <w:left w:val="none" w:sz="0" w:space="0" w:color="auto"/>
        <w:bottom w:val="none" w:sz="0" w:space="0" w:color="auto"/>
        <w:right w:val="none" w:sz="0" w:space="0" w:color="auto"/>
      </w:divBdr>
    </w:div>
    <w:div w:id="1889949240">
      <w:bodyDiv w:val="1"/>
      <w:marLeft w:val="0"/>
      <w:marRight w:val="0"/>
      <w:marTop w:val="0"/>
      <w:marBottom w:val="0"/>
      <w:divBdr>
        <w:top w:val="none" w:sz="0" w:space="0" w:color="auto"/>
        <w:left w:val="none" w:sz="0" w:space="0" w:color="auto"/>
        <w:bottom w:val="none" w:sz="0" w:space="0" w:color="auto"/>
        <w:right w:val="none" w:sz="0" w:space="0" w:color="auto"/>
      </w:divBdr>
    </w:div>
    <w:div w:id="1891260956">
      <w:bodyDiv w:val="1"/>
      <w:marLeft w:val="0"/>
      <w:marRight w:val="0"/>
      <w:marTop w:val="0"/>
      <w:marBottom w:val="0"/>
      <w:divBdr>
        <w:top w:val="none" w:sz="0" w:space="0" w:color="auto"/>
        <w:left w:val="none" w:sz="0" w:space="0" w:color="auto"/>
        <w:bottom w:val="none" w:sz="0" w:space="0" w:color="auto"/>
        <w:right w:val="none" w:sz="0" w:space="0" w:color="auto"/>
      </w:divBdr>
    </w:div>
    <w:div w:id="1911841168">
      <w:bodyDiv w:val="1"/>
      <w:marLeft w:val="0"/>
      <w:marRight w:val="0"/>
      <w:marTop w:val="0"/>
      <w:marBottom w:val="0"/>
      <w:divBdr>
        <w:top w:val="none" w:sz="0" w:space="0" w:color="auto"/>
        <w:left w:val="none" w:sz="0" w:space="0" w:color="auto"/>
        <w:bottom w:val="none" w:sz="0" w:space="0" w:color="auto"/>
        <w:right w:val="none" w:sz="0" w:space="0" w:color="auto"/>
      </w:divBdr>
    </w:div>
    <w:div w:id="1969585941">
      <w:bodyDiv w:val="1"/>
      <w:marLeft w:val="0"/>
      <w:marRight w:val="0"/>
      <w:marTop w:val="0"/>
      <w:marBottom w:val="0"/>
      <w:divBdr>
        <w:top w:val="none" w:sz="0" w:space="0" w:color="auto"/>
        <w:left w:val="none" w:sz="0" w:space="0" w:color="auto"/>
        <w:bottom w:val="none" w:sz="0" w:space="0" w:color="auto"/>
        <w:right w:val="none" w:sz="0" w:space="0" w:color="auto"/>
      </w:divBdr>
    </w:div>
    <w:div w:id="2027360645">
      <w:bodyDiv w:val="1"/>
      <w:marLeft w:val="0"/>
      <w:marRight w:val="0"/>
      <w:marTop w:val="0"/>
      <w:marBottom w:val="0"/>
      <w:divBdr>
        <w:top w:val="none" w:sz="0" w:space="0" w:color="auto"/>
        <w:left w:val="none" w:sz="0" w:space="0" w:color="auto"/>
        <w:bottom w:val="none" w:sz="0" w:space="0" w:color="auto"/>
        <w:right w:val="none" w:sz="0" w:space="0" w:color="auto"/>
      </w:divBdr>
    </w:div>
    <w:div w:id="210102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CDABF-54F0-40D7-8C44-7E46D751E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739</Words>
  <Characters>5923</Characters>
  <Application>Microsoft Office Word</Application>
  <DocSecurity>0</DocSecurity>
  <Lines>114</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Margaryan;hovhannes_margaryan@taxservice.am</dc:creator>
  <cp:keywords>https://mul2.gov.am/tasks/1102053/oneclick?token=22b72844e24e8eaae93db8dda76317ec</cp:keywords>
  <dc:description/>
  <cp:lastModifiedBy>Ashot Tsormutyan</cp:lastModifiedBy>
  <cp:revision>95</cp:revision>
  <cp:lastPrinted>2024-12-19T07:01:00Z</cp:lastPrinted>
  <dcterms:created xsi:type="dcterms:W3CDTF">2024-11-19T10:08:00Z</dcterms:created>
  <dcterms:modified xsi:type="dcterms:W3CDTF">2025-02-20T06:10:00Z</dcterms:modified>
</cp:coreProperties>
</file>