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30FB" w:rsidRPr="002807B2" w:rsidRDefault="001B30FB" w:rsidP="001B30FB">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p>
    <w:p w:rsidR="001B30FB" w:rsidRDefault="001B30FB" w:rsidP="001B30FB">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r w:rsidRPr="002807B2">
        <w:rPr>
          <w:rFonts w:ascii="GHEA Grapalat" w:eastAsia="Times New Roman" w:hAnsi="GHEA Grapalat" w:cs="Times New Roman"/>
          <w:b/>
          <w:bCs/>
          <w:sz w:val="24"/>
          <w:szCs w:val="24"/>
          <w:bdr w:val="none" w:sz="0" w:space="0" w:color="auto" w:frame="1"/>
        </w:rPr>
        <w:t>ՀԻՄՆԱՎՈՐՈՒՄ</w:t>
      </w:r>
    </w:p>
    <w:p w:rsidR="001B30FB" w:rsidRPr="002807B2" w:rsidRDefault="001B30FB" w:rsidP="001B30FB">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p>
    <w:p w:rsidR="001B30FB" w:rsidRPr="002807B2" w:rsidRDefault="001B30FB" w:rsidP="001B30FB">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r w:rsidRPr="002807B2">
        <w:rPr>
          <w:rFonts w:ascii="GHEA Grapalat" w:eastAsia="Times New Roman" w:hAnsi="GHEA Grapalat" w:cs="Times New Roman"/>
          <w:b/>
          <w:bCs/>
          <w:sz w:val="24"/>
          <w:szCs w:val="24"/>
          <w:bdr w:val="none" w:sz="0" w:space="0" w:color="auto" w:frame="1"/>
        </w:rPr>
        <w:t xml:space="preserve">«ՀԱՅԱՍՏԱՆԻ ՀԱՆՐԱՊԵՏՈՒԹՅԱՆ ԿԱՌԱՎԱՐՈՒԹՅԱՆ 2023 ԹՎԱԿԱՆԻ ՆՈՅԵՄԲԵՐԻ 2-Ի N 1890-Ն ՈՐՈՇՄԱՆ ՄԵՋ ՓՈՓՈԽՈՒԹՅՈՒՆՆԵՐ ԵՎ ԼՐԱՑՈՒՄՆԵՐ ԿԱՏԱՐԵԼՈՒ ՄԱՍԻՆ» ՀՀ ԿԱՌԱՎԱՐՈՒԹՅԱՆ ՈՐՈՇՄԱՆ ՆԱԽԱԳԾԻ ԸՆԴՈՒՆՄԱՆ </w:t>
      </w:r>
    </w:p>
    <w:p w:rsidR="001B30FB" w:rsidRPr="002807B2" w:rsidRDefault="001B30FB" w:rsidP="001B30FB">
      <w:pPr>
        <w:shd w:val="clear" w:color="auto" w:fill="FFFFFF"/>
        <w:spacing w:after="0" w:line="360" w:lineRule="auto"/>
        <w:jc w:val="center"/>
        <w:textAlignment w:val="baseline"/>
        <w:rPr>
          <w:rFonts w:ascii="GHEA Grapalat" w:eastAsia="Times New Roman" w:hAnsi="GHEA Grapalat" w:cs="Times New Roman"/>
          <w:b/>
          <w:bCs/>
          <w:sz w:val="24"/>
          <w:szCs w:val="24"/>
          <w:bdr w:val="none" w:sz="0" w:space="0" w:color="auto" w:frame="1"/>
        </w:rPr>
      </w:pPr>
    </w:p>
    <w:p w:rsidR="001B30FB" w:rsidRPr="002807B2" w:rsidRDefault="001B30FB" w:rsidP="001B30FB">
      <w:pPr>
        <w:shd w:val="clear" w:color="auto" w:fill="FFFFFF"/>
        <w:tabs>
          <w:tab w:val="left" w:pos="993"/>
        </w:tabs>
        <w:spacing w:after="0" w:line="360" w:lineRule="auto"/>
        <w:ind w:firstLine="567"/>
        <w:jc w:val="both"/>
        <w:rPr>
          <w:rFonts w:ascii="GHEA Grapalat" w:hAnsi="GHEA Grapalat"/>
          <w:b/>
          <w:i/>
          <w:color w:val="000000"/>
          <w:sz w:val="24"/>
          <w:szCs w:val="24"/>
          <w:lang w:eastAsia="hy-AM"/>
        </w:rPr>
      </w:pPr>
      <w:r w:rsidRPr="002807B2">
        <w:rPr>
          <w:rFonts w:ascii="GHEA Grapalat" w:hAnsi="GHEA Grapalat"/>
          <w:b/>
          <w:i/>
          <w:color w:val="000000"/>
          <w:sz w:val="24"/>
          <w:szCs w:val="24"/>
          <w:lang w:eastAsia="hy-AM"/>
        </w:rPr>
        <w:t>Իրավական ակտի ընդունման անհրաժեշտությունը, ընթացիկ իրավիճակը և խնդիրները.</w:t>
      </w:r>
    </w:p>
    <w:p w:rsidR="001B30FB" w:rsidRPr="002807B2" w:rsidRDefault="001B30FB" w:rsidP="001B30FB">
      <w:pPr>
        <w:tabs>
          <w:tab w:val="left" w:pos="810"/>
        </w:tabs>
        <w:spacing w:after="0" w:line="360" w:lineRule="auto"/>
        <w:ind w:firstLine="720"/>
        <w:jc w:val="both"/>
        <w:rPr>
          <w:rFonts w:ascii="GHEA Grapalat" w:hAnsi="GHEA Grapalat"/>
          <w:sz w:val="24"/>
          <w:szCs w:val="24"/>
        </w:rPr>
      </w:pPr>
      <w:r w:rsidRPr="002807B2">
        <w:rPr>
          <w:rFonts w:ascii="GHEA Grapalat" w:hAnsi="GHEA Grapalat"/>
          <w:sz w:val="24"/>
          <w:szCs w:val="24"/>
        </w:rPr>
        <w:t>ՀՀ կառավարության 2021 թվականի նոյեմբերի 18-ի «ՀՀ կառավարության 2021-2026թթ. գործունեության միջոցառումների ծրագիրը հաստատելու մասին» N 1902-Լ որոշման N 1 հավելվածով ՀՀ ֆինանսների նախարարության գծով հաստատված 3.2 կետով նախատեսված միջոցառման համաձայն՝ ՀՀ վարչապետի 2023 թվականի մայիսի 22-ի N 546-Ա որոշմամբ հաստատվել է Հայաստանի Հանրապետության բյուջետային գործընթացում մասնակցային բյուջետավորման փորձնական ներդրման գործողությունների ժամանակացույցը: Նշված ժամանակացույցի 2-րդ կետով նախատեսված է «ՀՀ բյուջետային գործընթացի շրջանակներում մասնակցային բյուջետավորման և մասնակցային բյուջետավորմամբ ձևավորված բյուջետային ծրագրերի/միջոցառումների ֆինանսավորման կարգը սահմանող ՀՀ կառավարության որոշման նախագծի մշակում» միջոցառումը:</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hAnsi="GHEA Grapalat"/>
          <w:color w:val="000000"/>
          <w:sz w:val="24"/>
          <w:szCs w:val="24"/>
          <w:lang w:eastAsia="hy-AM"/>
        </w:rPr>
      </w:pPr>
      <w:r w:rsidRPr="002807B2">
        <w:rPr>
          <w:rFonts w:ascii="GHEA Grapalat" w:hAnsi="GHEA Grapalat"/>
          <w:color w:val="000000"/>
          <w:sz w:val="24"/>
          <w:szCs w:val="24"/>
          <w:lang w:eastAsia="hy-AM"/>
        </w:rPr>
        <w:t>ՀՀ կառավարության 2023 թվականի նոյեմբերի 2-ի N 1890-Ն որոշմամբ (այսուհետ՝ Որոշում) սահմանվել են Հայաստանի Հանրապետության համայնքներում մասնակցային բյուջետավորմամբ ձևավորված ծրագրերի իրականացման նպատակով 2024 թվականի պետական բյուջեից համայնքներին սուբվենցիաների տրամադրման կարգը, որի գործողությունը նախատեսված էր միայն 2024 թվականի համար և ընդգրկում էր 4 փորձարկող համայնք՝ Հայաստանի Հանրապետության Արագածոտնի մարզի Աշտարակ, Արմավիրի մարզի Արմավիր, Կոտայքի մարզի Աբովյան և Վայոց ձորի մարզի Ջերմուկ համայնքները:</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hAnsi="GHEA Grapalat"/>
          <w:color w:val="000000"/>
          <w:sz w:val="24"/>
          <w:szCs w:val="24"/>
          <w:lang w:eastAsia="hy-AM"/>
        </w:rPr>
      </w:pPr>
      <w:r w:rsidRPr="002807B2">
        <w:rPr>
          <w:rFonts w:ascii="GHEA Grapalat" w:hAnsi="GHEA Grapalat"/>
          <w:color w:val="000000"/>
          <w:sz w:val="24"/>
          <w:szCs w:val="24"/>
          <w:lang w:eastAsia="hy-AM"/>
        </w:rPr>
        <w:t>Վերոհիշյալ համայնքներում 2024 թվականի ընթացքում ստացվել են մասնակցային բյուջետավորմամբ ձևավորված ծրագրերի իրականացման դրական արդյունքներ՝ համայնքների մասնակցության և հանրային ծրագրերի զարգացման առումով: Այնուամենայնիվ, Որոշման գործողությունը սահմանափակվում է միայն 2024 թվականի բյուջետային գործընթացով և փորձարկող համայնքների փոքր շրջանակով: Մասնակցային բյուջետավորման հետագա խթանման և ավելի մեծ թվով համայնքների ներգրավվածության նպատակահարմարությունից ելնելով անհրաժեշտություն է առաջացել Որոշմամբ հաստատված կարգի գործողությունը՝ ընթացակարգերում լավարկումների իրականացմաբ տարածել և փորձարկել նաև 2025 թվականի բյուջետային գործընթացում</w:t>
      </w:r>
      <w:r w:rsidRPr="002807B2">
        <w:rPr>
          <w:rFonts w:ascii="GHEA Grapalat" w:hAnsi="GHEA Grapalat" w:cs="Sylfaen"/>
          <w:sz w:val="24"/>
          <w:szCs w:val="24"/>
        </w:rPr>
        <w:t>:</w:t>
      </w:r>
      <w:r w:rsidRPr="002807B2">
        <w:rPr>
          <w:rFonts w:ascii="GHEA Grapalat" w:hAnsi="GHEA Grapalat"/>
          <w:color w:val="000000"/>
          <w:sz w:val="24"/>
          <w:szCs w:val="24"/>
          <w:lang w:eastAsia="hy-AM"/>
        </w:rPr>
        <w:t xml:space="preserve"> </w:t>
      </w:r>
    </w:p>
    <w:p w:rsidR="001B30FB" w:rsidRPr="002807B2" w:rsidRDefault="001B30FB" w:rsidP="001B30FB">
      <w:pPr>
        <w:pStyle w:val="NormalWeb"/>
        <w:shd w:val="clear" w:color="auto" w:fill="FFFFFF"/>
        <w:spacing w:before="0" w:beforeAutospacing="0" w:after="0" w:afterAutospacing="0" w:line="360" w:lineRule="auto"/>
        <w:ind w:firstLine="567"/>
        <w:rPr>
          <w:rFonts w:ascii="GHEA Grapalat" w:hAnsi="GHEA Grapalat"/>
          <w:b/>
          <w:i/>
          <w:color w:val="000000"/>
          <w:lang w:val="hy-AM" w:eastAsia="hy-AM"/>
        </w:rPr>
      </w:pPr>
    </w:p>
    <w:p w:rsidR="001B30FB" w:rsidRPr="002807B2" w:rsidRDefault="001B30FB" w:rsidP="001B30FB">
      <w:pPr>
        <w:pStyle w:val="NormalWeb"/>
        <w:shd w:val="clear" w:color="auto" w:fill="FFFFFF"/>
        <w:spacing w:before="0" w:beforeAutospacing="0" w:after="0" w:afterAutospacing="0" w:line="360" w:lineRule="auto"/>
        <w:ind w:firstLine="567"/>
        <w:rPr>
          <w:rFonts w:ascii="GHEA Grapalat" w:hAnsi="GHEA Grapalat"/>
          <w:b/>
          <w:i/>
          <w:color w:val="000000"/>
          <w:lang w:val="hy-AM" w:eastAsia="hy-AM"/>
        </w:rPr>
      </w:pPr>
      <w:r w:rsidRPr="002807B2">
        <w:rPr>
          <w:rFonts w:ascii="GHEA Grapalat" w:hAnsi="GHEA Grapalat"/>
          <w:b/>
          <w:i/>
          <w:color w:val="000000"/>
          <w:lang w:val="hy-AM" w:eastAsia="hy-AM"/>
        </w:rPr>
        <w:t>Կարգավորման առարկան, ակնկալվող արդյունքը.</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hAnsi="GHEA Grapalat"/>
          <w:color w:val="000000"/>
          <w:sz w:val="24"/>
          <w:szCs w:val="24"/>
          <w:lang w:eastAsia="hy-AM"/>
        </w:rPr>
      </w:pPr>
      <w:r w:rsidRPr="002807B2">
        <w:rPr>
          <w:rFonts w:ascii="GHEA Grapalat" w:hAnsi="GHEA Grapalat"/>
          <w:color w:val="000000"/>
          <w:sz w:val="24"/>
          <w:szCs w:val="24"/>
          <w:lang w:eastAsia="hy-AM"/>
        </w:rPr>
        <w:t>Նախագծով նախատեսվում է՝</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hAnsi="GHEA Grapalat"/>
          <w:color w:val="000000"/>
          <w:sz w:val="24"/>
          <w:szCs w:val="24"/>
          <w:lang w:eastAsia="hy-AM"/>
        </w:rPr>
      </w:pPr>
      <w:r w:rsidRPr="002807B2">
        <w:rPr>
          <w:rFonts w:ascii="GHEA Grapalat" w:hAnsi="GHEA Grapalat" w:cs="Sylfaen"/>
          <w:sz w:val="24"/>
          <w:szCs w:val="24"/>
        </w:rPr>
        <w:t>Որոշմամբ հաստատված կարգի գործողությունը տարածել և փորձարկել նաև ՀՀ 2025 թվականի բյուջետային գործընթացի ժամանակահատվածում՝ Որոշմա</w:t>
      </w:r>
      <w:r w:rsidRPr="004A0A89">
        <w:rPr>
          <w:rFonts w:ascii="GHEA Grapalat" w:hAnsi="GHEA Grapalat" w:cs="Sylfaen"/>
          <w:sz w:val="24"/>
          <w:szCs w:val="24"/>
        </w:rPr>
        <w:t>մբ</w:t>
      </w:r>
      <w:r w:rsidRPr="002807B2">
        <w:rPr>
          <w:rFonts w:ascii="GHEA Grapalat" w:hAnsi="GHEA Grapalat" w:cs="Sylfaen"/>
          <w:sz w:val="24"/>
          <w:szCs w:val="24"/>
        </w:rPr>
        <w:t xml:space="preserve"> սահմանվող </w:t>
      </w:r>
      <w:r w:rsidRPr="00011D35">
        <w:rPr>
          <w:rFonts w:ascii="GHEA Grapalat" w:hAnsi="GHEA Grapalat" w:cs="Sylfaen"/>
          <w:sz w:val="24"/>
          <w:szCs w:val="24"/>
        </w:rPr>
        <w:t xml:space="preserve">թվով 21 </w:t>
      </w:r>
      <w:r w:rsidRPr="002807B2">
        <w:rPr>
          <w:rFonts w:ascii="GHEA Grapalat" w:hAnsi="GHEA Grapalat" w:cs="Sylfaen"/>
          <w:sz w:val="24"/>
          <w:szCs w:val="24"/>
        </w:rPr>
        <w:t>համայնքներում, իսկ 2025 թվականին հաջորդող տարիներին գործընթացի համար կարգավորումները կնախատեսվեն ելնելով փորձարկման արդյունքներից:</w:t>
      </w:r>
      <w:r w:rsidRPr="00011D35">
        <w:rPr>
          <w:rFonts w:ascii="GHEA Grapalat" w:hAnsi="GHEA Grapalat" w:cs="Sylfaen"/>
          <w:sz w:val="24"/>
          <w:szCs w:val="24"/>
        </w:rPr>
        <w:t xml:space="preserve"> </w:t>
      </w:r>
      <w:r w:rsidRPr="00905BBB">
        <w:rPr>
          <w:rFonts w:ascii="GHEA Grapalat" w:hAnsi="GHEA Grapalat"/>
          <w:color w:val="000000"/>
          <w:sz w:val="24"/>
          <w:szCs w:val="24"/>
          <w:lang w:eastAsia="hy-AM"/>
        </w:rPr>
        <w:t>ՀՀ</w:t>
      </w:r>
      <w:r w:rsidRPr="00905BBB">
        <w:rPr>
          <w:rFonts w:ascii="GHEA Grapalat" w:hAnsi="GHEA Grapalat"/>
          <w:color w:val="000000"/>
          <w:sz w:val="24"/>
          <w:szCs w:val="24"/>
          <w:lang w:val="pt-BR" w:eastAsia="hy-AM"/>
        </w:rPr>
        <w:t xml:space="preserve"> 2025 </w:t>
      </w:r>
      <w:r w:rsidRPr="00905BBB">
        <w:rPr>
          <w:rFonts w:ascii="GHEA Grapalat" w:hAnsi="GHEA Grapalat"/>
          <w:color w:val="000000"/>
          <w:sz w:val="24"/>
          <w:szCs w:val="24"/>
          <w:lang w:eastAsia="hy-AM"/>
        </w:rPr>
        <w:t>թվականի</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բյուջետային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գործընթացի</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շրջանակում</w:t>
      </w:r>
      <w:r w:rsidRPr="00905BBB">
        <w:rPr>
          <w:rFonts w:ascii="GHEA Grapalat" w:hAnsi="GHEA Grapalat"/>
          <w:color w:val="000000"/>
          <w:sz w:val="24"/>
          <w:szCs w:val="24"/>
          <w:lang w:val="pt-BR" w:eastAsia="hy-AM"/>
        </w:rPr>
        <w:t xml:space="preserve"> փորձարկման համար </w:t>
      </w:r>
      <w:r w:rsidRPr="00905BBB">
        <w:rPr>
          <w:rFonts w:ascii="GHEA Grapalat" w:hAnsi="GHEA Grapalat"/>
          <w:color w:val="000000"/>
          <w:sz w:val="24"/>
          <w:szCs w:val="24"/>
          <w:lang w:eastAsia="hy-AM"/>
        </w:rPr>
        <w:t>ընդրությունը</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կատարվել</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է</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այն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համայնքների</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գծով</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որոնք</w:t>
      </w:r>
      <w:r w:rsidRPr="00905BBB">
        <w:rPr>
          <w:rFonts w:ascii="GHEA Grapalat" w:hAnsi="GHEA Grapalat"/>
          <w:color w:val="000000"/>
          <w:sz w:val="24"/>
          <w:szCs w:val="24"/>
          <w:lang w:val="pt-BR" w:eastAsia="hy-AM"/>
        </w:rPr>
        <w:t xml:space="preserve"> 2024</w:t>
      </w:r>
      <w:r w:rsidRPr="00905BBB">
        <w:rPr>
          <w:rFonts w:ascii="GHEA Grapalat" w:hAnsi="GHEA Grapalat"/>
          <w:color w:val="000000"/>
          <w:sz w:val="24"/>
          <w:szCs w:val="24"/>
          <w:lang w:eastAsia="hy-AM"/>
        </w:rPr>
        <w:t>թ</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կամավոր</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առանց</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պետական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բյուջեից</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սուբվենցիաների</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հատկացման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իրականացրել</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են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մասնակցային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բյուջետավորման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գործընթացներ</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և</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ունեն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բավարար</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փորձառություն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Վերոհիշյալ</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համայնքներում</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տեղադրվել</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և</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գործարկվել</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է</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համայնքային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կառավարման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տեղեկատվական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համակարգի</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նոր</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տարբերակը</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որում</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ներառված</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են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մասնակցային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բյուջետավորման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հետ</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կապված</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գործիքները</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և</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իրականացված</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են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նաև</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այդ</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համայնքների</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բնակչության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նույնականացման</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համար</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այլ</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համակարգերի</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հետ</w:t>
      </w:r>
      <w:r w:rsidRPr="00905BBB">
        <w:rPr>
          <w:rFonts w:ascii="GHEA Grapalat" w:hAnsi="GHEA Grapalat"/>
          <w:color w:val="000000"/>
          <w:sz w:val="24"/>
          <w:szCs w:val="24"/>
          <w:lang w:val="pt-BR" w:eastAsia="hy-AM"/>
        </w:rPr>
        <w:t xml:space="preserve"> </w:t>
      </w:r>
      <w:r w:rsidRPr="00905BBB">
        <w:rPr>
          <w:rFonts w:ascii="GHEA Grapalat" w:hAnsi="GHEA Grapalat"/>
          <w:color w:val="000000"/>
          <w:sz w:val="24"/>
          <w:szCs w:val="24"/>
          <w:lang w:eastAsia="hy-AM"/>
        </w:rPr>
        <w:t>ինտեգրումներ</w:t>
      </w:r>
      <w:r w:rsidRPr="00905BBB">
        <w:rPr>
          <w:rFonts w:ascii="GHEA Grapalat" w:hAnsi="GHEA Grapalat"/>
          <w:color w:val="000000"/>
          <w:sz w:val="24"/>
          <w:szCs w:val="24"/>
          <w:lang w:val="pt-BR" w:eastAsia="hy-AM"/>
        </w:rPr>
        <w:t>:</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hAnsi="GHEA Grapalat"/>
          <w:color w:val="000000"/>
          <w:sz w:val="24"/>
          <w:szCs w:val="24"/>
          <w:lang w:eastAsia="hy-AM"/>
        </w:rPr>
      </w:pPr>
      <w:r w:rsidRPr="002807B2">
        <w:rPr>
          <w:rFonts w:ascii="GHEA Grapalat" w:hAnsi="GHEA Grapalat"/>
          <w:color w:val="000000"/>
          <w:sz w:val="24"/>
          <w:szCs w:val="24"/>
          <w:lang w:eastAsia="hy-AM"/>
        </w:rPr>
        <w:t xml:space="preserve">Միաժամանակ, հիմք ընդունելով 2024 թվականի փորձարկման արդյունքները, առաջարկվում է որոշ լավարկումներ իրականացնել նաև մասնակցային բյուջետավորման գործընթացի համապատասխան ընթացակարգերում՝ մասնավորապես. </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hAnsi="GHEA Grapalat"/>
          <w:color w:val="000000"/>
          <w:sz w:val="24"/>
          <w:szCs w:val="24"/>
          <w:lang w:eastAsia="hy-AM"/>
        </w:rPr>
      </w:pPr>
      <w:r w:rsidRPr="002807B2">
        <w:rPr>
          <w:rFonts w:ascii="GHEA Grapalat" w:hAnsi="GHEA Grapalat"/>
          <w:color w:val="000000"/>
          <w:sz w:val="24"/>
          <w:szCs w:val="24"/>
          <w:lang w:eastAsia="hy-AM"/>
        </w:rPr>
        <w:t>Ամրագրվել է համայքներում ձևավորվող հ</w:t>
      </w:r>
      <w:r w:rsidRPr="002807B2">
        <w:rPr>
          <w:rFonts w:ascii="GHEA Grapalat" w:hAnsi="GHEA Grapalat" w:cs="Arial"/>
          <w:sz w:val="24"/>
          <w:szCs w:val="24"/>
        </w:rPr>
        <w:t>անձնաժողովների այն լիազորությունը համաձայն որի հանձնաժողովի որոշմամբ բնակիչների կողմից ներկայացված նույնաբովանդակ կամ բովանդակությամբ մեկտեղման հնարավորություն ներառող (այդ թվում համայնքի տարբեր բնակավայրերի գծով) առաջարկ-նախագծերը կարող են միավորվել:</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eastAsia="Times New Roman" w:hAnsi="GHEA Grapalat"/>
          <w:color w:val="000000"/>
          <w:sz w:val="24"/>
          <w:szCs w:val="24"/>
        </w:rPr>
      </w:pPr>
      <w:r w:rsidRPr="002807B2">
        <w:rPr>
          <w:rFonts w:ascii="GHEA Grapalat" w:eastAsia="Times New Roman" w:hAnsi="GHEA Grapalat"/>
          <w:color w:val="000000"/>
          <w:sz w:val="24"/>
          <w:szCs w:val="24"/>
        </w:rPr>
        <w:t>Գործող որոշմամբ սահմանված է, որ մասնակցային բյուջետավորմամբ ձևավորված յուրաքանչյուր սուբվենցիոն ծրագրի իրականացման համար համայնքի բյուջեից (ֆոնդային մասից) ֆինանսավորման մասնաբաժինը չի կարող պակաս նախատեսվել տվյալ ծրագրի սուբվենցիայի հայտով հայցվող պետական ֆինանսավորման գումարի 20 տոկոսից: Նախագծով նախատեսվում է համայնքի մասնակցությունն ու ներդրումն դարձնել ավելի համահունչ ծրագրի ընդհանուր ծախսերին՝ համայնքի բյուջեից ֆինանսավորման մասնաբաժինը սահմանելով ոչ պակաս տվյալ ծրագրի ծախսերի ընդհանուր գումարի 20 տոկոսից: Ծրագրի ընդհանուր ծախսերի բալանսի առաջարկվող փոփոխությունը որոշակի չափով ավելացնելով համայնքի մասնաբաժինը, կբարձրացնի նաև համայնքի պատասխանատվությունը և կխթանի ծրագրի իրականացման արդյունավետությանը:</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eastAsia="Times New Roman" w:hAnsi="GHEA Grapalat"/>
          <w:color w:val="000000"/>
          <w:sz w:val="24"/>
          <w:szCs w:val="24"/>
        </w:rPr>
      </w:pPr>
      <w:r w:rsidRPr="002807B2">
        <w:rPr>
          <w:rFonts w:ascii="GHEA Grapalat" w:eastAsia="Times New Roman" w:hAnsi="GHEA Grapalat"/>
          <w:color w:val="000000"/>
          <w:sz w:val="24"/>
          <w:szCs w:val="24"/>
        </w:rPr>
        <w:t>Հստակեցվել է նաև համայնքի ղեկավարի կողմից լիազոր մարմին ներկայացման համար պահանջվող սուբվենցիոն ծրագրի շինարարական աշխատանքների իրականացման համար ՀՀ օրենսդրությամբ սահմանված կարգով նախատեսված նախագծանախահաշվային փաստաթղթերի շրջանակը՝ ներառելով նաև նախագծանախահաշվային փաստաթղթերի փորձաքննության դրական եզրակացությունը:</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eastAsia="Times New Roman" w:hAnsi="GHEA Grapalat"/>
          <w:color w:val="000000"/>
          <w:sz w:val="24"/>
          <w:szCs w:val="24"/>
        </w:rPr>
      </w:pPr>
      <w:r w:rsidRPr="002807B2">
        <w:rPr>
          <w:rFonts w:ascii="GHEA Grapalat" w:eastAsia="Times New Roman" w:hAnsi="GHEA Grapalat"/>
          <w:color w:val="000000"/>
          <w:sz w:val="24"/>
          <w:szCs w:val="24"/>
        </w:rPr>
        <w:t xml:space="preserve">Սահմանվել է, որ մասնակցային բյուջետավորմամբ ձևավորված ծրագրերի իրականացման ընթացքի և տրամադրված սուբվենցիաների նպատակային օգտագործման վերաբերյալ տեղեկատվությունը համայնքի ղեկավարի կողմից հրապարակվում է համայնքի պաշտոնական կայքում յուրաքանչյուր ամսվա պարբերականությամբ, ինչպես նաև </w:t>
      </w:r>
      <w:r w:rsidRPr="002807B2">
        <w:rPr>
          <w:rFonts w:ascii="GHEA Grapalat" w:eastAsia="Times New Roman" w:hAnsi="GHEA Grapalat" w:cs="Times New Roman"/>
          <w:color w:val="000000"/>
          <w:sz w:val="24"/>
          <w:szCs w:val="24"/>
        </w:rPr>
        <w:t xml:space="preserve">մասնակցային բյուջետավորման իրազեկման և հանրային հսկողության նպատակով նախատեսում է </w:t>
      </w:r>
      <w:r>
        <w:rPr>
          <w:rFonts w:ascii="GHEA Grapalat" w:eastAsia="Times New Roman" w:hAnsi="GHEA Grapalat" w:cs="Times New Roman"/>
          <w:color w:val="000000"/>
          <w:sz w:val="24"/>
          <w:szCs w:val="24"/>
        </w:rPr>
        <w:t>մասնակցել</w:t>
      </w:r>
      <w:r w:rsidRPr="004A0A89">
        <w:rPr>
          <w:rFonts w:ascii="GHEA Grapalat" w:eastAsia="Times New Roman" w:hAnsi="GHEA Grapalat" w:cs="Times New Roman"/>
          <w:color w:val="000000"/>
          <w:sz w:val="24"/>
          <w:szCs w:val="24"/>
        </w:rPr>
        <w:t>ու</w:t>
      </w:r>
      <w:r w:rsidRPr="002807B2">
        <w:rPr>
          <w:rFonts w:ascii="GHEA Grapalat" w:eastAsia="Times New Roman" w:hAnsi="GHEA Grapalat" w:cs="Times New Roman"/>
          <w:color w:val="000000"/>
          <w:sz w:val="24"/>
          <w:szCs w:val="24"/>
        </w:rPr>
        <w:t xml:space="preserve"> հնարավորություն </w:t>
      </w:r>
      <w:r w:rsidRPr="002D42AF">
        <w:rPr>
          <w:rFonts w:ascii="GHEA Grapalat" w:eastAsia="Times New Roman" w:hAnsi="GHEA Grapalat" w:cs="Times New Roman"/>
          <w:color w:val="000000"/>
          <w:sz w:val="24"/>
          <w:szCs w:val="24"/>
        </w:rPr>
        <w:t>Հայաստանի Հանրապետությունում պետական գրանցում ստացած հասարակական կազմակերպությունների ներկայացուցիչներ</w:t>
      </w:r>
      <w:r w:rsidRPr="00A30442">
        <w:rPr>
          <w:rFonts w:ascii="GHEA Grapalat" w:eastAsia="Times New Roman" w:hAnsi="GHEA Grapalat" w:cs="Times New Roman"/>
          <w:color w:val="000000"/>
          <w:sz w:val="24"/>
          <w:szCs w:val="24"/>
        </w:rPr>
        <w:t>ի</w:t>
      </w:r>
      <w:r w:rsidRPr="002D42AF">
        <w:rPr>
          <w:rFonts w:ascii="GHEA Grapalat" w:eastAsia="Times New Roman" w:hAnsi="GHEA Grapalat" w:cs="Times New Roman"/>
          <w:color w:val="000000"/>
          <w:sz w:val="24"/>
          <w:szCs w:val="24"/>
        </w:rPr>
        <w:t>, լրատվական գործունեություն իրականացնող անձ</w:t>
      </w:r>
      <w:r w:rsidRPr="00A30442">
        <w:rPr>
          <w:rFonts w:ascii="GHEA Grapalat" w:eastAsia="Times New Roman" w:hAnsi="GHEA Grapalat" w:cs="Times New Roman"/>
          <w:color w:val="000000"/>
          <w:sz w:val="24"/>
          <w:szCs w:val="24"/>
        </w:rPr>
        <w:t>անց</w:t>
      </w:r>
      <w:r w:rsidRPr="002D42AF">
        <w:rPr>
          <w:rFonts w:ascii="GHEA Grapalat" w:eastAsia="Times New Roman" w:hAnsi="GHEA Grapalat" w:cs="Times New Roman"/>
          <w:color w:val="000000"/>
          <w:sz w:val="24"/>
          <w:szCs w:val="24"/>
        </w:rPr>
        <w:t xml:space="preserve"> կամ վերջիններիս ներկայացուցիչներ</w:t>
      </w:r>
      <w:r w:rsidRPr="00A30442">
        <w:rPr>
          <w:rFonts w:ascii="GHEA Grapalat" w:eastAsia="Times New Roman" w:hAnsi="GHEA Grapalat" w:cs="Times New Roman"/>
          <w:color w:val="000000"/>
          <w:sz w:val="24"/>
          <w:szCs w:val="24"/>
        </w:rPr>
        <w:t>ի համար</w:t>
      </w:r>
      <w:r w:rsidRPr="002807B2">
        <w:rPr>
          <w:rFonts w:ascii="GHEA Grapalat" w:eastAsia="Times New Roman" w:hAnsi="GHEA Grapalat"/>
          <w:color w:val="000000"/>
          <w:sz w:val="24"/>
          <w:szCs w:val="24"/>
        </w:rPr>
        <w:t>:</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hAnsi="GHEA Grapalat"/>
          <w:sz w:val="24"/>
          <w:szCs w:val="24"/>
        </w:rPr>
      </w:pPr>
      <w:r w:rsidRPr="002807B2">
        <w:rPr>
          <w:rFonts w:ascii="GHEA Grapalat" w:eastAsia="Times New Roman" w:hAnsi="GHEA Grapalat"/>
          <w:color w:val="000000"/>
          <w:sz w:val="24"/>
          <w:szCs w:val="24"/>
        </w:rPr>
        <w:t>Վերոհիշյալ կարգավորումները հնարավորություն կտան կառավարությանը շարունակել տեղական ինքնակառավարման</w:t>
      </w:r>
      <w:r w:rsidRPr="002807B2">
        <w:rPr>
          <w:rFonts w:ascii="GHEA Grapalat" w:hAnsi="GHEA Grapalat"/>
          <w:color w:val="000000"/>
          <w:sz w:val="24"/>
          <w:szCs w:val="24"/>
          <w:lang w:eastAsia="hy-AM"/>
        </w:rPr>
        <w:t xml:space="preserve"> մարմինների զարգացման գործընթացը, խթանելով հանրային մասնակցության և տեղական մակարդակում որոշումների կայացման արդյունավետությունը: </w:t>
      </w:r>
      <w:r w:rsidRPr="002807B2">
        <w:rPr>
          <w:rFonts w:ascii="GHEA Grapalat" w:hAnsi="GHEA Grapalat"/>
          <w:sz w:val="24"/>
          <w:szCs w:val="24"/>
        </w:rPr>
        <w:t xml:space="preserve">ՀՀ 2025 թվականի բյուջետային գործընթացի շրջանակում պետության գործուն մասնակցությամբ ՀՀ համայնքները հնարավորություն կունենան մասնակցային բյուջետավորմամբ ձևավորված ծրագրերի իրականացման համար՝ ըստ առանձին համայնքների սահմանված սահմանաչափերով ստանալու սուբվենցիաներ: Մասնակցային բյուջետավորման գործընթացների տարածման խթանմամբ հնարավորություն կստեղծվի տեղական ինքնակառավարման մակարդակում ակտիվացնելով բնակիչներին՝ հանդես գալու իրենց համար ամենակարևոր, հրատապ և արդի խնդիրների լուծման նախաձեռնություններով, կակտիվանա նրանց մասնակցությանը ծրագրային առաջարկությունների առաջադրման, քննարկման, որոշումների կայացման գործընթացում։ </w:t>
      </w:r>
    </w:p>
    <w:p w:rsidR="001B30FB" w:rsidRDefault="001B30FB" w:rsidP="001B30FB">
      <w:pPr>
        <w:pStyle w:val="NormalWeb"/>
        <w:spacing w:before="0" w:beforeAutospacing="0" w:after="0" w:afterAutospacing="0" w:line="360" w:lineRule="auto"/>
        <w:ind w:firstLine="540"/>
        <w:jc w:val="both"/>
        <w:rPr>
          <w:rFonts w:ascii="GHEA Grapalat" w:hAnsi="GHEA Grapalat"/>
          <w:lang w:val="hy-AM"/>
        </w:rPr>
      </w:pPr>
    </w:p>
    <w:p w:rsidR="001B30FB" w:rsidRPr="002807B2" w:rsidRDefault="001B30FB" w:rsidP="001B30FB">
      <w:pPr>
        <w:pStyle w:val="NormalWeb"/>
        <w:spacing w:before="0" w:beforeAutospacing="0" w:after="0" w:afterAutospacing="0" w:line="360" w:lineRule="auto"/>
        <w:ind w:firstLine="540"/>
        <w:jc w:val="both"/>
        <w:rPr>
          <w:rFonts w:ascii="GHEA Grapalat" w:hAnsi="GHEA Grapalat"/>
          <w:lang w:val="hy-AM"/>
        </w:rPr>
      </w:pPr>
    </w:p>
    <w:p w:rsidR="001B30FB" w:rsidRPr="002807B2" w:rsidRDefault="001B30FB" w:rsidP="001B30FB">
      <w:pPr>
        <w:tabs>
          <w:tab w:val="left" w:pos="810"/>
        </w:tabs>
        <w:spacing w:after="0" w:line="360" w:lineRule="auto"/>
        <w:ind w:firstLine="720"/>
        <w:jc w:val="both"/>
        <w:rPr>
          <w:rFonts w:ascii="GHEA Grapalat" w:hAnsi="GHEA Grapalat" w:cs="GHEA Grapalat"/>
          <w:b/>
          <w:sz w:val="24"/>
          <w:szCs w:val="24"/>
        </w:rPr>
      </w:pPr>
      <w:r w:rsidRPr="002807B2">
        <w:rPr>
          <w:rFonts w:ascii="GHEA Grapalat" w:hAnsi="GHEA Grapalat" w:cs="GHEA Grapalat"/>
          <w:b/>
          <w:sz w:val="24"/>
          <w:szCs w:val="24"/>
        </w:rPr>
        <w:t>Նախագծի մշակման գործընթացում ներգրավված ինստիտուտները</w:t>
      </w:r>
    </w:p>
    <w:p w:rsidR="001B30FB" w:rsidRPr="002807B2" w:rsidRDefault="001B30FB" w:rsidP="001B30FB">
      <w:pPr>
        <w:pStyle w:val="NormalWeb"/>
        <w:spacing w:before="0" w:beforeAutospacing="0" w:after="0" w:afterAutospacing="0" w:line="360" w:lineRule="auto"/>
        <w:ind w:firstLine="720"/>
        <w:jc w:val="both"/>
        <w:rPr>
          <w:rFonts w:ascii="GHEA Grapalat" w:hAnsi="GHEA Grapalat"/>
          <w:b/>
          <w:lang w:val="hy-AM"/>
        </w:rPr>
      </w:pPr>
      <w:r w:rsidRPr="002807B2">
        <w:rPr>
          <w:rFonts w:ascii="GHEA Grapalat" w:hAnsi="GHEA Grapalat"/>
          <w:lang w:val="hy-AM"/>
        </w:rPr>
        <w:t>Նախագիծը մշակվել է ՀՀ ֆինանսների նախարարության կողմից:</w:t>
      </w:r>
    </w:p>
    <w:p w:rsidR="001B30FB" w:rsidRPr="002807B2" w:rsidRDefault="001B30FB" w:rsidP="001B30FB">
      <w:pPr>
        <w:shd w:val="clear" w:color="auto" w:fill="FFFFFF"/>
        <w:tabs>
          <w:tab w:val="left" w:pos="851"/>
          <w:tab w:val="left" w:pos="1080"/>
        </w:tabs>
        <w:spacing w:after="0" w:line="360" w:lineRule="auto"/>
        <w:ind w:firstLine="540"/>
        <w:jc w:val="both"/>
        <w:rPr>
          <w:rFonts w:ascii="GHEA Grapalat" w:hAnsi="GHEA Grapalat"/>
          <w:color w:val="000000"/>
          <w:sz w:val="24"/>
          <w:szCs w:val="24"/>
          <w:lang w:eastAsia="hy-AM"/>
        </w:rPr>
      </w:pPr>
    </w:p>
    <w:p w:rsidR="001B30FB" w:rsidRPr="002807B2" w:rsidRDefault="001B30FB" w:rsidP="001B30FB">
      <w:pPr>
        <w:spacing w:after="0" w:line="360" w:lineRule="auto"/>
        <w:ind w:firstLine="720"/>
        <w:jc w:val="both"/>
        <w:rPr>
          <w:rFonts w:ascii="GHEA Grapalat" w:hAnsi="GHEA Grapalat"/>
          <w:b/>
          <w:sz w:val="24"/>
          <w:szCs w:val="24"/>
        </w:rPr>
      </w:pPr>
      <w:r w:rsidRPr="002807B2">
        <w:rPr>
          <w:rFonts w:ascii="GHEA Grapalat" w:hAnsi="GHEA Grapalat"/>
          <w:b/>
          <w:sz w:val="24"/>
          <w:szCs w:val="24"/>
        </w:rPr>
        <w:t>Նախագծի</w:t>
      </w:r>
      <w:r w:rsidRPr="002807B2">
        <w:rPr>
          <w:rFonts w:ascii="GHEA Grapalat" w:hAnsi="GHEA Grapalat" w:cs="Sylfaen"/>
          <w:b/>
          <w:sz w:val="24"/>
          <w:szCs w:val="24"/>
        </w:rPr>
        <w:t xml:space="preserve"> </w:t>
      </w:r>
      <w:r w:rsidRPr="002807B2">
        <w:rPr>
          <w:rFonts w:ascii="GHEA Grapalat" w:hAnsi="GHEA Grapalat"/>
          <w:b/>
          <w:color w:val="000000"/>
          <w:sz w:val="24"/>
          <w:szCs w:val="24"/>
        </w:rPr>
        <w:t>ընդունման կապակցությամբ</w:t>
      </w:r>
      <w:r w:rsidRPr="002807B2">
        <w:rPr>
          <w:rFonts w:ascii="GHEA Grapalat" w:hAnsi="GHEA Grapalat"/>
          <w:color w:val="000000"/>
          <w:sz w:val="24"/>
          <w:szCs w:val="24"/>
        </w:rPr>
        <w:t xml:space="preserve"> </w:t>
      </w:r>
      <w:r w:rsidRPr="002807B2">
        <w:rPr>
          <w:rFonts w:ascii="GHEA Grapalat" w:hAnsi="GHEA Grapalat"/>
          <w:b/>
          <w:sz w:val="24"/>
          <w:szCs w:val="24"/>
        </w:rPr>
        <w:t xml:space="preserve">պետական բյուջեի եկամուտներում և ծախսերում սպասվելիք փոփոխությունների վերաբերյալ. </w:t>
      </w:r>
    </w:p>
    <w:p w:rsidR="001B30FB" w:rsidRPr="002807B2" w:rsidRDefault="001B30FB" w:rsidP="001B30FB">
      <w:pPr>
        <w:spacing w:after="0" w:line="360" w:lineRule="auto"/>
        <w:ind w:firstLine="720"/>
        <w:jc w:val="both"/>
        <w:rPr>
          <w:rFonts w:ascii="GHEA Grapalat" w:hAnsi="GHEA Grapalat"/>
          <w:noProof/>
          <w:sz w:val="24"/>
          <w:szCs w:val="24"/>
          <w:lang w:val="pt-BR"/>
        </w:rPr>
      </w:pPr>
      <w:r w:rsidRPr="002807B2">
        <w:rPr>
          <w:rFonts w:ascii="GHEA Grapalat" w:hAnsi="GHEA Grapalat"/>
          <w:sz w:val="24"/>
          <w:szCs w:val="24"/>
        </w:rPr>
        <w:t>Նախագծի</w:t>
      </w:r>
      <w:r w:rsidRPr="002807B2">
        <w:rPr>
          <w:rFonts w:ascii="GHEA Grapalat" w:hAnsi="GHEA Grapalat"/>
          <w:noProof/>
          <w:sz w:val="24"/>
          <w:szCs w:val="24"/>
          <w:lang w:val="af-ZA"/>
        </w:rPr>
        <w:t xml:space="preserve"> </w:t>
      </w:r>
      <w:r w:rsidRPr="002807B2">
        <w:rPr>
          <w:rFonts w:ascii="GHEA Grapalat" w:hAnsi="GHEA Grapalat"/>
          <w:noProof/>
          <w:sz w:val="24"/>
          <w:szCs w:val="24"/>
        </w:rPr>
        <w:t>ընդունման</w:t>
      </w:r>
      <w:r w:rsidRPr="002807B2">
        <w:rPr>
          <w:rFonts w:ascii="GHEA Grapalat" w:hAnsi="GHEA Grapalat"/>
          <w:noProof/>
          <w:sz w:val="24"/>
          <w:szCs w:val="24"/>
          <w:lang w:val="pt-BR"/>
        </w:rPr>
        <w:t xml:space="preserve"> </w:t>
      </w:r>
      <w:r w:rsidRPr="002807B2">
        <w:rPr>
          <w:rFonts w:ascii="GHEA Grapalat" w:hAnsi="GHEA Grapalat"/>
          <w:noProof/>
          <w:sz w:val="24"/>
          <w:szCs w:val="24"/>
        </w:rPr>
        <w:t>կապակցությամբ</w:t>
      </w:r>
      <w:r w:rsidRPr="002807B2">
        <w:rPr>
          <w:rFonts w:ascii="GHEA Grapalat" w:hAnsi="GHEA Grapalat"/>
          <w:noProof/>
          <w:sz w:val="24"/>
          <w:szCs w:val="24"/>
          <w:lang w:val="pt-BR"/>
        </w:rPr>
        <w:t xml:space="preserve"> </w:t>
      </w:r>
      <w:r w:rsidRPr="002807B2">
        <w:rPr>
          <w:rFonts w:ascii="GHEA Grapalat" w:hAnsi="GHEA Grapalat"/>
          <w:noProof/>
          <w:sz w:val="24"/>
          <w:szCs w:val="24"/>
        </w:rPr>
        <w:t>պետական</w:t>
      </w:r>
      <w:r w:rsidRPr="002807B2">
        <w:rPr>
          <w:rFonts w:ascii="GHEA Grapalat" w:hAnsi="GHEA Grapalat"/>
          <w:noProof/>
          <w:sz w:val="24"/>
          <w:szCs w:val="24"/>
          <w:lang w:val="pt-BR"/>
        </w:rPr>
        <w:t xml:space="preserve"> </w:t>
      </w:r>
      <w:r w:rsidRPr="002807B2">
        <w:rPr>
          <w:rFonts w:ascii="GHEA Grapalat" w:hAnsi="GHEA Grapalat"/>
          <w:noProof/>
          <w:sz w:val="24"/>
          <w:szCs w:val="24"/>
        </w:rPr>
        <w:t>բյուջեում</w:t>
      </w:r>
      <w:r w:rsidRPr="002807B2">
        <w:rPr>
          <w:rFonts w:ascii="GHEA Grapalat" w:hAnsi="GHEA Grapalat"/>
          <w:noProof/>
          <w:sz w:val="24"/>
          <w:szCs w:val="24"/>
          <w:lang w:val="pt-BR"/>
        </w:rPr>
        <w:t xml:space="preserve"> </w:t>
      </w:r>
      <w:r w:rsidRPr="002807B2">
        <w:rPr>
          <w:rFonts w:ascii="GHEA Grapalat" w:hAnsi="GHEA Grapalat"/>
          <w:noProof/>
          <w:sz w:val="24"/>
          <w:szCs w:val="24"/>
        </w:rPr>
        <w:t>եկամուտների էական</w:t>
      </w:r>
      <w:r w:rsidRPr="002807B2">
        <w:rPr>
          <w:rFonts w:ascii="GHEA Grapalat" w:hAnsi="GHEA Grapalat"/>
          <w:noProof/>
          <w:sz w:val="24"/>
          <w:szCs w:val="24"/>
          <w:lang w:val="pt-BR"/>
        </w:rPr>
        <w:t xml:space="preserve"> </w:t>
      </w:r>
      <w:r w:rsidRPr="002807B2">
        <w:rPr>
          <w:rFonts w:ascii="GHEA Grapalat" w:hAnsi="GHEA Grapalat"/>
          <w:noProof/>
          <w:sz w:val="24"/>
          <w:szCs w:val="24"/>
        </w:rPr>
        <w:t>ավելացում</w:t>
      </w:r>
      <w:r w:rsidRPr="002807B2">
        <w:rPr>
          <w:rFonts w:ascii="GHEA Grapalat" w:hAnsi="GHEA Grapalat"/>
          <w:noProof/>
          <w:sz w:val="24"/>
          <w:szCs w:val="24"/>
          <w:lang w:val="pt-BR"/>
        </w:rPr>
        <w:t xml:space="preserve"> </w:t>
      </w:r>
      <w:r w:rsidRPr="002807B2">
        <w:rPr>
          <w:rFonts w:ascii="GHEA Grapalat" w:hAnsi="GHEA Grapalat"/>
          <w:noProof/>
          <w:sz w:val="24"/>
          <w:szCs w:val="24"/>
        </w:rPr>
        <w:t>կամ</w:t>
      </w:r>
      <w:r w:rsidRPr="002807B2">
        <w:rPr>
          <w:rFonts w:ascii="GHEA Grapalat" w:hAnsi="GHEA Grapalat"/>
          <w:noProof/>
          <w:sz w:val="24"/>
          <w:szCs w:val="24"/>
          <w:lang w:val="pt-BR"/>
        </w:rPr>
        <w:t xml:space="preserve"> </w:t>
      </w:r>
      <w:r w:rsidRPr="002807B2">
        <w:rPr>
          <w:rFonts w:ascii="GHEA Grapalat" w:hAnsi="GHEA Grapalat"/>
          <w:noProof/>
          <w:sz w:val="24"/>
          <w:szCs w:val="24"/>
        </w:rPr>
        <w:t>նվազեցում</w:t>
      </w:r>
      <w:r w:rsidRPr="002807B2">
        <w:rPr>
          <w:rFonts w:ascii="GHEA Grapalat" w:hAnsi="GHEA Grapalat"/>
          <w:noProof/>
          <w:sz w:val="24"/>
          <w:szCs w:val="24"/>
          <w:lang w:val="pt-BR"/>
        </w:rPr>
        <w:t xml:space="preserve"> </w:t>
      </w:r>
      <w:r w:rsidRPr="002807B2">
        <w:rPr>
          <w:rFonts w:ascii="GHEA Grapalat" w:hAnsi="GHEA Grapalat"/>
          <w:noProof/>
          <w:sz w:val="24"/>
          <w:szCs w:val="24"/>
        </w:rPr>
        <w:t>չի</w:t>
      </w:r>
      <w:r w:rsidRPr="002807B2">
        <w:rPr>
          <w:rFonts w:ascii="GHEA Grapalat" w:hAnsi="GHEA Grapalat"/>
          <w:noProof/>
          <w:sz w:val="24"/>
          <w:szCs w:val="24"/>
          <w:lang w:val="pt-BR"/>
        </w:rPr>
        <w:t xml:space="preserve"> </w:t>
      </w:r>
      <w:r w:rsidRPr="002807B2">
        <w:rPr>
          <w:rFonts w:ascii="GHEA Grapalat" w:hAnsi="GHEA Grapalat"/>
          <w:noProof/>
          <w:sz w:val="24"/>
          <w:szCs w:val="24"/>
        </w:rPr>
        <w:t>նախատեսվում</w:t>
      </w:r>
      <w:r w:rsidRPr="002807B2">
        <w:rPr>
          <w:rFonts w:ascii="GHEA Grapalat" w:hAnsi="GHEA Grapalat"/>
          <w:noProof/>
          <w:sz w:val="24"/>
          <w:szCs w:val="24"/>
          <w:lang w:val="pt-BR"/>
        </w:rPr>
        <w:t xml:space="preserve">: </w:t>
      </w:r>
    </w:p>
    <w:p w:rsidR="001B30FB" w:rsidRPr="002807B2" w:rsidRDefault="001B30FB" w:rsidP="001B30FB">
      <w:pPr>
        <w:spacing w:after="0" w:line="360" w:lineRule="auto"/>
        <w:ind w:firstLine="720"/>
        <w:jc w:val="both"/>
        <w:rPr>
          <w:rFonts w:ascii="GHEA Grapalat" w:hAnsi="GHEA Grapalat"/>
          <w:noProof/>
          <w:sz w:val="24"/>
          <w:szCs w:val="24"/>
          <w:lang w:val="pt-BR"/>
        </w:rPr>
      </w:pPr>
      <w:r w:rsidRPr="002807B2">
        <w:rPr>
          <w:rFonts w:ascii="GHEA Grapalat" w:hAnsi="GHEA Grapalat"/>
          <w:noProof/>
          <w:sz w:val="24"/>
          <w:szCs w:val="24"/>
          <w:lang w:val="pt-BR"/>
        </w:rPr>
        <w:t>ՀՀ 2025 թվականի պետական բյուջե</w:t>
      </w:r>
      <w:r w:rsidRPr="002807B2">
        <w:rPr>
          <w:rFonts w:ascii="GHEA Grapalat" w:hAnsi="GHEA Grapalat"/>
          <w:noProof/>
          <w:sz w:val="24"/>
          <w:szCs w:val="24"/>
        </w:rPr>
        <w:t>ով</w:t>
      </w:r>
      <w:r w:rsidRPr="002807B2">
        <w:rPr>
          <w:rFonts w:ascii="GHEA Grapalat" w:hAnsi="GHEA Grapalat"/>
          <w:noProof/>
          <w:sz w:val="24"/>
          <w:szCs w:val="24"/>
          <w:lang w:val="pt-BR"/>
        </w:rPr>
        <w:t xml:space="preserve"> </w:t>
      </w:r>
      <w:r w:rsidRPr="002807B2">
        <w:rPr>
          <w:rFonts w:ascii="GHEA Grapalat" w:hAnsi="GHEA Grapalat"/>
          <w:noProof/>
          <w:sz w:val="24"/>
          <w:szCs w:val="24"/>
        </w:rPr>
        <w:t>մ</w:t>
      </w:r>
      <w:r w:rsidRPr="002807B2">
        <w:rPr>
          <w:rFonts w:ascii="GHEA Grapalat" w:hAnsi="GHEA Grapalat"/>
          <w:noProof/>
          <w:sz w:val="24"/>
          <w:szCs w:val="24"/>
          <w:lang w:val="pt-BR"/>
        </w:rPr>
        <w:t>ասնակցային բյուջետավորմա</w:t>
      </w:r>
      <w:r w:rsidRPr="002807B2">
        <w:rPr>
          <w:rFonts w:ascii="GHEA Grapalat" w:hAnsi="GHEA Grapalat"/>
          <w:noProof/>
          <w:sz w:val="24"/>
          <w:szCs w:val="24"/>
        </w:rPr>
        <w:t>մբ</w:t>
      </w:r>
      <w:r w:rsidRPr="002807B2">
        <w:rPr>
          <w:rFonts w:ascii="GHEA Grapalat" w:hAnsi="GHEA Grapalat"/>
          <w:noProof/>
          <w:sz w:val="24"/>
          <w:szCs w:val="24"/>
          <w:lang w:val="pt-BR"/>
        </w:rPr>
        <w:t xml:space="preserve"> </w:t>
      </w:r>
      <w:r w:rsidRPr="002807B2">
        <w:rPr>
          <w:rFonts w:ascii="GHEA Grapalat" w:hAnsi="GHEA Grapalat"/>
          <w:noProof/>
          <w:sz w:val="24"/>
          <w:szCs w:val="24"/>
        </w:rPr>
        <w:t>ձևավորված</w:t>
      </w:r>
      <w:r w:rsidRPr="002807B2">
        <w:rPr>
          <w:rFonts w:ascii="GHEA Grapalat" w:hAnsi="GHEA Grapalat"/>
          <w:noProof/>
          <w:sz w:val="24"/>
          <w:szCs w:val="24"/>
          <w:lang w:val="pt-BR"/>
        </w:rPr>
        <w:t xml:space="preserve"> ծրագրերի իրականացման համար </w:t>
      </w:r>
      <w:r w:rsidRPr="002807B2">
        <w:rPr>
          <w:rFonts w:ascii="GHEA Grapalat" w:hAnsi="GHEA Grapalat"/>
          <w:noProof/>
          <w:sz w:val="24"/>
          <w:szCs w:val="24"/>
        </w:rPr>
        <w:t>ընդհանուր</w:t>
      </w:r>
      <w:r w:rsidRPr="002807B2">
        <w:rPr>
          <w:rFonts w:ascii="GHEA Grapalat" w:hAnsi="GHEA Grapalat"/>
          <w:noProof/>
          <w:sz w:val="24"/>
          <w:szCs w:val="24"/>
          <w:lang w:val="pt-BR"/>
        </w:rPr>
        <w:t xml:space="preserve"> </w:t>
      </w:r>
      <w:r w:rsidRPr="002807B2">
        <w:rPr>
          <w:rFonts w:ascii="GHEA Grapalat" w:hAnsi="GHEA Grapalat"/>
          <w:noProof/>
          <w:sz w:val="24"/>
          <w:szCs w:val="24"/>
        </w:rPr>
        <w:t>գումարով</w:t>
      </w:r>
      <w:r w:rsidRPr="002807B2">
        <w:rPr>
          <w:rFonts w:ascii="GHEA Grapalat" w:hAnsi="GHEA Grapalat"/>
          <w:noProof/>
          <w:sz w:val="24"/>
          <w:szCs w:val="24"/>
          <w:lang w:val="pt-BR"/>
        </w:rPr>
        <w:t xml:space="preserve"> 1.0 մլրդ </w:t>
      </w:r>
      <w:r w:rsidRPr="002807B2">
        <w:rPr>
          <w:rFonts w:ascii="GHEA Grapalat" w:hAnsi="GHEA Grapalat"/>
          <w:noProof/>
          <w:sz w:val="24"/>
          <w:szCs w:val="24"/>
        </w:rPr>
        <w:t>դրամի</w:t>
      </w:r>
      <w:r w:rsidRPr="002807B2">
        <w:rPr>
          <w:rFonts w:ascii="GHEA Grapalat" w:hAnsi="GHEA Grapalat"/>
          <w:noProof/>
          <w:sz w:val="24"/>
          <w:szCs w:val="24"/>
          <w:lang w:val="pt-BR"/>
        </w:rPr>
        <w:t xml:space="preserve"> </w:t>
      </w:r>
      <w:r w:rsidRPr="002807B2">
        <w:rPr>
          <w:rFonts w:ascii="GHEA Grapalat" w:hAnsi="GHEA Grapalat"/>
          <w:noProof/>
          <w:sz w:val="24"/>
          <w:szCs w:val="24"/>
        </w:rPr>
        <w:t>չափով</w:t>
      </w:r>
      <w:r w:rsidRPr="002807B2">
        <w:rPr>
          <w:rFonts w:ascii="GHEA Grapalat" w:hAnsi="GHEA Grapalat"/>
          <w:noProof/>
          <w:sz w:val="24"/>
          <w:szCs w:val="24"/>
          <w:lang w:val="pt-BR"/>
        </w:rPr>
        <w:t xml:space="preserve"> </w:t>
      </w:r>
      <w:r w:rsidRPr="002807B2">
        <w:rPr>
          <w:rFonts w:ascii="GHEA Grapalat" w:hAnsi="GHEA Grapalat"/>
          <w:noProof/>
          <w:sz w:val="24"/>
          <w:szCs w:val="24"/>
        </w:rPr>
        <w:t>նախատեսվ</w:t>
      </w:r>
      <w:r w:rsidRPr="002807B2">
        <w:rPr>
          <w:rFonts w:ascii="GHEA Grapalat" w:hAnsi="GHEA Grapalat"/>
          <w:noProof/>
          <w:sz w:val="24"/>
          <w:szCs w:val="24"/>
          <w:lang w:val="en-US"/>
        </w:rPr>
        <w:t>ած</w:t>
      </w:r>
      <w:r w:rsidRPr="002807B2">
        <w:rPr>
          <w:rFonts w:ascii="GHEA Grapalat" w:hAnsi="GHEA Grapalat"/>
          <w:noProof/>
          <w:sz w:val="24"/>
          <w:szCs w:val="24"/>
          <w:lang w:val="pt-BR"/>
        </w:rPr>
        <w:t xml:space="preserve"> </w:t>
      </w:r>
      <w:r w:rsidRPr="002807B2">
        <w:rPr>
          <w:rFonts w:ascii="GHEA Grapalat" w:hAnsi="GHEA Grapalat"/>
          <w:noProof/>
          <w:sz w:val="24"/>
          <w:szCs w:val="24"/>
        </w:rPr>
        <w:t>է</w:t>
      </w:r>
      <w:r w:rsidRPr="002807B2">
        <w:rPr>
          <w:rFonts w:ascii="GHEA Grapalat" w:hAnsi="GHEA Grapalat"/>
          <w:noProof/>
          <w:sz w:val="24"/>
          <w:szCs w:val="24"/>
          <w:lang w:val="pt-BR"/>
        </w:rPr>
        <w:t xml:space="preserve"> </w:t>
      </w:r>
      <w:r w:rsidRPr="002807B2">
        <w:rPr>
          <w:rFonts w:ascii="GHEA Grapalat" w:hAnsi="GHEA Grapalat"/>
          <w:noProof/>
          <w:sz w:val="24"/>
          <w:szCs w:val="24"/>
        </w:rPr>
        <w:t>համայնքներին</w:t>
      </w:r>
      <w:r w:rsidRPr="002807B2">
        <w:rPr>
          <w:rFonts w:ascii="GHEA Grapalat" w:hAnsi="GHEA Grapalat"/>
          <w:noProof/>
          <w:sz w:val="24"/>
          <w:szCs w:val="24"/>
          <w:lang w:val="pt-BR"/>
        </w:rPr>
        <w:t xml:space="preserve"> </w:t>
      </w:r>
      <w:r w:rsidRPr="002807B2">
        <w:rPr>
          <w:rFonts w:ascii="GHEA Grapalat" w:hAnsi="GHEA Grapalat"/>
          <w:noProof/>
          <w:sz w:val="24"/>
          <w:szCs w:val="24"/>
        </w:rPr>
        <w:t>սուբվենցիաների</w:t>
      </w:r>
      <w:r w:rsidRPr="002807B2">
        <w:rPr>
          <w:rFonts w:ascii="GHEA Grapalat" w:hAnsi="GHEA Grapalat"/>
          <w:noProof/>
          <w:sz w:val="24"/>
          <w:szCs w:val="24"/>
          <w:lang w:val="pt-BR"/>
        </w:rPr>
        <w:t xml:space="preserve"> </w:t>
      </w:r>
      <w:r w:rsidRPr="002807B2">
        <w:rPr>
          <w:rFonts w:ascii="GHEA Grapalat" w:hAnsi="GHEA Grapalat"/>
          <w:noProof/>
          <w:sz w:val="24"/>
          <w:szCs w:val="24"/>
        </w:rPr>
        <w:t>տրամադրում</w:t>
      </w:r>
      <w:r w:rsidRPr="002807B2">
        <w:rPr>
          <w:rFonts w:ascii="GHEA Grapalat" w:hAnsi="GHEA Grapalat"/>
          <w:noProof/>
          <w:sz w:val="24"/>
          <w:szCs w:val="24"/>
          <w:lang w:val="pt-BR"/>
        </w:rPr>
        <w:t xml:space="preserve">: </w:t>
      </w:r>
    </w:p>
    <w:p w:rsidR="001B30FB" w:rsidRPr="002807B2" w:rsidRDefault="001B30FB" w:rsidP="001B30FB">
      <w:pPr>
        <w:spacing w:after="0" w:line="360" w:lineRule="auto"/>
        <w:ind w:firstLine="720"/>
        <w:jc w:val="both"/>
        <w:rPr>
          <w:rFonts w:ascii="GHEA Grapalat" w:hAnsi="GHEA Grapalat"/>
          <w:noProof/>
          <w:color w:val="FF0000"/>
          <w:sz w:val="24"/>
          <w:szCs w:val="24"/>
        </w:rPr>
      </w:pPr>
    </w:p>
    <w:p w:rsidR="001B30FB" w:rsidRPr="002807B2" w:rsidRDefault="001B30FB" w:rsidP="001B30FB">
      <w:pPr>
        <w:spacing w:after="0" w:line="360" w:lineRule="auto"/>
        <w:ind w:firstLine="720"/>
        <w:jc w:val="both"/>
        <w:rPr>
          <w:rFonts w:ascii="GHEA Grapalat" w:hAnsi="GHEA Grapalat"/>
          <w:b/>
          <w:sz w:val="24"/>
          <w:szCs w:val="24"/>
        </w:rPr>
      </w:pPr>
      <w:r w:rsidRPr="002807B2">
        <w:rPr>
          <w:rFonts w:ascii="GHEA Grapalat" w:hAnsi="GHEA Grapalat"/>
          <w:b/>
          <w:sz w:val="24"/>
          <w:szCs w:val="24"/>
        </w:rPr>
        <w:t xml:space="preserve">Կապը ռազմավարական փաստաթղթերի հետ </w:t>
      </w:r>
    </w:p>
    <w:p w:rsidR="001B30FB" w:rsidRPr="002807B2" w:rsidRDefault="001B30FB" w:rsidP="001B30FB">
      <w:pPr>
        <w:pStyle w:val="NormalWeb"/>
        <w:spacing w:after="0" w:line="360" w:lineRule="auto"/>
        <w:ind w:firstLine="851"/>
        <w:jc w:val="both"/>
        <w:rPr>
          <w:rFonts w:ascii="GHEA Grapalat" w:hAnsi="GHEA Grapalat"/>
          <w:color w:val="000000"/>
          <w:lang w:val="hy-AM"/>
        </w:rPr>
      </w:pPr>
      <w:r w:rsidRPr="002807B2">
        <w:rPr>
          <w:rFonts w:ascii="GHEA Grapalat" w:hAnsi="GHEA Grapalat"/>
          <w:lang w:val="hy-AM"/>
        </w:rPr>
        <w:t xml:space="preserve">Նախագիծը բխում է Կառավարության 2021 թվականի նոյեմբերի 18-ի </w:t>
      </w:r>
      <w:r w:rsidRPr="002807B2">
        <w:rPr>
          <w:rFonts w:ascii="GHEA Grapalat" w:hAnsi="GHEA Grapalat" w:cs="Sylfaen"/>
          <w:lang w:val="hy-AM"/>
        </w:rPr>
        <w:t>«</w:t>
      </w:r>
      <w:r w:rsidRPr="002807B2">
        <w:rPr>
          <w:rFonts w:ascii="GHEA Grapalat" w:hAnsi="GHEA Grapalat"/>
          <w:lang w:val="hy-AM"/>
        </w:rPr>
        <w:t>Հայաստանի Հանրապետության կառավարության 2021-2026 թվականների գործունեության միջոցառումների ծրագիրը հաստատելու մասին</w:t>
      </w:r>
      <w:r w:rsidRPr="002807B2">
        <w:rPr>
          <w:rFonts w:ascii="GHEA Grapalat" w:hAnsi="GHEA Grapalat" w:cs="Sylfaen"/>
          <w:lang w:val="hy-AM"/>
        </w:rPr>
        <w:t xml:space="preserve">» </w:t>
      </w:r>
      <w:r w:rsidRPr="002807B2">
        <w:rPr>
          <w:rFonts w:ascii="GHEA Grapalat" w:hAnsi="GHEA Grapalat"/>
          <w:lang w:val="hy-AM"/>
        </w:rPr>
        <w:t xml:space="preserve">N 1902-Լ որոշման N 1 հավելվածի ՀՀ ֆինանսների նախարարության իրավասությանը վերաբերող հատվածի 3-րդ </w:t>
      </w:r>
      <w:r w:rsidRPr="002807B2">
        <w:rPr>
          <w:rFonts w:ascii="GHEA Grapalat" w:hAnsi="GHEA Grapalat" w:cs="Sylfaen"/>
          <w:lang w:val="hy-AM"/>
        </w:rPr>
        <w:t>կետով՝ «</w:t>
      </w:r>
      <w:r w:rsidRPr="002807B2">
        <w:rPr>
          <w:rFonts w:ascii="GHEA Grapalat" w:hAnsi="GHEA Grapalat"/>
          <w:lang w:val="hy-AM"/>
        </w:rPr>
        <w:t>Մասնակցային բյուջետավորման գործընթացի ներդրում</w:t>
      </w:r>
      <w:r w:rsidRPr="002807B2">
        <w:rPr>
          <w:rFonts w:ascii="GHEA Grapalat" w:hAnsi="GHEA Grapalat" w:cs="Sylfaen"/>
          <w:lang w:val="hy-AM"/>
        </w:rPr>
        <w:t xml:space="preserve">» </w:t>
      </w:r>
      <w:r w:rsidRPr="002807B2">
        <w:rPr>
          <w:rFonts w:ascii="GHEA Grapalat" w:hAnsi="GHEA Grapalat"/>
          <w:lang w:val="hy-AM"/>
        </w:rPr>
        <w:t xml:space="preserve">նախատեսված պահանջներից, ինչպես նաև </w:t>
      </w:r>
      <w:r w:rsidRPr="002807B2">
        <w:rPr>
          <w:rFonts w:ascii="GHEA Grapalat" w:hAnsi="GHEA Grapalat" w:cs="Sylfaen"/>
          <w:lang w:val="hy-AM"/>
        </w:rPr>
        <w:t xml:space="preserve">Կառավարության 2021 թվականի օգոստոսի 18-ի «Հայաստանի Հանրապետության կառավարության ծրագրի մասին» N 1363-Ա որոշմամբ հավանության արժանացած «Հայաստանի Հանրապետության 2021-2026թթ. ծրագրի» </w:t>
      </w:r>
      <w:r w:rsidRPr="002807B2">
        <w:rPr>
          <w:rFonts w:ascii="GHEA Grapalat" w:hAnsi="GHEA Grapalat"/>
          <w:lang w:val="hy-AM"/>
        </w:rPr>
        <w:t xml:space="preserve">6.6-րդ «Տարածքային կառավարում և տեղական ինքնակառավարում» կետով նախատեսված՝ համայնքների տնտեսական և սոցիալական ենթակառուցվածքների զարգացմանանն ուղղված սուբվենցիաների տրամադրման գործընթացի բարելավման և շարունակության ապահոմման </w:t>
      </w:r>
      <w:r w:rsidRPr="002807B2">
        <w:rPr>
          <w:rFonts w:ascii="GHEA Grapalat" w:hAnsi="GHEA Grapalat"/>
          <w:color w:val="000000"/>
          <w:lang w:val="hy-AM"/>
        </w:rPr>
        <w:t>պահանջներից:</w:t>
      </w:r>
    </w:p>
    <w:p w:rsidR="001B30FB" w:rsidRPr="002807B2" w:rsidRDefault="001B30FB" w:rsidP="001B30FB">
      <w:pPr>
        <w:tabs>
          <w:tab w:val="left" w:pos="1565"/>
        </w:tabs>
        <w:jc w:val="center"/>
        <w:rPr>
          <w:rFonts w:ascii="GHEA Grapalat" w:hAnsi="GHEA Grapalat"/>
          <w:sz w:val="24"/>
          <w:szCs w:val="24"/>
          <w:lang w:eastAsia="hy-AM"/>
        </w:rPr>
      </w:pPr>
    </w:p>
    <w:p w:rsidR="00B72C2F" w:rsidRPr="001B30FB" w:rsidRDefault="00B72C2F" w:rsidP="001B30FB">
      <w:bookmarkStart w:id="0" w:name="_GoBack"/>
      <w:bookmarkEnd w:id="0"/>
    </w:p>
    <w:sectPr w:rsidR="00B72C2F" w:rsidRPr="001B30FB" w:rsidSect="003C6EA5">
      <w:pgSz w:w="11906" w:h="16838"/>
      <w:pgMar w:top="630" w:right="746" w:bottom="540" w:left="1170"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2876" w:rsidRDefault="00E32876" w:rsidP="006E388A">
      <w:pPr>
        <w:spacing w:after="0" w:line="240" w:lineRule="auto"/>
      </w:pPr>
      <w:r>
        <w:separator/>
      </w:r>
    </w:p>
  </w:endnote>
  <w:endnote w:type="continuationSeparator" w:id="0">
    <w:p w:rsidR="00E32876" w:rsidRDefault="00E32876" w:rsidP="006E38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2876" w:rsidRDefault="00E32876" w:rsidP="006E388A">
      <w:pPr>
        <w:spacing w:after="0" w:line="240" w:lineRule="auto"/>
      </w:pPr>
      <w:r>
        <w:separator/>
      </w:r>
    </w:p>
  </w:footnote>
  <w:footnote w:type="continuationSeparator" w:id="0">
    <w:p w:rsidR="00E32876" w:rsidRDefault="00E32876" w:rsidP="006E388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4763"/>
    <w:rsid w:val="00002CD6"/>
    <w:rsid w:val="00003534"/>
    <w:rsid w:val="00023FA3"/>
    <w:rsid w:val="000576C9"/>
    <w:rsid w:val="00061213"/>
    <w:rsid w:val="00062BE6"/>
    <w:rsid w:val="0006415C"/>
    <w:rsid w:val="00066204"/>
    <w:rsid w:val="00067F96"/>
    <w:rsid w:val="000729F8"/>
    <w:rsid w:val="000742C9"/>
    <w:rsid w:val="00075C26"/>
    <w:rsid w:val="0007689C"/>
    <w:rsid w:val="00086328"/>
    <w:rsid w:val="00086C44"/>
    <w:rsid w:val="00091B75"/>
    <w:rsid w:val="0009443D"/>
    <w:rsid w:val="00097182"/>
    <w:rsid w:val="000971E4"/>
    <w:rsid w:val="000A0E4B"/>
    <w:rsid w:val="000A2DD8"/>
    <w:rsid w:val="000A6502"/>
    <w:rsid w:val="000B0193"/>
    <w:rsid w:val="000B2D27"/>
    <w:rsid w:val="000B3614"/>
    <w:rsid w:val="000B6784"/>
    <w:rsid w:val="000B730D"/>
    <w:rsid w:val="000C6054"/>
    <w:rsid w:val="000C7458"/>
    <w:rsid w:val="000D4208"/>
    <w:rsid w:val="000D5D56"/>
    <w:rsid w:val="000D67B7"/>
    <w:rsid w:val="000E2B6A"/>
    <w:rsid w:val="000E4801"/>
    <w:rsid w:val="000F3E0F"/>
    <w:rsid w:val="000F7369"/>
    <w:rsid w:val="001112CE"/>
    <w:rsid w:val="00111326"/>
    <w:rsid w:val="00115098"/>
    <w:rsid w:val="00116FD1"/>
    <w:rsid w:val="00134E13"/>
    <w:rsid w:val="001423A0"/>
    <w:rsid w:val="001459FE"/>
    <w:rsid w:val="0014745A"/>
    <w:rsid w:val="00153475"/>
    <w:rsid w:val="00154E16"/>
    <w:rsid w:val="00155707"/>
    <w:rsid w:val="00163338"/>
    <w:rsid w:val="00163925"/>
    <w:rsid w:val="00172EF7"/>
    <w:rsid w:val="00177192"/>
    <w:rsid w:val="001829BC"/>
    <w:rsid w:val="00185BD0"/>
    <w:rsid w:val="00187C23"/>
    <w:rsid w:val="00196070"/>
    <w:rsid w:val="001A0AD4"/>
    <w:rsid w:val="001A1789"/>
    <w:rsid w:val="001A1E14"/>
    <w:rsid w:val="001B14AB"/>
    <w:rsid w:val="001B30FB"/>
    <w:rsid w:val="001C1F6E"/>
    <w:rsid w:val="001C7293"/>
    <w:rsid w:val="001C7A7C"/>
    <w:rsid w:val="001D0819"/>
    <w:rsid w:val="001F2FE1"/>
    <w:rsid w:val="001F3698"/>
    <w:rsid w:val="001F671F"/>
    <w:rsid w:val="001F7304"/>
    <w:rsid w:val="001F7658"/>
    <w:rsid w:val="002071A0"/>
    <w:rsid w:val="002121E2"/>
    <w:rsid w:val="00230CB7"/>
    <w:rsid w:val="0023214D"/>
    <w:rsid w:val="002329DA"/>
    <w:rsid w:val="00240447"/>
    <w:rsid w:val="00242CE9"/>
    <w:rsid w:val="0024446E"/>
    <w:rsid w:val="002529EA"/>
    <w:rsid w:val="00252C78"/>
    <w:rsid w:val="002539F7"/>
    <w:rsid w:val="00253F6C"/>
    <w:rsid w:val="00264B49"/>
    <w:rsid w:val="0027205A"/>
    <w:rsid w:val="00272222"/>
    <w:rsid w:val="00274972"/>
    <w:rsid w:val="00274B31"/>
    <w:rsid w:val="002807B2"/>
    <w:rsid w:val="00281CAA"/>
    <w:rsid w:val="0028221F"/>
    <w:rsid w:val="00284166"/>
    <w:rsid w:val="002860A0"/>
    <w:rsid w:val="00286D1E"/>
    <w:rsid w:val="00287C26"/>
    <w:rsid w:val="00290727"/>
    <w:rsid w:val="00291AE6"/>
    <w:rsid w:val="00293B16"/>
    <w:rsid w:val="0029449D"/>
    <w:rsid w:val="002A75B3"/>
    <w:rsid w:val="002B4550"/>
    <w:rsid w:val="002B47ED"/>
    <w:rsid w:val="002B64C5"/>
    <w:rsid w:val="002B7BAF"/>
    <w:rsid w:val="002C1228"/>
    <w:rsid w:val="002C3CF4"/>
    <w:rsid w:val="002C7047"/>
    <w:rsid w:val="002D01E2"/>
    <w:rsid w:val="002D055C"/>
    <w:rsid w:val="002E005A"/>
    <w:rsid w:val="002E076A"/>
    <w:rsid w:val="002E0BFF"/>
    <w:rsid w:val="002E2E8B"/>
    <w:rsid w:val="002E7E13"/>
    <w:rsid w:val="002F2AF4"/>
    <w:rsid w:val="002F67F4"/>
    <w:rsid w:val="002F7B33"/>
    <w:rsid w:val="00300AE9"/>
    <w:rsid w:val="00301194"/>
    <w:rsid w:val="00310627"/>
    <w:rsid w:val="00310B69"/>
    <w:rsid w:val="00311AB8"/>
    <w:rsid w:val="00314245"/>
    <w:rsid w:val="00314D0B"/>
    <w:rsid w:val="00320B5E"/>
    <w:rsid w:val="00326CAF"/>
    <w:rsid w:val="00327A64"/>
    <w:rsid w:val="0033531B"/>
    <w:rsid w:val="00336195"/>
    <w:rsid w:val="003400DA"/>
    <w:rsid w:val="00340331"/>
    <w:rsid w:val="00343EDD"/>
    <w:rsid w:val="00345368"/>
    <w:rsid w:val="00346B0A"/>
    <w:rsid w:val="00351E9B"/>
    <w:rsid w:val="00361F80"/>
    <w:rsid w:val="00361FCD"/>
    <w:rsid w:val="0036383A"/>
    <w:rsid w:val="003700B7"/>
    <w:rsid w:val="00372548"/>
    <w:rsid w:val="003819D9"/>
    <w:rsid w:val="0038239C"/>
    <w:rsid w:val="003837D7"/>
    <w:rsid w:val="00383D47"/>
    <w:rsid w:val="00386CEB"/>
    <w:rsid w:val="00393155"/>
    <w:rsid w:val="00393C2D"/>
    <w:rsid w:val="00394A76"/>
    <w:rsid w:val="0039700D"/>
    <w:rsid w:val="003A3942"/>
    <w:rsid w:val="003A49CB"/>
    <w:rsid w:val="003A5BBD"/>
    <w:rsid w:val="003A76D0"/>
    <w:rsid w:val="003B51BC"/>
    <w:rsid w:val="003B7E3B"/>
    <w:rsid w:val="003B7E6D"/>
    <w:rsid w:val="003C089F"/>
    <w:rsid w:val="003C201E"/>
    <w:rsid w:val="003C5E0C"/>
    <w:rsid w:val="003C6EA5"/>
    <w:rsid w:val="003D17FC"/>
    <w:rsid w:val="003E04E4"/>
    <w:rsid w:val="003E7D93"/>
    <w:rsid w:val="003F1808"/>
    <w:rsid w:val="003F2D25"/>
    <w:rsid w:val="003F2DFD"/>
    <w:rsid w:val="003F7914"/>
    <w:rsid w:val="00404B68"/>
    <w:rsid w:val="004057F7"/>
    <w:rsid w:val="00406560"/>
    <w:rsid w:val="00407A75"/>
    <w:rsid w:val="00411F82"/>
    <w:rsid w:val="0041269F"/>
    <w:rsid w:val="00414763"/>
    <w:rsid w:val="004172E8"/>
    <w:rsid w:val="00422E78"/>
    <w:rsid w:val="00424576"/>
    <w:rsid w:val="00431A9A"/>
    <w:rsid w:val="0043498E"/>
    <w:rsid w:val="00437A34"/>
    <w:rsid w:val="00451F95"/>
    <w:rsid w:val="00454AF8"/>
    <w:rsid w:val="00461A09"/>
    <w:rsid w:val="00474059"/>
    <w:rsid w:val="00476654"/>
    <w:rsid w:val="0047685E"/>
    <w:rsid w:val="00480838"/>
    <w:rsid w:val="00483C8B"/>
    <w:rsid w:val="0049200F"/>
    <w:rsid w:val="004A374B"/>
    <w:rsid w:val="004A3C48"/>
    <w:rsid w:val="004A7A66"/>
    <w:rsid w:val="004B3327"/>
    <w:rsid w:val="004B4CA3"/>
    <w:rsid w:val="004B74B9"/>
    <w:rsid w:val="004C1B19"/>
    <w:rsid w:val="004C421E"/>
    <w:rsid w:val="004C4604"/>
    <w:rsid w:val="004C5AA4"/>
    <w:rsid w:val="004C7D3E"/>
    <w:rsid w:val="004C7F3C"/>
    <w:rsid w:val="004C7FAC"/>
    <w:rsid w:val="004D01DF"/>
    <w:rsid w:val="004D5907"/>
    <w:rsid w:val="004D5AF9"/>
    <w:rsid w:val="004E3BE4"/>
    <w:rsid w:val="004F053B"/>
    <w:rsid w:val="004F13A0"/>
    <w:rsid w:val="004F4F40"/>
    <w:rsid w:val="004F7521"/>
    <w:rsid w:val="00502726"/>
    <w:rsid w:val="0050414B"/>
    <w:rsid w:val="005075BF"/>
    <w:rsid w:val="00507973"/>
    <w:rsid w:val="00512E06"/>
    <w:rsid w:val="00514051"/>
    <w:rsid w:val="00521BE1"/>
    <w:rsid w:val="00522710"/>
    <w:rsid w:val="00532D9C"/>
    <w:rsid w:val="00536319"/>
    <w:rsid w:val="005413ED"/>
    <w:rsid w:val="005464C2"/>
    <w:rsid w:val="00551D7C"/>
    <w:rsid w:val="00555BC1"/>
    <w:rsid w:val="005610D2"/>
    <w:rsid w:val="00563EB5"/>
    <w:rsid w:val="00564AC2"/>
    <w:rsid w:val="005733F3"/>
    <w:rsid w:val="005747FB"/>
    <w:rsid w:val="005811D7"/>
    <w:rsid w:val="00586D5F"/>
    <w:rsid w:val="00591D49"/>
    <w:rsid w:val="005932F3"/>
    <w:rsid w:val="0059410B"/>
    <w:rsid w:val="00594385"/>
    <w:rsid w:val="00595831"/>
    <w:rsid w:val="0059654F"/>
    <w:rsid w:val="00596605"/>
    <w:rsid w:val="005967CC"/>
    <w:rsid w:val="00596820"/>
    <w:rsid w:val="005B6D01"/>
    <w:rsid w:val="005B7D1B"/>
    <w:rsid w:val="005C3A22"/>
    <w:rsid w:val="005C4EDE"/>
    <w:rsid w:val="005C4F9C"/>
    <w:rsid w:val="005C5181"/>
    <w:rsid w:val="005C59AC"/>
    <w:rsid w:val="005C7686"/>
    <w:rsid w:val="005D1BE2"/>
    <w:rsid w:val="005D2390"/>
    <w:rsid w:val="005D541F"/>
    <w:rsid w:val="005E035A"/>
    <w:rsid w:val="005E2374"/>
    <w:rsid w:val="005F22A8"/>
    <w:rsid w:val="005F6E69"/>
    <w:rsid w:val="00601FC3"/>
    <w:rsid w:val="0060329D"/>
    <w:rsid w:val="00615C5E"/>
    <w:rsid w:val="006278B7"/>
    <w:rsid w:val="00635E4A"/>
    <w:rsid w:val="0063624D"/>
    <w:rsid w:val="0063630C"/>
    <w:rsid w:val="00637840"/>
    <w:rsid w:val="00637CD7"/>
    <w:rsid w:val="00646197"/>
    <w:rsid w:val="006553F2"/>
    <w:rsid w:val="00657C7D"/>
    <w:rsid w:val="0066006E"/>
    <w:rsid w:val="0066090E"/>
    <w:rsid w:val="006631D3"/>
    <w:rsid w:val="006745C2"/>
    <w:rsid w:val="00697264"/>
    <w:rsid w:val="006977E6"/>
    <w:rsid w:val="006A01C2"/>
    <w:rsid w:val="006A31C9"/>
    <w:rsid w:val="006A5DA4"/>
    <w:rsid w:val="006B2DD2"/>
    <w:rsid w:val="006B2EC6"/>
    <w:rsid w:val="006B32E2"/>
    <w:rsid w:val="006C1AD0"/>
    <w:rsid w:val="006C519D"/>
    <w:rsid w:val="006C60AC"/>
    <w:rsid w:val="006D16FD"/>
    <w:rsid w:val="006E2A63"/>
    <w:rsid w:val="006E388A"/>
    <w:rsid w:val="006E3FD9"/>
    <w:rsid w:val="006E4101"/>
    <w:rsid w:val="006F5A5C"/>
    <w:rsid w:val="00704388"/>
    <w:rsid w:val="00706D94"/>
    <w:rsid w:val="00732738"/>
    <w:rsid w:val="00732E38"/>
    <w:rsid w:val="00745004"/>
    <w:rsid w:val="007569BD"/>
    <w:rsid w:val="00757EB4"/>
    <w:rsid w:val="0076175E"/>
    <w:rsid w:val="00773F9C"/>
    <w:rsid w:val="0078031B"/>
    <w:rsid w:val="00787967"/>
    <w:rsid w:val="00790262"/>
    <w:rsid w:val="0079177B"/>
    <w:rsid w:val="007934BF"/>
    <w:rsid w:val="00794DF9"/>
    <w:rsid w:val="007B05C4"/>
    <w:rsid w:val="007B1ACD"/>
    <w:rsid w:val="007B1B67"/>
    <w:rsid w:val="007C504C"/>
    <w:rsid w:val="007C751C"/>
    <w:rsid w:val="007C79F8"/>
    <w:rsid w:val="007C7F74"/>
    <w:rsid w:val="007E0723"/>
    <w:rsid w:val="007E62F3"/>
    <w:rsid w:val="007F1FF5"/>
    <w:rsid w:val="007F2A6B"/>
    <w:rsid w:val="007F4270"/>
    <w:rsid w:val="007F65EA"/>
    <w:rsid w:val="007F6BF8"/>
    <w:rsid w:val="00806DE8"/>
    <w:rsid w:val="00810D4B"/>
    <w:rsid w:val="008146D9"/>
    <w:rsid w:val="008155FF"/>
    <w:rsid w:val="00817D79"/>
    <w:rsid w:val="00822E63"/>
    <w:rsid w:val="0082471E"/>
    <w:rsid w:val="00826A76"/>
    <w:rsid w:val="00826FD2"/>
    <w:rsid w:val="008341C6"/>
    <w:rsid w:val="008418AE"/>
    <w:rsid w:val="0084227E"/>
    <w:rsid w:val="00846964"/>
    <w:rsid w:val="00847063"/>
    <w:rsid w:val="008546E0"/>
    <w:rsid w:val="0086443F"/>
    <w:rsid w:val="008906A9"/>
    <w:rsid w:val="00895BED"/>
    <w:rsid w:val="008A1EB5"/>
    <w:rsid w:val="008A2EDF"/>
    <w:rsid w:val="008A6D67"/>
    <w:rsid w:val="008A707A"/>
    <w:rsid w:val="008A7886"/>
    <w:rsid w:val="008B0250"/>
    <w:rsid w:val="008B18E5"/>
    <w:rsid w:val="008B353A"/>
    <w:rsid w:val="008D3AE8"/>
    <w:rsid w:val="008F0EA5"/>
    <w:rsid w:val="008F15BA"/>
    <w:rsid w:val="008F2CAF"/>
    <w:rsid w:val="008F3455"/>
    <w:rsid w:val="008F4954"/>
    <w:rsid w:val="008F667B"/>
    <w:rsid w:val="00905FA1"/>
    <w:rsid w:val="00911206"/>
    <w:rsid w:val="00921313"/>
    <w:rsid w:val="00925207"/>
    <w:rsid w:val="009273EE"/>
    <w:rsid w:val="00941AFF"/>
    <w:rsid w:val="009440B2"/>
    <w:rsid w:val="00945259"/>
    <w:rsid w:val="0094547D"/>
    <w:rsid w:val="00946984"/>
    <w:rsid w:val="00946AFD"/>
    <w:rsid w:val="00972951"/>
    <w:rsid w:val="00972E7C"/>
    <w:rsid w:val="009734E3"/>
    <w:rsid w:val="00976481"/>
    <w:rsid w:val="00977149"/>
    <w:rsid w:val="00981DD5"/>
    <w:rsid w:val="00984348"/>
    <w:rsid w:val="00984C45"/>
    <w:rsid w:val="00985835"/>
    <w:rsid w:val="00985B8D"/>
    <w:rsid w:val="009861C9"/>
    <w:rsid w:val="00986F10"/>
    <w:rsid w:val="00997E7B"/>
    <w:rsid w:val="009A22FA"/>
    <w:rsid w:val="009A60DF"/>
    <w:rsid w:val="009B023F"/>
    <w:rsid w:val="009B2B7B"/>
    <w:rsid w:val="009B3775"/>
    <w:rsid w:val="009B6CF0"/>
    <w:rsid w:val="009C104C"/>
    <w:rsid w:val="009C11D5"/>
    <w:rsid w:val="009C4D10"/>
    <w:rsid w:val="009C5DDA"/>
    <w:rsid w:val="009C799A"/>
    <w:rsid w:val="009D79C9"/>
    <w:rsid w:val="009E58FB"/>
    <w:rsid w:val="009F65AE"/>
    <w:rsid w:val="009F687C"/>
    <w:rsid w:val="009F74C0"/>
    <w:rsid w:val="009F7E79"/>
    <w:rsid w:val="00A01B75"/>
    <w:rsid w:val="00A03229"/>
    <w:rsid w:val="00A0478D"/>
    <w:rsid w:val="00A147AB"/>
    <w:rsid w:val="00A14FEB"/>
    <w:rsid w:val="00A153B2"/>
    <w:rsid w:val="00A21B37"/>
    <w:rsid w:val="00A25C90"/>
    <w:rsid w:val="00A320AA"/>
    <w:rsid w:val="00A3407D"/>
    <w:rsid w:val="00A35D50"/>
    <w:rsid w:val="00A50318"/>
    <w:rsid w:val="00A57C60"/>
    <w:rsid w:val="00A601B6"/>
    <w:rsid w:val="00A60F29"/>
    <w:rsid w:val="00A6370B"/>
    <w:rsid w:val="00A648B3"/>
    <w:rsid w:val="00A70AF6"/>
    <w:rsid w:val="00A73A31"/>
    <w:rsid w:val="00A753E2"/>
    <w:rsid w:val="00A800ED"/>
    <w:rsid w:val="00A8520B"/>
    <w:rsid w:val="00A86198"/>
    <w:rsid w:val="00A868B6"/>
    <w:rsid w:val="00A94C07"/>
    <w:rsid w:val="00A95ABE"/>
    <w:rsid w:val="00A95E6A"/>
    <w:rsid w:val="00AA5AE4"/>
    <w:rsid w:val="00AB0336"/>
    <w:rsid w:val="00AB3441"/>
    <w:rsid w:val="00AB3CF7"/>
    <w:rsid w:val="00AC18BA"/>
    <w:rsid w:val="00AC2F9B"/>
    <w:rsid w:val="00AD1FED"/>
    <w:rsid w:val="00AD32A2"/>
    <w:rsid w:val="00AE4D5D"/>
    <w:rsid w:val="00AE5473"/>
    <w:rsid w:val="00AE56C8"/>
    <w:rsid w:val="00AE6A13"/>
    <w:rsid w:val="00AE6BA9"/>
    <w:rsid w:val="00AF71E3"/>
    <w:rsid w:val="00B01275"/>
    <w:rsid w:val="00B01C45"/>
    <w:rsid w:val="00B022C6"/>
    <w:rsid w:val="00B064D9"/>
    <w:rsid w:val="00B15685"/>
    <w:rsid w:val="00B2133C"/>
    <w:rsid w:val="00B25D07"/>
    <w:rsid w:val="00B36EF8"/>
    <w:rsid w:val="00B37ACA"/>
    <w:rsid w:val="00B47541"/>
    <w:rsid w:val="00B47984"/>
    <w:rsid w:val="00B562BE"/>
    <w:rsid w:val="00B62E18"/>
    <w:rsid w:val="00B63663"/>
    <w:rsid w:val="00B646F8"/>
    <w:rsid w:val="00B66A31"/>
    <w:rsid w:val="00B702A4"/>
    <w:rsid w:val="00B72117"/>
    <w:rsid w:val="00B72C2F"/>
    <w:rsid w:val="00B73D24"/>
    <w:rsid w:val="00B94107"/>
    <w:rsid w:val="00BA0BC7"/>
    <w:rsid w:val="00BA48CA"/>
    <w:rsid w:val="00BA5210"/>
    <w:rsid w:val="00BB386C"/>
    <w:rsid w:val="00BC12DB"/>
    <w:rsid w:val="00BC1AAA"/>
    <w:rsid w:val="00BC7FD1"/>
    <w:rsid w:val="00BD1836"/>
    <w:rsid w:val="00BD37AD"/>
    <w:rsid w:val="00BD4B16"/>
    <w:rsid w:val="00BE051E"/>
    <w:rsid w:val="00BE1ECD"/>
    <w:rsid w:val="00BE31C9"/>
    <w:rsid w:val="00BE4089"/>
    <w:rsid w:val="00BE4943"/>
    <w:rsid w:val="00BF21B5"/>
    <w:rsid w:val="00BF4EA6"/>
    <w:rsid w:val="00C00CC6"/>
    <w:rsid w:val="00C013D8"/>
    <w:rsid w:val="00C1127D"/>
    <w:rsid w:val="00C11832"/>
    <w:rsid w:val="00C119C2"/>
    <w:rsid w:val="00C13D86"/>
    <w:rsid w:val="00C1467A"/>
    <w:rsid w:val="00C16439"/>
    <w:rsid w:val="00C17CE7"/>
    <w:rsid w:val="00C21B17"/>
    <w:rsid w:val="00C23794"/>
    <w:rsid w:val="00C25200"/>
    <w:rsid w:val="00C31511"/>
    <w:rsid w:val="00C324D1"/>
    <w:rsid w:val="00C33455"/>
    <w:rsid w:val="00C36AC4"/>
    <w:rsid w:val="00C5131A"/>
    <w:rsid w:val="00C55194"/>
    <w:rsid w:val="00C60192"/>
    <w:rsid w:val="00C64F17"/>
    <w:rsid w:val="00C7532E"/>
    <w:rsid w:val="00C80A13"/>
    <w:rsid w:val="00C84AF7"/>
    <w:rsid w:val="00C86CEA"/>
    <w:rsid w:val="00C8704A"/>
    <w:rsid w:val="00C920FC"/>
    <w:rsid w:val="00C92D1C"/>
    <w:rsid w:val="00C961D0"/>
    <w:rsid w:val="00CA101C"/>
    <w:rsid w:val="00CA2A0D"/>
    <w:rsid w:val="00CB1E9D"/>
    <w:rsid w:val="00CB1F04"/>
    <w:rsid w:val="00CC350A"/>
    <w:rsid w:val="00CD6910"/>
    <w:rsid w:val="00CD77D7"/>
    <w:rsid w:val="00CE08A8"/>
    <w:rsid w:val="00CE7E24"/>
    <w:rsid w:val="00CF1AB4"/>
    <w:rsid w:val="00CF20F9"/>
    <w:rsid w:val="00CF423D"/>
    <w:rsid w:val="00D03F12"/>
    <w:rsid w:val="00D1207E"/>
    <w:rsid w:val="00D1400A"/>
    <w:rsid w:val="00D152A3"/>
    <w:rsid w:val="00D20F42"/>
    <w:rsid w:val="00D21382"/>
    <w:rsid w:val="00D30371"/>
    <w:rsid w:val="00D3065D"/>
    <w:rsid w:val="00D32A63"/>
    <w:rsid w:val="00D47863"/>
    <w:rsid w:val="00D56978"/>
    <w:rsid w:val="00D60B4E"/>
    <w:rsid w:val="00D734EB"/>
    <w:rsid w:val="00D74FBF"/>
    <w:rsid w:val="00D75248"/>
    <w:rsid w:val="00D75CC1"/>
    <w:rsid w:val="00D77AB2"/>
    <w:rsid w:val="00D915E6"/>
    <w:rsid w:val="00D91E8D"/>
    <w:rsid w:val="00D94901"/>
    <w:rsid w:val="00D966F8"/>
    <w:rsid w:val="00DA1A72"/>
    <w:rsid w:val="00DA4EFD"/>
    <w:rsid w:val="00DA55D9"/>
    <w:rsid w:val="00DB2882"/>
    <w:rsid w:val="00DC10F3"/>
    <w:rsid w:val="00DC2C75"/>
    <w:rsid w:val="00DC3F71"/>
    <w:rsid w:val="00DC6668"/>
    <w:rsid w:val="00DD33C9"/>
    <w:rsid w:val="00DE7CF4"/>
    <w:rsid w:val="00DF4BF5"/>
    <w:rsid w:val="00E00DE5"/>
    <w:rsid w:val="00E0465F"/>
    <w:rsid w:val="00E064CE"/>
    <w:rsid w:val="00E11C07"/>
    <w:rsid w:val="00E1522A"/>
    <w:rsid w:val="00E1632C"/>
    <w:rsid w:val="00E173C8"/>
    <w:rsid w:val="00E21F49"/>
    <w:rsid w:val="00E22158"/>
    <w:rsid w:val="00E23883"/>
    <w:rsid w:val="00E32876"/>
    <w:rsid w:val="00E3306C"/>
    <w:rsid w:val="00E33DC1"/>
    <w:rsid w:val="00E37657"/>
    <w:rsid w:val="00E4068C"/>
    <w:rsid w:val="00E5269A"/>
    <w:rsid w:val="00E6419B"/>
    <w:rsid w:val="00E66DA6"/>
    <w:rsid w:val="00E70058"/>
    <w:rsid w:val="00E71C30"/>
    <w:rsid w:val="00E77CC5"/>
    <w:rsid w:val="00E826B0"/>
    <w:rsid w:val="00E850BF"/>
    <w:rsid w:val="00E858B4"/>
    <w:rsid w:val="00E85F79"/>
    <w:rsid w:val="00E928C5"/>
    <w:rsid w:val="00EB01D5"/>
    <w:rsid w:val="00EB17A9"/>
    <w:rsid w:val="00EB56F1"/>
    <w:rsid w:val="00EB5B57"/>
    <w:rsid w:val="00EC6879"/>
    <w:rsid w:val="00ED5ACE"/>
    <w:rsid w:val="00ED76B5"/>
    <w:rsid w:val="00EE76BA"/>
    <w:rsid w:val="00EF4F64"/>
    <w:rsid w:val="00EF6244"/>
    <w:rsid w:val="00F00DA6"/>
    <w:rsid w:val="00F03011"/>
    <w:rsid w:val="00F1305F"/>
    <w:rsid w:val="00F16628"/>
    <w:rsid w:val="00F30FC8"/>
    <w:rsid w:val="00F313A4"/>
    <w:rsid w:val="00F3290B"/>
    <w:rsid w:val="00F418E1"/>
    <w:rsid w:val="00F42111"/>
    <w:rsid w:val="00F4305A"/>
    <w:rsid w:val="00F46AAF"/>
    <w:rsid w:val="00F46D2A"/>
    <w:rsid w:val="00F51BE2"/>
    <w:rsid w:val="00F53A8C"/>
    <w:rsid w:val="00F54C82"/>
    <w:rsid w:val="00F62066"/>
    <w:rsid w:val="00F65A23"/>
    <w:rsid w:val="00F66E08"/>
    <w:rsid w:val="00F71F1F"/>
    <w:rsid w:val="00F73982"/>
    <w:rsid w:val="00F75246"/>
    <w:rsid w:val="00F75A73"/>
    <w:rsid w:val="00F82742"/>
    <w:rsid w:val="00F82A47"/>
    <w:rsid w:val="00F83217"/>
    <w:rsid w:val="00F844F8"/>
    <w:rsid w:val="00F909CE"/>
    <w:rsid w:val="00F92592"/>
    <w:rsid w:val="00F950FA"/>
    <w:rsid w:val="00F951E9"/>
    <w:rsid w:val="00F95AC7"/>
    <w:rsid w:val="00FA1483"/>
    <w:rsid w:val="00FB21F1"/>
    <w:rsid w:val="00FB5BF7"/>
    <w:rsid w:val="00FC0174"/>
    <w:rsid w:val="00FC30BC"/>
    <w:rsid w:val="00FC51B7"/>
    <w:rsid w:val="00FD1B42"/>
    <w:rsid w:val="00FD54A4"/>
    <w:rsid w:val="00FD7745"/>
    <w:rsid w:val="00FD7DAF"/>
    <w:rsid w:val="00FE1598"/>
    <w:rsid w:val="00FE1D7A"/>
    <w:rsid w:val="00FE3C0F"/>
    <w:rsid w:val="00FF36CA"/>
    <w:rsid w:val="00FF548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62D960C-D796-4620-91E1-DD0E97748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0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A57C60"/>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uiPriority w:val="22"/>
    <w:qFormat/>
    <w:rsid w:val="00A57C60"/>
    <w:rPr>
      <w:b/>
      <w:bCs/>
    </w:rPr>
  </w:style>
  <w:style w:type="paragraph" w:styleId="ListParagraph">
    <w:name w:val="List Paragraph"/>
    <w:basedOn w:val="Normal"/>
    <w:uiPriority w:val="34"/>
    <w:qFormat/>
    <w:rsid w:val="00062BE6"/>
    <w:pPr>
      <w:ind w:left="720"/>
      <w:contextualSpacing/>
    </w:pPr>
  </w:style>
  <w:style w:type="character" w:styleId="Hyperlink">
    <w:name w:val="Hyperlink"/>
    <w:basedOn w:val="DefaultParagraphFont"/>
    <w:uiPriority w:val="99"/>
    <w:unhideWhenUsed/>
    <w:rsid w:val="003A5BBD"/>
    <w:rPr>
      <w:color w:val="0563C1" w:themeColor="hyperlink"/>
      <w:u w:val="single"/>
    </w:rPr>
  </w:style>
  <w:style w:type="paragraph" w:styleId="BalloonText">
    <w:name w:val="Balloon Text"/>
    <w:basedOn w:val="Normal"/>
    <w:link w:val="BalloonTextChar"/>
    <w:uiPriority w:val="99"/>
    <w:semiHidden/>
    <w:unhideWhenUsed/>
    <w:rsid w:val="009213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1313"/>
    <w:rPr>
      <w:rFonts w:ascii="Segoe UI" w:hAnsi="Segoe UI" w:cs="Segoe UI"/>
      <w:sz w:val="18"/>
      <w:szCs w:val="18"/>
    </w:rPr>
  </w:style>
  <w:style w:type="paragraph" w:customStyle="1" w:styleId="Style14">
    <w:name w:val="Style14"/>
    <w:basedOn w:val="Normal"/>
    <w:uiPriority w:val="99"/>
    <w:rsid w:val="00E1522A"/>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table" w:styleId="TableGrid">
    <w:name w:val="Table Grid"/>
    <w:basedOn w:val="TableNormal"/>
    <w:uiPriority w:val="39"/>
    <w:rsid w:val="00A60F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E388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388A"/>
  </w:style>
  <w:style w:type="paragraph" w:styleId="Footer">
    <w:name w:val="footer"/>
    <w:basedOn w:val="Normal"/>
    <w:link w:val="FooterChar"/>
    <w:uiPriority w:val="99"/>
    <w:unhideWhenUsed/>
    <w:rsid w:val="006E38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388A"/>
  </w:style>
  <w:style w:type="character" w:customStyle="1" w:styleId="NormalWebChar">
    <w:name w:val="Normal (Web) Char"/>
    <w:link w:val="NormalWeb"/>
    <w:locked/>
    <w:rsid w:val="000D5D56"/>
    <w:rPr>
      <w:rFonts w:ascii="Times New Roman" w:eastAsia="Times New Roman" w:hAnsi="Times New Roman" w:cs="Times New Roman"/>
      <w:sz w:val="24"/>
      <w:szCs w:val="24"/>
      <w:lang w:val="en-US"/>
    </w:rPr>
  </w:style>
  <w:style w:type="character" w:customStyle="1" w:styleId="mechtexChar">
    <w:name w:val="mechtex Char"/>
    <w:link w:val="mechtex"/>
    <w:uiPriority w:val="99"/>
    <w:locked/>
    <w:rsid w:val="00646197"/>
    <w:rPr>
      <w:rFonts w:ascii="Arial Armenian" w:hAnsi="Arial Armenian"/>
      <w:lang w:eastAsia="ru-RU"/>
    </w:rPr>
  </w:style>
  <w:style w:type="paragraph" w:customStyle="1" w:styleId="mechtex">
    <w:name w:val="mechtex"/>
    <w:basedOn w:val="Normal"/>
    <w:link w:val="mechtexChar"/>
    <w:uiPriority w:val="99"/>
    <w:qFormat/>
    <w:rsid w:val="00646197"/>
    <w:pPr>
      <w:spacing w:after="0" w:line="240" w:lineRule="auto"/>
      <w:jc w:val="center"/>
    </w:pPr>
    <w:rPr>
      <w:rFonts w:ascii="Arial Armenian" w:hAnsi="Arial Armenian"/>
      <w:lang w:eastAsia="ru-RU"/>
    </w:rPr>
  </w:style>
  <w:style w:type="character" w:customStyle="1" w:styleId="normChar">
    <w:name w:val="norm Char"/>
    <w:link w:val="norm"/>
    <w:locked/>
    <w:rsid w:val="00646197"/>
    <w:rPr>
      <w:rFonts w:ascii="Arial Armenian" w:hAnsi="Arial Armenian"/>
      <w:lang w:eastAsia="ru-RU"/>
    </w:rPr>
  </w:style>
  <w:style w:type="paragraph" w:customStyle="1" w:styleId="norm">
    <w:name w:val="norm"/>
    <w:basedOn w:val="Normal"/>
    <w:link w:val="normChar"/>
    <w:rsid w:val="00646197"/>
    <w:pPr>
      <w:spacing w:after="0" w:line="480" w:lineRule="auto"/>
      <w:ind w:firstLine="709"/>
      <w:jc w:val="both"/>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879545">
      <w:bodyDiv w:val="1"/>
      <w:marLeft w:val="0"/>
      <w:marRight w:val="0"/>
      <w:marTop w:val="0"/>
      <w:marBottom w:val="0"/>
      <w:divBdr>
        <w:top w:val="none" w:sz="0" w:space="0" w:color="auto"/>
        <w:left w:val="none" w:sz="0" w:space="0" w:color="auto"/>
        <w:bottom w:val="none" w:sz="0" w:space="0" w:color="auto"/>
        <w:right w:val="none" w:sz="0" w:space="0" w:color="auto"/>
      </w:divBdr>
    </w:div>
    <w:div w:id="162553988">
      <w:bodyDiv w:val="1"/>
      <w:marLeft w:val="0"/>
      <w:marRight w:val="0"/>
      <w:marTop w:val="0"/>
      <w:marBottom w:val="0"/>
      <w:divBdr>
        <w:top w:val="none" w:sz="0" w:space="0" w:color="auto"/>
        <w:left w:val="none" w:sz="0" w:space="0" w:color="auto"/>
        <w:bottom w:val="none" w:sz="0" w:space="0" w:color="auto"/>
        <w:right w:val="none" w:sz="0" w:space="0" w:color="auto"/>
      </w:divBdr>
    </w:div>
    <w:div w:id="227110543">
      <w:bodyDiv w:val="1"/>
      <w:marLeft w:val="0"/>
      <w:marRight w:val="0"/>
      <w:marTop w:val="0"/>
      <w:marBottom w:val="0"/>
      <w:divBdr>
        <w:top w:val="none" w:sz="0" w:space="0" w:color="auto"/>
        <w:left w:val="none" w:sz="0" w:space="0" w:color="auto"/>
        <w:bottom w:val="none" w:sz="0" w:space="0" w:color="auto"/>
        <w:right w:val="none" w:sz="0" w:space="0" w:color="auto"/>
      </w:divBdr>
    </w:div>
    <w:div w:id="306859489">
      <w:bodyDiv w:val="1"/>
      <w:marLeft w:val="0"/>
      <w:marRight w:val="0"/>
      <w:marTop w:val="0"/>
      <w:marBottom w:val="0"/>
      <w:divBdr>
        <w:top w:val="none" w:sz="0" w:space="0" w:color="auto"/>
        <w:left w:val="none" w:sz="0" w:space="0" w:color="auto"/>
        <w:bottom w:val="none" w:sz="0" w:space="0" w:color="auto"/>
        <w:right w:val="none" w:sz="0" w:space="0" w:color="auto"/>
      </w:divBdr>
    </w:div>
    <w:div w:id="360133537">
      <w:bodyDiv w:val="1"/>
      <w:marLeft w:val="0"/>
      <w:marRight w:val="0"/>
      <w:marTop w:val="0"/>
      <w:marBottom w:val="0"/>
      <w:divBdr>
        <w:top w:val="none" w:sz="0" w:space="0" w:color="auto"/>
        <w:left w:val="none" w:sz="0" w:space="0" w:color="auto"/>
        <w:bottom w:val="none" w:sz="0" w:space="0" w:color="auto"/>
        <w:right w:val="none" w:sz="0" w:space="0" w:color="auto"/>
      </w:divBdr>
    </w:div>
    <w:div w:id="464586404">
      <w:bodyDiv w:val="1"/>
      <w:marLeft w:val="0"/>
      <w:marRight w:val="0"/>
      <w:marTop w:val="0"/>
      <w:marBottom w:val="0"/>
      <w:divBdr>
        <w:top w:val="none" w:sz="0" w:space="0" w:color="auto"/>
        <w:left w:val="none" w:sz="0" w:space="0" w:color="auto"/>
        <w:bottom w:val="none" w:sz="0" w:space="0" w:color="auto"/>
        <w:right w:val="none" w:sz="0" w:space="0" w:color="auto"/>
      </w:divBdr>
    </w:div>
    <w:div w:id="494347200">
      <w:bodyDiv w:val="1"/>
      <w:marLeft w:val="0"/>
      <w:marRight w:val="0"/>
      <w:marTop w:val="0"/>
      <w:marBottom w:val="0"/>
      <w:divBdr>
        <w:top w:val="none" w:sz="0" w:space="0" w:color="auto"/>
        <w:left w:val="none" w:sz="0" w:space="0" w:color="auto"/>
        <w:bottom w:val="none" w:sz="0" w:space="0" w:color="auto"/>
        <w:right w:val="none" w:sz="0" w:space="0" w:color="auto"/>
      </w:divBdr>
    </w:div>
    <w:div w:id="504324317">
      <w:bodyDiv w:val="1"/>
      <w:marLeft w:val="0"/>
      <w:marRight w:val="0"/>
      <w:marTop w:val="0"/>
      <w:marBottom w:val="0"/>
      <w:divBdr>
        <w:top w:val="none" w:sz="0" w:space="0" w:color="auto"/>
        <w:left w:val="none" w:sz="0" w:space="0" w:color="auto"/>
        <w:bottom w:val="none" w:sz="0" w:space="0" w:color="auto"/>
        <w:right w:val="none" w:sz="0" w:space="0" w:color="auto"/>
      </w:divBdr>
    </w:div>
    <w:div w:id="584922116">
      <w:bodyDiv w:val="1"/>
      <w:marLeft w:val="0"/>
      <w:marRight w:val="0"/>
      <w:marTop w:val="0"/>
      <w:marBottom w:val="0"/>
      <w:divBdr>
        <w:top w:val="none" w:sz="0" w:space="0" w:color="auto"/>
        <w:left w:val="none" w:sz="0" w:space="0" w:color="auto"/>
        <w:bottom w:val="none" w:sz="0" w:space="0" w:color="auto"/>
        <w:right w:val="none" w:sz="0" w:space="0" w:color="auto"/>
      </w:divBdr>
    </w:div>
    <w:div w:id="617369769">
      <w:bodyDiv w:val="1"/>
      <w:marLeft w:val="0"/>
      <w:marRight w:val="0"/>
      <w:marTop w:val="0"/>
      <w:marBottom w:val="0"/>
      <w:divBdr>
        <w:top w:val="none" w:sz="0" w:space="0" w:color="auto"/>
        <w:left w:val="none" w:sz="0" w:space="0" w:color="auto"/>
        <w:bottom w:val="none" w:sz="0" w:space="0" w:color="auto"/>
        <w:right w:val="none" w:sz="0" w:space="0" w:color="auto"/>
      </w:divBdr>
    </w:div>
    <w:div w:id="618606925">
      <w:bodyDiv w:val="1"/>
      <w:marLeft w:val="0"/>
      <w:marRight w:val="0"/>
      <w:marTop w:val="0"/>
      <w:marBottom w:val="0"/>
      <w:divBdr>
        <w:top w:val="none" w:sz="0" w:space="0" w:color="auto"/>
        <w:left w:val="none" w:sz="0" w:space="0" w:color="auto"/>
        <w:bottom w:val="none" w:sz="0" w:space="0" w:color="auto"/>
        <w:right w:val="none" w:sz="0" w:space="0" w:color="auto"/>
      </w:divBdr>
    </w:div>
    <w:div w:id="621576048">
      <w:bodyDiv w:val="1"/>
      <w:marLeft w:val="0"/>
      <w:marRight w:val="0"/>
      <w:marTop w:val="0"/>
      <w:marBottom w:val="0"/>
      <w:divBdr>
        <w:top w:val="none" w:sz="0" w:space="0" w:color="auto"/>
        <w:left w:val="none" w:sz="0" w:space="0" w:color="auto"/>
        <w:bottom w:val="none" w:sz="0" w:space="0" w:color="auto"/>
        <w:right w:val="none" w:sz="0" w:space="0" w:color="auto"/>
      </w:divBdr>
    </w:div>
    <w:div w:id="677075440">
      <w:bodyDiv w:val="1"/>
      <w:marLeft w:val="0"/>
      <w:marRight w:val="0"/>
      <w:marTop w:val="0"/>
      <w:marBottom w:val="0"/>
      <w:divBdr>
        <w:top w:val="none" w:sz="0" w:space="0" w:color="auto"/>
        <w:left w:val="none" w:sz="0" w:space="0" w:color="auto"/>
        <w:bottom w:val="none" w:sz="0" w:space="0" w:color="auto"/>
        <w:right w:val="none" w:sz="0" w:space="0" w:color="auto"/>
      </w:divBdr>
    </w:div>
    <w:div w:id="767696503">
      <w:bodyDiv w:val="1"/>
      <w:marLeft w:val="0"/>
      <w:marRight w:val="0"/>
      <w:marTop w:val="0"/>
      <w:marBottom w:val="0"/>
      <w:divBdr>
        <w:top w:val="none" w:sz="0" w:space="0" w:color="auto"/>
        <w:left w:val="none" w:sz="0" w:space="0" w:color="auto"/>
        <w:bottom w:val="none" w:sz="0" w:space="0" w:color="auto"/>
        <w:right w:val="none" w:sz="0" w:space="0" w:color="auto"/>
      </w:divBdr>
    </w:div>
    <w:div w:id="775100924">
      <w:bodyDiv w:val="1"/>
      <w:marLeft w:val="0"/>
      <w:marRight w:val="0"/>
      <w:marTop w:val="0"/>
      <w:marBottom w:val="0"/>
      <w:divBdr>
        <w:top w:val="none" w:sz="0" w:space="0" w:color="auto"/>
        <w:left w:val="none" w:sz="0" w:space="0" w:color="auto"/>
        <w:bottom w:val="none" w:sz="0" w:space="0" w:color="auto"/>
        <w:right w:val="none" w:sz="0" w:space="0" w:color="auto"/>
      </w:divBdr>
    </w:div>
    <w:div w:id="873277047">
      <w:bodyDiv w:val="1"/>
      <w:marLeft w:val="0"/>
      <w:marRight w:val="0"/>
      <w:marTop w:val="0"/>
      <w:marBottom w:val="0"/>
      <w:divBdr>
        <w:top w:val="none" w:sz="0" w:space="0" w:color="auto"/>
        <w:left w:val="none" w:sz="0" w:space="0" w:color="auto"/>
        <w:bottom w:val="none" w:sz="0" w:space="0" w:color="auto"/>
        <w:right w:val="none" w:sz="0" w:space="0" w:color="auto"/>
      </w:divBdr>
    </w:div>
    <w:div w:id="891961404">
      <w:bodyDiv w:val="1"/>
      <w:marLeft w:val="0"/>
      <w:marRight w:val="0"/>
      <w:marTop w:val="0"/>
      <w:marBottom w:val="0"/>
      <w:divBdr>
        <w:top w:val="none" w:sz="0" w:space="0" w:color="auto"/>
        <w:left w:val="none" w:sz="0" w:space="0" w:color="auto"/>
        <w:bottom w:val="none" w:sz="0" w:space="0" w:color="auto"/>
        <w:right w:val="none" w:sz="0" w:space="0" w:color="auto"/>
      </w:divBdr>
    </w:div>
    <w:div w:id="961375517">
      <w:bodyDiv w:val="1"/>
      <w:marLeft w:val="0"/>
      <w:marRight w:val="0"/>
      <w:marTop w:val="0"/>
      <w:marBottom w:val="0"/>
      <w:divBdr>
        <w:top w:val="none" w:sz="0" w:space="0" w:color="auto"/>
        <w:left w:val="none" w:sz="0" w:space="0" w:color="auto"/>
        <w:bottom w:val="none" w:sz="0" w:space="0" w:color="auto"/>
        <w:right w:val="none" w:sz="0" w:space="0" w:color="auto"/>
      </w:divBdr>
    </w:div>
    <w:div w:id="1067804138">
      <w:bodyDiv w:val="1"/>
      <w:marLeft w:val="0"/>
      <w:marRight w:val="0"/>
      <w:marTop w:val="0"/>
      <w:marBottom w:val="0"/>
      <w:divBdr>
        <w:top w:val="none" w:sz="0" w:space="0" w:color="auto"/>
        <w:left w:val="none" w:sz="0" w:space="0" w:color="auto"/>
        <w:bottom w:val="none" w:sz="0" w:space="0" w:color="auto"/>
        <w:right w:val="none" w:sz="0" w:space="0" w:color="auto"/>
      </w:divBdr>
    </w:div>
    <w:div w:id="1112555575">
      <w:bodyDiv w:val="1"/>
      <w:marLeft w:val="0"/>
      <w:marRight w:val="0"/>
      <w:marTop w:val="0"/>
      <w:marBottom w:val="0"/>
      <w:divBdr>
        <w:top w:val="none" w:sz="0" w:space="0" w:color="auto"/>
        <w:left w:val="none" w:sz="0" w:space="0" w:color="auto"/>
        <w:bottom w:val="none" w:sz="0" w:space="0" w:color="auto"/>
        <w:right w:val="none" w:sz="0" w:space="0" w:color="auto"/>
      </w:divBdr>
    </w:div>
    <w:div w:id="1238441628">
      <w:bodyDiv w:val="1"/>
      <w:marLeft w:val="0"/>
      <w:marRight w:val="0"/>
      <w:marTop w:val="0"/>
      <w:marBottom w:val="0"/>
      <w:divBdr>
        <w:top w:val="none" w:sz="0" w:space="0" w:color="auto"/>
        <w:left w:val="none" w:sz="0" w:space="0" w:color="auto"/>
        <w:bottom w:val="none" w:sz="0" w:space="0" w:color="auto"/>
        <w:right w:val="none" w:sz="0" w:space="0" w:color="auto"/>
      </w:divBdr>
    </w:div>
    <w:div w:id="1266230495">
      <w:bodyDiv w:val="1"/>
      <w:marLeft w:val="0"/>
      <w:marRight w:val="0"/>
      <w:marTop w:val="0"/>
      <w:marBottom w:val="0"/>
      <w:divBdr>
        <w:top w:val="none" w:sz="0" w:space="0" w:color="auto"/>
        <w:left w:val="none" w:sz="0" w:space="0" w:color="auto"/>
        <w:bottom w:val="none" w:sz="0" w:space="0" w:color="auto"/>
        <w:right w:val="none" w:sz="0" w:space="0" w:color="auto"/>
      </w:divBdr>
    </w:div>
    <w:div w:id="1367488376">
      <w:bodyDiv w:val="1"/>
      <w:marLeft w:val="0"/>
      <w:marRight w:val="0"/>
      <w:marTop w:val="0"/>
      <w:marBottom w:val="0"/>
      <w:divBdr>
        <w:top w:val="none" w:sz="0" w:space="0" w:color="auto"/>
        <w:left w:val="none" w:sz="0" w:space="0" w:color="auto"/>
        <w:bottom w:val="none" w:sz="0" w:space="0" w:color="auto"/>
        <w:right w:val="none" w:sz="0" w:space="0" w:color="auto"/>
      </w:divBdr>
    </w:div>
    <w:div w:id="1420173437">
      <w:bodyDiv w:val="1"/>
      <w:marLeft w:val="0"/>
      <w:marRight w:val="0"/>
      <w:marTop w:val="0"/>
      <w:marBottom w:val="0"/>
      <w:divBdr>
        <w:top w:val="none" w:sz="0" w:space="0" w:color="auto"/>
        <w:left w:val="none" w:sz="0" w:space="0" w:color="auto"/>
        <w:bottom w:val="none" w:sz="0" w:space="0" w:color="auto"/>
        <w:right w:val="none" w:sz="0" w:space="0" w:color="auto"/>
      </w:divBdr>
    </w:div>
    <w:div w:id="1429158359">
      <w:bodyDiv w:val="1"/>
      <w:marLeft w:val="0"/>
      <w:marRight w:val="0"/>
      <w:marTop w:val="0"/>
      <w:marBottom w:val="0"/>
      <w:divBdr>
        <w:top w:val="none" w:sz="0" w:space="0" w:color="auto"/>
        <w:left w:val="none" w:sz="0" w:space="0" w:color="auto"/>
        <w:bottom w:val="none" w:sz="0" w:space="0" w:color="auto"/>
        <w:right w:val="none" w:sz="0" w:space="0" w:color="auto"/>
      </w:divBdr>
      <w:divsChild>
        <w:div w:id="707216374">
          <w:marLeft w:val="0"/>
          <w:marRight w:val="0"/>
          <w:marTop w:val="0"/>
          <w:marBottom w:val="0"/>
          <w:divBdr>
            <w:top w:val="none" w:sz="0" w:space="0" w:color="auto"/>
            <w:left w:val="none" w:sz="0" w:space="0" w:color="auto"/>
            <w:bottom w:val="none" w:sz="0" w:space="0" w:color="auto"/>
            <w:right w:val="none" w:sz="0" w:space="0" w:color="auto"/>
          </w:divBdr>
        </w:div>
      </w:divsChild>
    </w:div>
    <w:div w:id="1452434536">
      <w:bodyDiv w:val="1"/>
      <w:marLeft w:val="0"/>
      <w:marRight w:val="0"/>
      <w:marTop w:val="0"/>
      <w:marBottom w:val="0"/>
      <w:divBdr>
        <w:top w:val="none" w:sz="0" w:space="0" w:color="auto"/>
        <w:left w:val="none" w:sz="0" w:space="0" w:color="auto"/>
        <w:bottom w:val="none" w:sz="0" w:space="0" w:color="auto"/>
        <w:right w:val="none" w:sz="0" w:space="0" w:color="auto"/>
      </w:divBdr>
    </w:div>
    <w:div w:id="1501576616">
      <w:bodyDiv w:val="1"/>
      <w:marLeft w:val="0"/>
      <w:marRight w:val="0"/>
      <w:marTop w:val="0"/>
      <w:marBottom w:val="0"/>
      <w:divBdr>
        <w:top w:val="none" w:sz="0" w:space="0" w:color="auto"/>
        <w:left w:val="none" w:sz="0" w:space="0" w:color="auto"/>
        <w:bottom w:val="none" w:sz="0" w:space="0" w:color="auto"/>
        <w:right w:val="none" w:sz="0" w:space="0" w:color="auto"/>
      </w:divBdr>
    </w:div>
    <w:div w:id="1536775482">
      <w:bodyDiv w:val="1"/>
      <w:marLeft w:val="0"/>
      <w:marRight w:val="0"/>
      <w:marTop w:val="0"/>
      <w:marBottom w:val="0"/>
      <w:divBdr>
        <w:top w:val="none" w:sz="0" w:space="0" w:color="auto"/>
        <w:left w:val="none" w:sz="0" w:space="0" w:color="auto"/>
        <w:bottom w:val="none" w:sz="0" w:space="0" w:color="auto"/>
        <w:right w:val="none" w:sz="0" w:space="0" w:color="auto"/>
      </w:divBdr>
    </w:div>
    <w:div w:id="1567299183">
      <w:bodyDiv w:val="1"/>
      <w:marLeft w:val="0"/>
      <w:marRight w:val="0"/>
      <w:marTop w:val="0"/>
      <w:marBottom w:val="0"/>
      <w:divBdr>
        <w:top w:val="none" w:sz="0" w:space="0" w:color="auto"/>
        <w:left w:val="none" w:sz="0" w:space="0" w:color="auto"/>
        <w:bottom w:val="none" w:sz="0" w:space="0" w:color="auto"/>
        <w:right w:val="none" w:sz="0" w:space="0" w:color="auto"/>
      </w:divBdr>
    </w:div>
    <w:div w:id="1608348458">
      <w:bodyDiv w:val="1"/>
      <w:marLeft w:val="0"/>
      <w:marRight w:val="0"/>
      <w:marTop w:val="0"/>
      <w:marBottom w:val="0"/>
      <w:divBdr>
        <w:top w:val="none" w:sz="0" w:space="0" w:color="auto"/>
        <w:left w:val="none" w:sz="0" w:space="0" w:color="auto"/>
        <w:bottom w:val="none" w:sz="0" w:space="0" w:color="auto"/>
        <w:right w:val="none" w:sz="0" w:space="0" w:color="auto"/>
      </w:divBdr>
    </w:div>
    <w:div w:id="1642690480">
      <w:bodyDiv w:val="1"/>
      <w:marLeft w:val="0"/>
      <w:marRight w:val="0"/>
      <w:marTop w:val="0"/>
      <w:marBottom w:val="0"/>
      <w:divBdr>
        <w:top w:val="none" w:sz="0" w:space="0" w:color="auto"/>
        <w:left w:val="none" w:sz="0" w:space="0" w:color="auto"/>
        <w:bottom w:val="none" w:sz="0" w:space="0" w:color="auto"/>
        <w:right w:val="none" w:sz="0" w:space="0" w:color="auto"/>
      </w:divBdr>
    </w:div>
    <w:div w:id="1678120640">
      <w:bodyDiv w:val="1"/>
      <w:marLeft w:val="0"/>
      <w:marRight w:val="0"/>
      <w:marTop w:val="0"/>
      <w:marBottom w:val="0"/>
      <w:divBdr>
        <w:top w:val="none" w:sz="0" w:space="0" w:color="auto"/>
        <w:left w:val="none" w:sz="0" w:space="0" w:color="auto"/>
        <w:bottom w:val="none" w:sz="0" w:space="0" w:color="auto"/>
        <w:right w:val="none" w:sz="0" w:space="0" w:color="auto"/>
      </w:divBdr>
    </w:div>
    <w:div w:id="1711145315">
      <w:bodyDiv w:val="1"/>
      <w:marLeft w:val="0"/>
      <w:marRight w:val="0"/>
      <w:marTop w:val="0"/>
      <w:marBottom w:val="0"/>
      <w:divBdr>
        <w:top w:val="none" w:sz="0" w:space="0" w:color="auto"/>
        <w:left w:val="none" w:sz="0" w:space="0" w:color="auto"/>
        <w:bottom w:val="none" w:sz="0" w:space="0" w:color="auto"/>
        <w:right w:val="none" w:sz="0" w:space="0" w:color="auto"/>
      </w:divBdr>
    </w:div>
    <w:div w:id="1721399676">
      <w:bodyDiv w:val="1"/>
      <w:marLeft w:val="0"/>
      <w:marRight w:val="0"/>
      <w:marTop w:val="0"/>
      <w:marBottom w:val="0"/>
      <w:divBdr>
        <w:top w:val="none" w:sz="0" w:space="0" w:color="auto"/>
        <w:left w:val="none" w:sz="0" w:space="0" w:color="auto"/>
        <w:bottom w:val="none" w:sz="0" w:space="0" w:color="auto"/>
        <w:right w:val="none" w:sz="0" w:space="0" w:color="auto"/>
      </w:divBdr>
    </w:div>
    <w:div w:id="1771508485">
      <w:bodyDiv w:val="1"/>
      <w:marLeft w:val="0"/>
      <w:marRight w:val="0"/>
      <w:marTop w:val="0"/>
      <w:marBottom w:val="0"/>
      <w:divBdr>
        <w:top w:val="none" w:sz="0" w:space="0" w:color="auto"/>
        <w:left w:val="none" w:sz="0" w:space="0" w:color="auto"/>
        <w:bottom w:val="none" w:sz="0" w:space="0" w:color="auto"/>
        <w:right w:val="none" w:sz="0" w:space="0" w:color="auto"/>
      </w:divBdr>
    </w:div>
    <w:div w:id="1785347425">
      <w:bodyDiv w:val="1"/>
      <w:marLeft w:val="0"/>
      <w:marRight w:val="0"/>
      <w:marTop w:val="0"/>
      <w:marBottom w:val="0"/>
      <w:divBdr>
        <w:top w:val="none" w:sz="0" w:space="0" w:color="auto"/>
        <w:left w:val="none" w:sz="0" w:space="0" w:color="auto"/>
        <w:bottom w:val="none" w:sz="0" w:space="0" w:color="auto"/>
        <w:right w:val="none" w:sz="0" w:space="0" w:color="auto"/>
      </w:divBdr>
    </w:div>
    <w:div w:id="1889949240">
      <w:bodyDiv w:val="1"/>
      <w:marLeft w:val="0"/>
      <w:marRight w:val="0"/>
      <w:marTop w:val="0"/>
      <w:marBottom w:val="0"/>
      <w:divBdr>
        <w:top w:val="none" w:sz="0" w:space="0" w:color="auto"/>
        <w:left w:val="none" w:sz="0" w:space="0" w:color="auto"/>
        <w:bottom w:val="none" w:sz="0" w:space="0" w:color="auto"/>
        <w:right w:val="none" w:sz="0" w:space="0" w:color="auto"/>
      </w:divBdr>
    </w:div>
    <w:div w:id="1911841168">
      <w:bodyDiv w:val="1"/>
      <w:marLeft w:val="0"/>
      <w:marRight w:val="0"/>
      <w:marTop w:val="0"/>
      <w:marBottom w:val="0"/>
      <w:divBdr>
        <w:top w:val="none" w:sz="0" w:space="0" w:color="auto"/>
        <w:left w:val="none" w:sz="0" w:space="0" w:color="auto"/>
        <w:bottom w:val="none" w:sz="0" w:space="0" w:color="auto"/>
        <w:right w:val="none" w:sz="0" w:space="0" w:color="auto"/>
      </w:divBdr>
    </w:div>
    <w:div w:id="1969585941">
      <w:bodyDiv w:val="1"/>
      <w:marLeft w:val="0"/>
      <w:marRight w:val="0"/>
      <w:marTop w:val="0"/>
      <w:marBottom w:val="0"/>
      <w:divBdr>
        <w:top w:val="none" w:sz="0" w:space="0" w:color="auto"/>
        <w:left w:val="none" w:sz="0" w:space="0" w:color="auto"/>
        <w:bottom w:val="none" w:sz="0" w:space="0" w:color="auto"/>
        <w:right w:val="none" w:sz="0" w:space="0" w:color="auto"/>
      </w:divBdr>
    </w:div>
    <w:div w:id="2027360645">
      <w:bodyDiv w:val="1"/>
      <w:marLeft w:val="0"/>
      <w:marRight w:val="0"/>
      <w:marTop w:val="0"/>
      <w:marBottom w:val="0"/>
      <w:divBdr>
        <w:top w:val="none" w:sz="0" w:space="0" w:color="auto"/>
        <w:left w:val="none" w:sz="0" w:space="0" w:color="auto"/>
        <w:bottom w:val="none" w:sz="0" w:space="0" w:color="auto"/>
        <w:right w:val="none" w:sz="0" w:space="0" w:color="auto"/>
      </w:divBdr>
    </w:div>
    <w:div w:id="2101026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F803D-B53C-4E43-8FC3-57A89F5A1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Pages>
  <Words>776</Words>
  <Characters>6530</Characters>
  <Application>Microsoft Office Word</Application>
  <DocSecurity>0</DocSecurity>
  <Lines>125</Lines>
  <Paragraphs>22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Hovhannes Margaryan;hovhannes_margaryan@taxservice.am</dc:creator>
  <cp:keywords>https://mul2.gov.am/tasks/1102053/oneclick?token=aa543cab9ebb44aad7649f1437ffed7f</cp:keywords>
  <dc:description/>
  <cp:lastModifiedBy>Ashot Tsormutyan</cp:lastModifiedBy>
  <cp:revision>35</cp:revision>
  <cp:lastPrinted>2024-11-19T10:14:00Z</cp:lastPrinted>
  <dcterms:created xsi:type="dcterms:W3CDTF">2024-11-19T10:08:00Z</dcterms:created>
  <dcterms:modified xsi:type="dcterms:W3CDTF">2025-02-19T10:22:00Z</dcterms:modified>
</cp:coreProperties>
</file>