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ind w:hanging="0" w:end="270"/>
        <w:jc w:val="end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</w:rPr>
      </w:r>
    </w:p>
    <w:p>
      <w:pPr>
        <w:pStyle w:val="Normal"/>
        <w:spacing w:lineRule="auto" w:line="240" w:before="0" w:after="0"/>
        <w:ind w:hanging="0" w:end="270"/>
        <w:jc w:val="center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</w:rPr>
      </w:r>
    </w:p>
    <w:p>
      <w:pPr>
        <w:pStyle w:val="Normal"/>
        <w:spacing w:lineRule="auto" w:line="276" w:before="0" w:after="0"/>
        <w:ind w:hanging="0" w:end="27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>
        <w:rPr>
          <w:rFonts w:cs="Sylfaen" w:ascii="GHEA Grapalat" w:hAnsi="GHEA Grapalat"/>
          <w:b/>
          <w:bCs/>
          <w:sz w:val="24"/>
          <w:szCs w:val="24"/>
          <w:lang w:val="hy-AM"/>
        </w:rPr>
        <w:t>ԱՄՓՈՓԱԹԵՐԹ</w:t>
      </w:r>
    </w:p>
    <w:p>
      <w:pPr>
        <w:pStyle w:val="Normal"/>
        <w:spacing w:lineRule="auto" w:line="276" w:before="0" w:after="0"/>
        <w:jc w:val="center"/>
        <w:rPr>
          <w:rFonts w:ascii="GHEA Grapalat" w:hAnsi="GHEA Grapalat"/>
          <w:sz w:val="24"/>
          <w:szCs w:val="24"/>
        </w:rPr>
      </w:pPr>
      <w:r>
        <w:rPr>
          <w:rFonts w:eastAsia="Times New Roman" w:cs="Times New Roman" w:ascii="GHEA Grapalat" w:hAnsi="GHEA Grapalat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val="hy-AM"/>
        </w:rPr>
        <w:t>«</w:t>
      </w:r>
      <w:r>
        <w:rPr>
          <w:rStyle w:val="Strong"/>
          <w:rFonts w:eastAsia="Times New Roman" w:cs="Sylfaen" w:ascii="GHEA Grapalat" w:hAnsi="GHEA Grapalat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val="hy-AM"/>
        </w:rPr>
        <w:t>ՀԱՅԱՍՏԱՆԻ ՀԱՆՐԱՊԵՏՈՒԹՅԱՆ ԿԱՌԱՎԱՐՈՒԹՅԱՆ 2024 ԹՎԱԿԱՆԻ ՀՈՒՆՎԱՐԻ 11֊Ի N 53֊Ն ՈՐՈՇՄԱՆ ՄԵՋ ԼՐԱՑՈՒՄՆԵՐ ԿԱՏԱՐԵԼՈՒ ՄԱՍԻՆ» ՀՀ ԿԱՌԱՎԱՐՈՒԹՅԱՆ ՈՐՈՇՄԱՆ</w:t>
      </w:r>
      <w:r>
        <w:rPr>
          <w:rFonts w:cs="Sylfaen" w:ascii="GHEA Grapalat" w:hAnsi="GHEA Grapalat"/>
          <w:b/>
          <w:bCs/>
          <w:i w:val="false"/>
          <w:caps w:val="false"/>
          <w:smallCaps w:val="false"/>
          <w:color w:val="000000"/>
          <w:spacing w:val="0"/>
          <w:sz w:val="24"/>
          <w:szCs w:val="24"/>
          <w:lang w:val="hy-AM"/>
        </w:rPr>
        <w:t xml:space="preserve">  ՆԱԽԱԳԾԻ ՎԵՐԱԲԵՐՅԱԼ</w:t>
      </w:r>
    </w:p>
    <w:p>
      <w:pPr>
        <w:pStyle w:val="Normal"/>
        <w:spacing w:lineRule="auto" w:line="276"/>
        <w:jc w:val="center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</w:rPr>
      </w:r>
    </w:p>
    <w:tbl>
      <w:tblPr>
        <w:tblpPr w:vertAnchor="text" w:horzAnchor="text" w:leftFromText="180" w:rightFromText="180" w:tblpX="270" w:tblpY="549"/>
        <w:tblW w:w="14675" w:type="dxa"/>
        <w:jc w:val="start"/>
        <w:tblInd w:w="-5" w:type="dxa"/>
        <w:tblLayout w:type="fixed"/>
        <w:tblCellMar>
          <w:top w:w="0" w:type="dxa"/>
          <w:start w:w="108" w:type="dxa"/>
          <w:bottom w:w="0" w:type="dxa"/>
          <w:end w:w="108" w:type="dxa"/>
        </w:tblCellMar>
      </w:tblPr>
      <w:tblGrid>
        <w:gridCol w:w="8913"/>
        <w:gridCol w:w="5761"/>
      </w:tblGrid>
      <w:tr>
        <w:trPr/>
        <w:tc>
          <w:tcPr>
            <w:tcW w:w="8913" w:type="dxa"/>
            <w:vMerge w:val="restart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E8CB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ascii="GHEA Grapalat" w:hAnsi="GHEA Grapalat"/>
                <w:b/>
                <w:kern w:val="0"/>
                <w:sz w:val="24"/>
                <w:szCs w:val="24"/>
                <w:lang w:val="hy-AM" w:eastAsia="en-US" w:bidi="ar-SA"/>
              </w:rPr>
              <w:t>1․ ՀՀ  ազգային անվտանգության ծառայություն</w:t>
            </w:r>
          </w:p>
        </w:tc>
        <w:tc>
          <w:tcPr>
            <w:tcW w:w="57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E8CB" w:val="clear"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  <w:rPr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25.10.2024</w:t>
            </w:r>
          </w:p>
        </w:tc>
      </w:tr>
      <w:tr>
        <w:trPr/>
        <w:tc>
          <w:tcPr>
            <w:tcW w:w="8913" w:type="dxa"/>
            <w:vMerge w:val="continue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E8CB" w:val="clear"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16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7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E8CB" w:val="clear"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  <w:rPr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N 11/1482</w:t>
            </w:r>
          </w:p>
        </w:tc>
      </w:tr>
      <w:tr>
        <w:trPr/>
        <w:tc>
          <w:tcPr>
            <w:tcW w:w="891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  <w:rPr>
                <w:sz w:val="24"/>
                <w:szCs w:val="24"/>
              </w:rPr>
            </w:pPr>
            <w:r>
              <w:rPr>
                <w:rFonts w:ascii="GHEA Grapalat" w:hAnsi="GHEA Grapalat"/>
                <w:b w:val="false"/>
                <w:bCs w:val="false"/>
                <w:sz w:val="24"/>
                <w:szCs w:val="24"/>
              </w:rPr>
              <w:t>Դիտողություն և առաջարկություններ չկան</w:t>
            </w:r>
          </w:p>
        </w:tc>
        <w:tc>
          <w:tcPr>
            <w:tcW w:w="576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start"/>
              <w:rPr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 </w:t>
            </w:r>
          </w:p>
          <w:p>
            <w:pPr>
              <w:pStyle w:val="Normal"/>
              <w:widowControl w:val="false"/>
              <w:tabs>
                <w:tab w:val="clear" w:pos="720"/>
                <w:tab w:val="left" w:pos="4775" w:leader="none"/>
              </w:tabs>
              <w:suppressAutoHyphens w:val="true"/>
              <w:spacing w:lineRule="auto" w:line="276" w:before="0" w:after="0"/>
              <w:jc w:val="center"/>
              <w:rPr>
                <w:rFonts w:ascii="GHEA Grapalat" w:hAnsi="GHEA Grapalat" w:eastAsia="Times New Roman" w:cs="Times New Roman"/>
                <w:b/>
                <w:bCs/>
                <w:i w:val="false"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hy-AM"/>
              </w:rPr>
            </w:pPr>
            <w:r>
              <w:rPr>
                <w:rFonts w:eastAsia="Times New Roman" w:cs="Times New Roman" w:ascii="GHEA Grapalat" w:hAnsi="GHEA Grapalat"/>
                <w:b/>
                <w:bCs/>
                <w:i w:val="false"/>
                <w:caps w:val="false"/>
                <w:smallCaps w:val="false"/>
                <w:color w:val="000000"/>
                <w:spacing w:val="0"/>
                <w:sz w:val="24"/>
                <w:szCs w:val="24"/>
                <w:lang w:val="hy-AM"/>
              </w:rPr>
            </w:r>
          </w:p>
        </w:tc>
      </w:tr>
      <w:tr>
        <w:trPr/>
        <w:tc>
          <w:tcPr>
            <w:tcW w:w="8913" w:type="dxa"/>
            <w:vMerge w:val="restart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E8CB" w:val="clear"/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Calibri" w:ascii="GHEA Grapalat" w:hAnsi="GHEA Grapalat"/>
                <w:b/>
                <w:bCs w:val="false"/>
                <w:kern w:val="0"/>
                <w:sz w:val="24"/>
                <w:szCs w:val="24"/>
                <w:lang w:val="hy-AM" w:eastAsia="en-US" w:bidi="ar-SA"/>
              </w:rPr>
              <w:t>2․ ՀՀ  արդարադատության նախարարություն</w:t>
            </w:r>
          </w:p>
        </w:tc>
        <w:tc>
          <w:tcPr>
            <w:tcW w:w="576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E8CB" w:val="clear"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  <w:rPr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06.11.2024</w:t>
            </w:r>
          </w:p>
        </w:tc>
      </w:tr>
      <w:tr>
        <w:trPr/>
        <w:tc>
          <w:tcPr>
            <w:tcW w:w="8913" w:type="dxa"/>
            <w:vMerge w:val="continue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E8CB" w:val="clear"/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16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76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E8CB" w:val="clear"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  <w:rPr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N /27․3/44903֊2024</w:t>
            </w:r>
          </w:p>
        </w:tc>
      </w:tr>
      <w:tr>
        <w:trPr/>
        <w:tc>
          <w:tcPr>
            <w:tcW w:w="8913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  <w:rPr>
                <w:b/>
                <w:bCs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Փորձագիտական եզրակացություն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/>
            </w:pPr>
            <w:r>
              <w:rPr>
                <w:rFonts w:ascii="GHEA Grapalat" w:hAnsi="GHEA Grapalat"/>
                <w:b w:val="false"/>
                <w:bCs w:val="false"/>
                <w:sz w:val="24"/>
                <w:szCs w:val="24"/>
              </w:rPr>
              <w:t>Նախագծի  վերաբերյալ առարկություններ և դիտողություններ չկան։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/>
            </w:pPr>
            <w:r>
              <w:rPr>
                <w:rFonts w:ascii="GHEA Grapalat" w:hAnsi="GHEA Grapalat"/>
                <w:b w:val="false"/>
                <w:bCs w:val="false"/>
                <w:sz w:val="24"/>
                <w:szCs w:val="24"/>
              </w:rPr>
              <w:t>Միաժամանակ, առաջարկվել է Նախագիծը համաձայնեցնել ՀՀ ազգային անվտանգության ծառայության հետ։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rFonts w:ascii="GHEA Grapalat" w:hAnsi="GHEA Grapalat"/>
                <w:b w:val="false"/>
                <w:bCs w:val="false"/>
                <w:sz w:val="24"/>
                <w:szCs w:val="24"/>
              </w:rPr>
            </w:pPr>
            <w:r>
              <w:rPr>
                <w:rFonts w:ascii="GHEA Grapalat" w:hAnsi="GHEA Grapalat"/>
                <w:b w:val="false"/>
                <w:bCs w:val="false"/>
                <w:sz w:val="24"/>
                <w:szCs w:val="24"/>
              </w:rPr>
            </w:r>
          </w:p>
        </w:tc>
        <w:tc>
          <w:tcPr>
            <w:tcW w:w="576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b/>
                <w:bCs/>
                <w:sz w:val="24"/>
                <w:szCs w:val="24"/>
              </w:rPr>
            </w:pPr>
            <w:r>
              <w:rPr>
                <w:rFonts w:eastAsia="Calibri" w:cs="Noto Sans Arabic" w:ascii="GHEA Grapalat" w:hAnsi="GHEA Grapalat"/>
                <w:b w:val="false"/>
                <w:bCs w:val="false"/>
                <w:color w:val="auto"/>
                <w:kern w:val="0"/>
                <w:sz w:val="24"/>
                <w:szCs w:val="24"/>
                <w:lang w:val="en-US" w:eastAsia="en-US" w:bidi="ar-SA"/>
              </w:rPr>
              <w:t xml:space="preserve">Նախագիծը համաձայնեցվել է </w:t>
            </w:r>
            <w:r>
              <w:rPr>
                <w:rFonts w:ascii="GHEA Grapalat" w:hAnsi="GHEA Grapalat"/>
                <w:b w:val="false"/>
                <w:bCs w:val="false"/>
                <w:sz w:val="24"/>
                <w:szCs w:val="24"/>
              </w:rPr>
              <w:t>ՀՀ ազգային անվտանգության ծառայության հետ։</w:t>
            </w:r>
          </w:p>
        </w:tc>
      </w:tr>
      <w:tr>
        <w:trPr>
          <w:trHeight w:val="395" w:hRule="atLeast"/>
        </w:trPr>
        <w:tc>
          <w:tcPr>
            <w:tcW w:w="8913" w:type="dxa"/>
            <w:vMerge w:val="restart"/>
            <w:tcBorders>
              <w:start w:val="single" w:sz="4" w:space="0" w:color="000000"/>
              <w:bottom w:val="single" w:sz="4" w:space="0" w:color="000000"/>
            </w:tcBorders>
            <w:shd w:fill="DDE8CB" w:val="clear"/>
          </w:tcPr>
          <w:p>
            <w:pPr>
              <w:pStyle w:val="Normal"/>
              <w:spacing w:lineRule="auto" w:line="276" w:before="0" w:after="160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3․ ՀՀ վարչապետի աշխատակազմ</w:t>
            </w:r>
          </w:p>
        </w:tc>
        <w:tc>
          <w:tcPr>
            <w:tcW w:w="576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E8CB" w:val="clear"/>
          </w:tcPr>
          <w:p>
            <w:pPr>
              <w:pStyle w:val="Normal"/>
              <w:widowControl w:val="false"/>
              <w:spacing w:lineRule="auto" w:line="276" w:before="0"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06․12․2024</w:t>
            </w:r>
          </w:p>
        </w:tc>
      </w:tr>
      <w:tr>
        <w:trPr/>
        <w:tc>
          <w:tcPr>
            <w:tcW w:w="8913" w:type="dxa"/>
            <w:vMerge w:val="continue"/>
            <w:tcBorders>
              <w:start w:val="single" w:sz="4" w:space="0" w:color="000000"/>
              <w:bottom w:val="single" w:sz="4" w:space="0" w:color="000000"/>
            </w:tcBorders>
            <w:shd w:fill="DDE8CB" w:val="clear"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76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E8CB" w:val="clear"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  <w:rPr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lang w:val="hy-AM"/>
              </w:rPr>
              <w:t>N 02/10․19/42096֊2024</w:t>
            </w:r>
          </w:p>
        </w:tc>
      </w:tr>
      <w:tr>
        <w:trPr>
          <w:trHeight w:val="4325" w:hRule="atLeast"/>
        </w:trPr>
        <w:tc>
          <w:tcPr>
            <w:tcW w:w="891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Պետաիրավական վարչություն</w:t>
            </w:r>
          </w:p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both"/>
              <w:rPr>
                <w:b w:val="false"/>
                <w:bCs w:val="false"/>
              </w:rPr>
            </w:pPr>
            <w:r>
              <w:rPr>
                <w:rFonts w:ascii="GHEA Grapalat" w:hAnsi="GHEA Grapalat"/>
                <w:b w:val="false"/>
                <w:bCs w:val="false"/>
                <w:color w:val="000000"/>
                <w:sz w:val="24"/>
                <w:lang w:val="hy-AM"/>
              </w:rPr>
              <w:t xml:space="preserve">Նախագծով առաջարկվում է մի շարք ոլորտներում պետական գաղտնիք պարունակող տեղեկությունները տնօրինելու լիազորություններով օժտված մարմինների շարքում ավելացնել </w:t>
            </w:r>
            <w:r>
              <w:rPr>
                <w:rFonts w:ascii="GHEA Grapalat" w:hAnsi="GHEA Grapalat"/>
                <w:b w:val="false"/>
                <w:bCs w:val="false"/>
                <w:color w:val="000000"/>
                <w:sz w:val="24"/>
                <w:shd w:fill="FFFFFF" w:val="clear"/>
                <w:lang w:val="hy-AM"/>
              </w:rPr>
              <w:t>Արտաքին հետախուզության ծառայությունը: Մինչդեռ,</w:t>
            </w:r>
            <w:r>
              <w:rPr>
                <w:rFonts w:ascii="GHEA Grapalat" w:hAnsi="GHEA Grapalat"/>
                <w:b w:val="false"/>
                <w:bCs w:val="false"/>
                <w:color w:val="000000"/>
                <w:shd w:fill="FFFFFF" w:val="clear"/>
              </w:rPr>
              <w:t xml:space="preserve"> </w:t>
            </w:r>
            <w:r>
              <w:rPr>
                <w:rFonts w:ascii="GHEA Grapalat" w:hAnsi="GHEA Grapalat"/>
                <w:b w:val="false"/>
                <w:bCs w:val="false"/>
                <w:color w:val="000000"/>
                <w:sz w:val="24"/>
                <w:shd w:fill="FFFFFF" w:val="clear"/>
                <w:lang w:val="hy-AM"/>
              </w:rPr>
              <w:t>նախագծին կից հիմնավորումից</w:t>
            </w:r>
            <w:r>
              <w:rPr>
                <w:rFonts w:ascii="GHEA Grapalat" w:hAnsi="GHEA Grapalat"/>
                <w:b w:val="false"/>
                <w:bCs w:val="false"/>
                <w:color w:val="000000"/>
                <w:shd w:fill="FFFFFF" w:val="clear"/>
              </w:rPr>
              <w:t xml:space="preserve"> </w:t>
            </w:r>
            <w:r>
              <w:rPr>
                <w:rFonts w:ascii="GHEA Grapalat" w:hAnsi="GHEA Grapalat"/>
                <w:b w:val="false"/>
                <w:bCs w:val="false"/>
                <w:color w:val="000000"/>
                <w:sz w:val="24"/>
                <w:shd w:fill="FFFFFF" w:val="clear"/>
                <w:lang w:val="hy-AM"/>
              </w:rPr>
              <w:t>պարզ չէ, թե</w:t>
            </w:r>
            <w:r>
              <w:rPr>
                <w:rFonts w:ascii="GHEA Grapalat" w:hAnsi="GHEA Grapalat"/>
                <w:b w:val="false"/>
                <w:bCs w:val="false"/>
                <w:color w:val="000000"/>
                <w:shd w:fill="FFFFFF" w:val="clear"/>
              </w:rPr>
              <w:t xml:space="preserve"> </w:t>
            </w:r>
            <w:r>
              <w:rPr>
                <w:rFonts w:ascii="GHEA Grapalat" w:hAnsi="GHEA Grapalat"/>
                <w:b w:val="false"/>
                <w:bCs w:val="false"/>
                <w:color w:val="000000"/>
                <w:sz w:val="24"/>
                <w:shd w:fill="FFFFFF" w:val="clear"/>
                <w:lang w:val="hy-AM"/>
              </w:rPr>
              <w:t>Արտաքին հետախուզության ծառայության որ լիազորությունից է բխում</w:t>
            </w:r>
            <w:r>
              <w:rPr>
                <w:rFonts w:ascii="GHEA Grapalat" w:hAnsi="GHEA Grapalat"/>
                <w:b w:val="false"/>
                <w:bCs w:val="false"/>
                <w:color w:val="000000"/>
                <w:shd w:fill="FFFFFF" w:val="clear"/>
              </w:rPr>
              <w:t xml:space="preserve"> </w:t>
            </w:r>
            <w:r>
              <w:rPr>
                <w:rFonts w:ascii="GHEA Grapalat" w:hAnsi="GHEA Grapalat"/>
                <w:b w:val="false"/>
                <w:bCs w:val="false"/>
                <w:color w:val="000000"/>
                <w:sz w:val="24"/>
                <w:shd w:fill="FFFFFF" w:val="clear"/>
                <w:lang w:val="hy-AM"/>
              </w:rPr>
              <w:t>Կառավարության համապատասխան որոշման հավելվածի, օրինակ, 6-րդ</w:t>
            </w:r>
            <w:r>
              <w:rPr>
                <w:rFonts w:ascii="GHEA Grapalat" w:hAnsi="GHEA Grapalat"/>
                <w:b w:val="false"/>
                <w:bCs w:val="false"/>
                <w:color w:val="000000"/>
                <w:shd w:fill="FFFFFF" w:val="clear"/>
              </w:rPr>
              <w:t xml:space="preserve"> </w:t>
            </w:r>
            <w:r>
              <w:rPr>
                <w:rFonts w:ascii="GHEA Grapalat" w:hAnsi="GHEA Grapalat"/>
                <w:b w:val="false"/>
                <w:bCs w:val="false"/>
                <w:color w:val="000000"/>
                <w:sz w:val="24"/>
                <w:shd w:fill="FFFFFF" w:val="clear"/>
                <w:lang w:val="hy-AM"/>
              </w:rPr>
              <w:t>կամ 7-րդ</w:t>
            </w:r>
            <w:r>
              <w:rPr>
                <w:rFonts w:ascii="GHEA Grapalat" w:hAnsi="GHEA Grapalat"/>
                <w:b w:val="false"/>
                <w:bCs w:val="false"/>
                <w:color w:val="000000"/>
                <w:shd w:fill="FFFFFF" w:val="clear"/>
              </w:rPr>
              <w:t xml:space="preserve"> </w:t>
            </w:r>
            <w:r>
              <w:rPr>
                <w:rFonts w:ascii="GHEA Grapalat" w:hAnsi="GHEA Grapalat"/>
                <w:b w:val="false"/>
                <w:bCs w:val="false"/>
                <w:color w:val="000000"/>
                <w:sz w:val="24"/>
                <w:shd w:fill="FFFFFF" w:val="clear"/>
                <w:lang w:val="hy-AM"/>
              </w:rPr>
              <w:t>կետերով սահմանված</w:t>
            </w:r>
            <w:r>
              <w:rPr>
                <w:rFonts w:ascii="GHEA Grapalat" w:hAnsi="GHEA Grapalat"/>
                <w:b w:val="false"/>
                <w:bCs w:val="false"/>
                <w:color w:val="000000"/>
                <w:shd w:fill="FFFFFF" w:val="clear"/>
              </w:rPr>
              <w:t xml:space="preserve"> </w:t>
            </w:r>
            <w:r>
              <w:rPr>
                <w:rFonts w:ascii="GHEA Grapalat" w:hAnsi="GHEA Grapalat"/>
                <w:b w:val="false"/>
                <w:bCs w:val="false"/>
                <w:color w:val="000000"/>
                <w:sz w:val="24"/>
                <w:shd w:fill="FFFFFF" w:val="clear"/>
                <w:lang w:val="hy-AM"/>
              </w:rPr>
              <w:t>տեղեկությունները տնօրինելու անհրաժեշտությունը, որպեսզի</w:t>
            </w:r>
            <w:r>
              <w:rPr>
                <w:rFonts w:ascii="GHEA Grapalat" w:hAnsi="GHEA Grapalat"/>
                <w:b w:val="false"/>
                <w:bCs w:val="false"/>
                <w:color w:val="000000"/>
                <w:shd w:fill="FFFFFF" w:val="clear"/>
              </w:rPr>
              <w:t xml:space="preserve"> </w:t>
            </w:r>
            <w:r>
              <w:rPr>
                <w:rFonts w:ascii="GHEA Grapalat" w:hAnsi="GHEA Grapalat"/>
                <w:b w:val="false"/>
                <w:bCs w:val="false"/>
                <w:color w:val="000000"/>
                <w:sz w:val="24"/>
                <w:shd w:fill="FFFFFF" w:val="clear"/>
                <w:lang w:val="hy-AM"/>
              </w:rPr>
              <w:t>հնարավոր լինի գնահատել առաջարկվող կարգավորումների</w:t>
            </w:r>
            <w:r>
              <w:rPr>
                <w:b w:val="false"/>
                <w:bCs w:val="false"/>
                <w:color w:val="000000"/>
                <w:shd w:fill="FFFFFF" w:val="clear"/>
              </w:rPr>
              <w:t xml:space="preserve"> </w:t>
            </w:r>
            <w:r>
              <w:rPr>
                <w:rFonts w:ascii="GHEA Grapalat" w:hAnsi="GHEA Grapalat"/>
                <w:b w:val="false"/>
                <w:bCs w:val="false"/>
                <w:color w:val="000000"/>
                <w:sz w:val="24"/>
                <w:shd w:fill="FFFFFF" w:val="clear"/>
                <w:lang w:val="hy-AM"/>
              </w:rPr>
              <w:t>իրավաչափությունը:</w:t>
            </w:r>
          </w:p>
        </w:tc>
        <w:tc>
          <w:tcPr>
            <w:tcW w:w="576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rFonts w:ascii="GHEA Grapalat" w:hAnsi="GHEA Grapalat"/>
                <w:b/>
                <w:bCs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Ընդունվել է ի գիտություն</w:t>
            </w:r>
          </w:p>
          <w:p>
            <w:pPr>
              <w:pStyle w:val="BodyText"/>
              <w:spacing w:before="0" w:after="0"/>
              <w:ind w:hanging="0" w:start="0" w:end="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Ի լրումն հիմնավորման մեջ նկարագրվածի՝ հայտնում ենք, որ Նախագծում առաջարկվող լրացումների անրաժեշտությունը բխում է նաև «Արտաքին հետախուզական գործունեության և արտաքին հետախուզության ծառայության մասին» օրենքով (այսուհետ՝ Օրենք) Արտաքին հետախուզության ծառայության, որպես արտաքին հետախուզական գործունեություն իրականացնող մարմնի առջև դրված խնդիրների, նպատակների և գործառույթների լիարժեք և արդյունավետ իրականացման անհրաժեշտությունից։ Մասնավորապես, օրենքի 2֊րդ հոդվածի համաձայն՝  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ա</w:t>
            </w:r>
            <w:r>
              <w:rPr>
                <w:rFonts w:ascii="GHEA Grapalat" w:hAnsi="GHEA Grapalat"/>
                <w:b/>
                <w:sz w:val="24"/>
                <w:szCs w:val="24"/>
              </w:rPr>
              <w:t>րտաքին հետախուզական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գործունեությունն արտաքին հետախուզական գործունեություն իրականացնող մարմինների կողմից իրականացվող գործունեություն է, որն 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ուղղված է արտաքին սպառնալիքներից անձի, հասարակության և պետության պաշտպանությանը, Հայաստանի Հանրապետության կենսական շահերին առնչվող տեղեկատվություն ստանալուն և մշակելուն</w:t>
            </w:r>
            <w:r>
              <w:rPr>
                <w:rFonts w:ascii="GHEA Grapalat" w:hAnsi="GHEA Grapalat"/>
                <w:sz w:val="24"/>
                <w:szCs w:val="24"/>
              </w:rPr>
              <w:t xml:space="preserve">, Հայաստանի Հանրապետության արտաքին քաղաքականության, 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ռազմաքաղաքական</w:t>
            </w:r>
            <w:r>
              <w:rPr>
                <w:rFonts w:ascii="GHEA Grapalat" w:hAnsi="GHEA Grapalat"/>
                <w:sz w:val="24"/>
                <w:szCs w:val="24"/>
              </w:rPr>
              <w:t xml:space="preserve">, տնտեսական, 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գիտատեխնիկական,</w:t>
            </w:r>
            <w:r>
              <w:rPr>
                <w:rFonts w:ascii="GHEA Grapalat" w:hAnsi="GHEA Grapalat"/>
                <w:sz w:val="24"/>
                <w:szCs w:val="24"/>
              </w:rPr>
              <w:t xml:space="preserve"> շրջակա միջավայրի պահպանության և 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կենսական այլ ոլորտներում պետական քաղաքականության իրականացմանն աջակցելուն:</w:t>
            </w:r>
          </w:p>
          <w:p>
            <w:pPr>
              <w:pStyle w:val="BodyText"/>
              <w:spacing w:before="0" w:after="0"/>
              <w:ind w:hanging="0" w:start="0" w:end="0"/>
              <w:jc w:val="both"/>
              <w:rPr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Ծառայությունն արտաքին հետախուզական գործունեության շրջանակներում, ի թիվս այլնի վարչապետին է տրամադրում նաև արտաքին քաղաքական, 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անվտանգային,</w:t>
            </w:r>
            <w:r>
              <w:rPr>
                <w:rFonts w:ascii="GHEA Grapalat" w:hAnsi="GHEA Grapalat"/>
                <w:sz w:val="24"/>
                <w:szCs w:val="24"/>
              </w:rPr>
              <w:t xml:space="preserve"> տնտեսական, 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պաշտպանական, գիտատեխնիկական, տեխնոլոգիական բնագավառներում</w:t>
            </w:r>
            <w:r>
              <w:rPr>
                <w:rFonts w:ascii="GHEA Grapalat" w:hAnsi="GHEA Grapalat"/>
                <w:sz w:val="24"/>
                <w:szCs w:val="24"/>
              </w:rPr>
              <w:t xml:space="preserve"> որոշումներ կայացնելու համար անհրաժեշտ տեղեկատվություն կամ հետախուզական 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տեղեկություններ է հավաքում</w:t>
            </w:r>
            <w:r>
              <w:rPr>
                <w:rFonts w:ascii="GHEA Grapalat" w:hAnsi="GHEA Grapalat"/>
                <w:sz w:val="24"/>
                <w:szCs w:val="24"/>
              </w:rPr>
              <w:t xml:space="preserve"> Հայաստանի 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Հանրապետության անվտանգության ապահովման,</w:t>
            </w:r>
            <w:r>
              <w:rPr>
                <w:rFonts w:ascii="GHEA Grapalat" w:hAnsi="GHEA Grapalat"/>
                <w:sz w:val="24"/>
                <w:szCs w:val="24"/>
              </w:rPr>
              <w:t xml:space="preserve"> նրա տնտեսական, 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ռազմարդյունաբերական,</w:t>
            </w:r>
            <w:r>
              <w:rPr>
                <w:rFonts w:ascii="GHEA Grapalat" w:hAnsi="GHEA Grapalat"/>
                <w:sz w:val="24"/>
                <w:szCs w:val="24"/>
              </w:rPr>
              <w:t xml:space="preserve"> գիտատեխնիկական և 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պաշտպանական ներուժի հզորացման</w:t>
            </w:r>
            <w:r>
              <w:rPr>
                <w:rFonts w:ascii="GHEA Grapalat" w:hAnsi="GHEA Grapalat"/>
                <w:sz w:val="24"/>
                <w:szCs w:val="24"/>
              </w:rPr>
              <w:t xml:space="preserve">՝ պետության անվտանգության ամրապնդման նպատակով կամ 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ստանում, մշակում և վերլուծում է Հայաստանի Հանրապետության անվտանգության սպառնալիքների մասին տեղեկատվությունը, կանխատեսում վտանգները, իրականացնում է առկա և հնարավոր սպառնալիքների նախականխմանը և կանխմանն ուղղված միջոցառումներ, </w:t>
            </w:r>
            <w:r>
              <w:rPr>
                <w:rFonts w:ascii="GHEA Grapalat" w:hAnsi="GHEA Grapalat"/>
                <w:sz w:val="24"/>
                <w:szCs w:val="24"/>
              </w:rPr>
              <w:t xml:space="preserve">ինչպես նաև՝ 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>համագործակցում է արտաքին հետախուզական և հակահետախուզական,</w:t>
            </w:r>
            <w:r>
              <w:rPr>
                <w:rFonts w:ascii="GHEA Grapalat" w:hAnsi="GHEA Grapalat"/>
                <w:sz w:val="24"/>
                <w:szCs w:val="24"/>
              </w:rPr>
              <w:t xml:space="preserve"> ազգային անվտանգության ապահովման բնագավառում գործունեություն իրականացնող</w:t>
            </w:r>
            <w:r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այլ իրավասու, ինչպես նաև իրավապահ մարմինների հետ։</w:t>
            </w:r>
          </w:p>
          <w:p>
            <w:pPr>
              <w:pStyle w:val="BodyText"/>
              <w:spacing w:before="0" w:after="0"/>
              <w:ind w:hanging="0" w:start="0" w:end="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Վերոգրյալ գործառույթների իրականացումն ենթադրում է առնչություն նաև ՀՀ կառավարության 11․01․2024 թվականի N 53-Ն որոշման ցանկի 6 և 7֊րդ կետերում նշված համապատասխան բնագավառի տեղեկություններին։</w:t>
            </w:r>
          </w:p>
          <w:p>
            <w:pPr>
              <w:pStyle w:val="BodyText"/>
              <w:spacing w:before="0" w:after="0"/>
              <w:ind w:hanging="0" w:start="0" w:end="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Միաժամանակ նշենք նաև, որ ՀՀ կառավարության 11․01․2024 թվականի N 53-Ն որոշման ցանկի  համապատասխան կետերում Արտաքին հետախուզության ծառայությանն ավելացնելն ինքնանպատակ չէ և սույն որոշման համաձայն՝ գերատեսչական պատկանելության պետական գաղտնիքի շարքին դասվող տեղեկությունները տնօրինելու լիազորություն ունենալը ենթադրում է նաև պետական գաղտնիքին առնչվելու համապատասխան ձևի թույլտվություն ունեցող անձանց թույլատրել ծանոթանալ պետական գաղտնիք պարունակող տեղեկություններին, գաղտնի տեղեկությունները փոխանցել այլ պետական և տեղական ինքնակառավարման մարմիններին, կազմակերպություններին, իրավաբանական և ֆիզիկական անձանց, գաղտնագրել պետական գաղտնիքի շարքին դասման ենթակա տեղեկությունները։ </w:t>
            </w:r>
          </w:p>
          <w:p>
            <w:pPr>
              <w:pStyle w:val="BodyText"/>
              <w:spacing w:before="0" w:after="0"/>
              <w:ind w:hanging="0" w:start="0" w:end="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Եվ որպեսի Ծառայությունն իր գործառույթների լիարժեք իրականացման շրջանակում իրավական հիմք ունենա տնօրինելու կամ առնչվելու կամ օգտագործելու համապատասխան կետերում նշված տեղեկությունները, առաջարկվում է Ծառայությանը ևս ընդգրկել համաատասխան կետերում։ </w:t>
            </w:r>
          </w:p>
          <w:p>
            <w:pPr>
              <w:pStyle w:val="BodyText"/>
              <w:spacing w:before="0" w:after="0"/>
              <w:ind w:hanging="0" w:start="0" w:end="0"/>
              <w:jc w:val="both"/>
              <w:rPr/>
            </w:pPr>
            <w:r>
              <w:rPr>
                <w:rFonts w:ascii="GHEA Grapalat" w:hAnsi="GHEA Grapalat"/>
                <w:sz w:val="24"/>
                <w:szCs w:val="24"/>
              </w:rPr>
              <w:t xml:space="preserve">Նշենք նաև, որ ՀՀ կառավարության 2024 թվականի </w:t>
            </w:r>
            <w:r>
              <w:rPr>
                <w:rStyle w:val="Strong"/>
                <w:rFonts w:ascii="GHEA Grapalat" w:hAnsi="GHEA Grapalat"/>
                <w:b w:val="false"/>
                <w:bCs w:val="false"/>
                <w:sz w:val="24"/>
                <w:szCs w:val="24"/>
              </w:rPr>
              <w:t>հունվարի 11-ի N 53-Ն որոշման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ցանկի 6 և 7֊րդ կետերում ներառված են հետախուզական համայնքի (և ոչ միայն) համապատասխան պետական մարմինները, բացառությամբ  Ծառայության, ինչը գործնականում համապատասխան տեղեկատվություն ստանալու, փոխանցելու կամ օրենքից բխող այլ գործառույթներ իրականացնելու տեսանկյունից կարող է խնդիրներ առաջացնել։</w:t>
            </w:r>
          </w:p>
        </w:tc>
      </w:tr>
      <w:tr>
        <w:trPr>
          <w:trHeight w:val="275" w:hRule="atLeast"/>
        </w:trPr>
        <w:tc>
          <w:tcPr>
            <w:tcW w:w="8913" w:type="dxa"/>
            <w:vMerge w:val="restart"/>
            <w:tcBorders>
              <w:start w:val="single" w:sz="4" w:space="0" w:color="000000"/>
              <w:bottom w:val="single" w:sz="4" w:space="0" w:color="000000"/>
            </w:tcBorders>
            <w:shd w:fill="DDE8CB" w:val="clear"/>
          </w:tcPr>
          <w:p>
            <w:pPr>
              <w:pStyle w:val="Normal"/>
              <w:spacing w:lineRule="auto" w:line="276" w:before="0" w:after="1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Պետաիրավական նախարարական կոմիտե</w:t>
            </w:r>
          </w:p>
        </w:tc>
        <w:tc>
          <w:tcPr>
            <w:tcW w:w="576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E8CB" w:val="clear"/>
          </w:tcPr>
          <w:p>
            <w:pPr>
              <w:pStyle w:val="Normal"/>
              <w:spacing w:lineRule="auto" w:line="276" w:before="0" w:after="1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08․01․2025</w:t>
            </w:r>
          </w:p>
        </w:tc>
      </w:tr>
      <w:tr>
        <w:trPr>
          <w:trHeight w:val="275" w:hRule="atLeast"/>
        </w:trPr>
        <w:tc>
          <w:tcPr>
            <w:tcW w:w="8913" w:type="dxa"/>
            <w:vMerge w:val="continue"/>
            <w:tcBorders>
              <w:start w:val="single" w:sz="4" w:space="0" w:color="000000"/>
              <w:bottom w:val="single" w:sz="4" w:space="0" w:color="000000"/>
            </w:tcBorders>
            <w:shd w:fill="DDE8CB" w:val="clear"/>
          </w:tcPr>
          <w:p>
            <w:pPr>
              <w:pStyle w:val="Normal"/>
              <w:widowControl w:val="false"/>
              <w:suppressAutoHyphens w:val="true"/>
              <w:spacing w:lineRule="auto" w:line="276" w:before="0" w:after="0"/>
              <w:jc w:val="center"/>
              <w:rPr/>
            </w:pPr>
            <w:r>
              <w:rPr/>
            </w:r>
          </w:p>
        </w:tc>
        <w:tc>
          <w:tcPr>
            <w:tcW w:w="576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  <w:shd w:fill="DDE8CB" w:val="clear"/>
          </w:tcPr>
          <w:p>
            <w:pPr>
              <w:pStyle w:val="Normal"/>
              <w:spacing w:lineRule="auto" w:line="276" w:before="0" w:after="16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N ԿԱ/06֊2025</w:t>
            </w:r>
          </w:p>
        </w:tc>
      </w:tr>
      <w:tr>
        <w:trPr>
          <w:trHeight w:val="1411" w:hRule="atLeast"/>
        </w:trPr>
        <w:tc>
          <w:tcPr>
            <w:tcW w:w="8913" w:type="dxa"/>
            <w:tcBorders>
              <w:star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BodyText"/>
              <w:widowControl/>
              <w:suppressAutoHyphens w:val="true"/>
              <w:overflowPunct w:val="false"/>
              <w:bidi w:val="0"/>
              <w:spacing w:before="0" w:after="0"/>
              <w:ind w:hanging="0" w:start="0" w:end="0"/>
              <w:jc w:val="both"/>
              <w:rPr>
                <w:rFonts w:ascii="GHEA Grapalat" w:hAnsi="GHEA Grapalat" w:eastAsia="Calibri" w:cs="Noto Sans Arabic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Noto Sans Arabic" w:ascii="GHEA Grapalat" w:hAnsi="GHEA Grapalat"/>
                <w:color w:val="auto"/>
                <w:kern w:val="0"/>
                <w:sz w:val="24"/>
                <w:szCs w:val="24"/>
                <w:lang w:val="en-US" w:eastAsia="en-US" w:bidi="ar-SA"/>
              </w:rPr>
              <w:t>Տալ դրական դիրքորոշում՝ պայմանով, որ ՀՀ կառավարության նիստի օրակարգ կներառվի նախագծի՝ ՀՀ վարչապետի աշխատակազմի և Բարձր տեխնոլոգիական արդյունաբերության նախարարության հետ փոխհամաձայնեցված տարբերակը։</w:t>
            </w:r>
          </w:p>
        </w:tc>
        <w:tc>
          <w:tcPr>
            <w:tcW w:w="5761" w:type="dxa"/>
            <w:tcBorders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BodyText"/>
              <w:widowControl/>
              <w:suppressAutoHyphens w:val="true"/>
              <w:overflowPunct w:val="false"/>
              <w:bidi w:val="0"/>
              <w:spacing w:before="0" w:after="0"/>
              <w:ind w:hanging="0" w:start="0" w:end="0"/>
              <w:jc w:val="center"/>
              <w:rPr>
                <w:rFonts w:ascii="GHEA Grapalat" w:hAnsi="GHEA Grapalat" w:eastAsia="Calibri" w:cs="Noto Sans Arabic"/>
                <w:b/>
                <w:bCs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Noto Sans Arabic" w:ascii="GHEA Grapalat" w:hAnsi="GHEA Grapalat"/>
                <w:b/>
                <w:bCs/>
                <w:color w:val="auto"/>
                <w:kern w:val="0"/>
                <w:sz w:val="24"/>
                <w:szCs w:val="24"/>
                <w:lang w:val="en-US" w:eastAsia="en-US" w:bidi="ar-SA"/>
              </w:rPr>
              <w:t>Ընդունվել է</w:t>
            </w:r>
          </w:p>
          <w:p>
            <w:pPr>
              <w:pStyle w:val="BodyText"/>
              <w:widowControl/>
              <w:suppressAutoHyphens w:val="true"/>
              <w:overflowPunct w:val="false"/>
              <w:bidi w:val="0"/>
              <w:spacing w:before="0" w:after="0"/>
              <w:ind w:hanging="0" w:start="0" w:end="0"/>
              <w:jc w:val="both"/>
              <w:rPr>
                <w:rFonts w:ascii="GHEA Grapalat" w:hAnsi="GHEA Grapalat" w:eastAsia="Calibri" w:cs="Noto Sans Arabic"/>
                <w:color w:val="auto"/>
                <w:kern w:val="0"/>
                <w:sz w:val="24"/>
                <w:szCs w:val="24"/>
                <w:lang w:val="en-US" w:eastAsia="en-US" w:bidi="ar-SA"/>
              </w:rPr>
            </w:pPr>
            <w:r>
              <w:rPr>
                <w:rFonts w:eastAsia="Calibri" w:cs="Noto Sans Arabic" w:ascii="GHEA Grapalat" w:hAnsi="GHEA Grapalat"/>
                <w:color w:val="auto"/>
                <w:kern w:val="0"/>
                <w:sz w:val="24"/>
                <w:szCs w:val="24"/>
                <w:lang w:val="en-US" w:eastAsia="en-US" w:bidi="ar-SA"/>
              </w:rPr>
              <w:t xml:space="preserve">Քննարկման արդյունքում նախագիծը լրամշակվել և փոխհամաձայնեցվել է՝ նախագծով առաջարկվող լրացումներից հանելով որոշման հավելվածով հաստատված ցանկի 7֊րդ կետը։ </w:t>
            </w:r>
          </w:p>
        </w:tc>
      </w:tr>
    </w:tbl>
    <w:p>
      <w:pPr>
        <w:pStyle w:val="Normal"/>
        <w:spacing w:before="0" w:after="0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</w:r>
    </w:p>
    <w:sectPr>
      <w:footerReference w:type="even" r:id="rId2"/>
      <w:footerReference w:type="default" r:id="rId3"/>
      <w:footerReference w:type="first" r:id="rId4"/>
      <w:type w:val="nextPage"/>
      <w:pgSz w:orient="landscape" w:w="15840" w:h="12240"/>
      <w:pgMar w:left="738" w:right="702" w:gutter="0" w:header="0" w:top="1260" w:footer="720" w:bottom="144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 w:characterSet="utf-8"/>
    <w:family w:val="roman"/>
    <w:pitch w:val="variable"/>
  </w:font>
  <w:font w:name="Segoe UI">
    <w:charset w:val="01" w:characterSet="utf-8"/>
    <w:family w:val="roman"/>
    <w:pitch w:val="variable"/>
  </w:font>
  <w:font w:name="Liberation Sans">
    <w:altName w:val="Arial"/>
    <w:charset w:val="01" w:characterSet="utf-8"/>
    <w:family w:val="roman"/>
    <w:pitch w:val="variable"/>
  </w:font>
  <w:font w:name="Times New Roman">
    <w:charset w:val="01" w:characterSet="utf-8"/>
    <w:family w:val="roman"/>
    <w:pitch w:val="variable"/>
  </w:font>
  <w:font w:name="GHEA Grapalat">
    <w:charset w:val="01" w:characterSet="utf-8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6</w:t>
    </w:r>
    <w:r>
      <w:rPr/>
      <w:fldChar w:fldCharType="end"/>
    </w:r>
  </w:p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6</w:t>
    </w:r>
    <w:r>
      <w:rPr/>
      <w:fldChar w:fldCharType="end"/>
    </w:r>
  </w:p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2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Noto Sans Arabic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lineRule="auto" w:line="259" w:before="0" w:after="160"/>
      <w:jc w:val="start"/>
    </w:pPr>
    <w:rPr>
      <w:rFonts w:ascii="Calibri" w:hAnsi="Calibri" w:eastAsia="Calibri" w:cs="Noto Sans Arabic"/>
      <w:color w:val="auto"/>
      <w:kern w:val="0"/>
      <w:sz w:val="22"/>
      <w:szCs w:val="22"/>
      <w:lang w:val="en-US" w:eastAsia="en-US" w:bidi="ar-SA"/>
    </w:rPr>
  </w:style>
  <w:style w:type="character" w:styleId="DefaultParagraphFont">
    <w:name w:val="Default Paragraph Font"/>
    <w:qFormat/>
    <w:rPr/>
  </w:style>
  <w:style w:type="character" w:styleId="annotationreference">
    <w:name w:val="annotation reference"/>
    <w:basedOn w:val="DefaultParagraphFont"/>
    <w:qFormat/>
    <w:rPr>
      <w:sz w:val="16"/>
      <w:szCs w:val="16"/>
    </w:rPr>
  </w:style>
  <w:style w:type="character" w:styleId="CommentTextChar">
    <w:name w:val="Comment Text Char"/>
    <w:basedOn w:val="DefaultParagraphFont"/>
    <w:link w:val="AnnotationText"/>
    <w:qFormat/>
    <w:rPr>
      <w:sz w:val="20"/>
      <w:szCs w:val="20"/>
    </w:rPr>
  </w:style>
  <w:style w:type="character" w:styleId="CommentSubjectChar">
    <w:name w:val="Comment Subject Char"/>
    <w:basedOn w:val="CommentTextChar"/>
    <w:link w:val="annotationsubject"/>
    <w:qFormat/>
    <w:rPr>
      <w:b/>
      <w:bCs/>
      <w:sz w:val="20"/>
      <w:szCs w:val="20"/>
    </w:rPr>
  </w:style>
  <w:style w:type="character" w:styleId="BalloonTextChar">
    <w:name w:val="Balloon Text Char"/>
    <w:basedOn w:val="DefaultParagraphFont"/>
    <w:link w:val="BalloonText"/>
    <w:qFormat/>
    <w:rPr>
      <w:rFonts w:ascii="Segoe UI" w:hAnsi="Segoe UI" w:cs="Segoe UI"/>
      <w:sz w:val="18"/>
      <w:szCs w:val="18"/>
    </w:rPr>
  </w:style>
  <w:style w:type="character" w:styleId="HeaderChar">
    <w:name w:val="Header Char"/>
    <w:basedOn w:val="DefaultParagraphFont"/>
    <w:link w:val="Header"/>
    <w:qFormat/>
    <w:rPr/>
  </w:style>
  <w:style w:type="character" w:styleId="FooterChar">
    <w:name w:val="Footer Char"/>
    <w:basedOn w:val="DefaultParagraphFont"/>
    <w:link w:val="Footer"/>
    <w:qFormat/>
    <w:rPr/>
  </w:style>
  <w:style w:type="character" w:styleId="StrongEmphasis">
    <w:name w:val="Strong Emphasis"/>
    <w:qFormat/>
    <w:rPr>
      <w:b/>
      <w:bCs/>
    </w:rPr>
  </w:style>
  <w:style w:type="character" w:styleId="Strong">
    <w:name w:val="Strong"/>
    <w:basedOn w:val="DefaultParagraphFont"/>
    <w:qFormat/>
    <w:rPr>
      <w:b/>
      <w:bCs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ohit Devanagari"/>
    </w:rPr>
  </w:style>
  <w:style w:type="paragraph" w:styleId="AnnotationText">
    <w:name w:val="Annotation Text"/>
    <w:basedOn w:val="Normal"/>
    <w:link w:val="CommentTextChar"/>
    <w:qFormat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CommentSubjectChar"/>
    <w:qFormat/>
    <w:pPr/>
    <w:rPr>
      <w:b/>
      <w:bCs/>
    </w:rPr>
  </w:style>
  <w:style w:type="paragraph" w:styleId="BalloonText">
    <w:name w:val="Balloon Text"/>
    <w:basedOn w:val="Normal"/>
    <w:link w:val="BalloonTextChar"/>
    <w:qFormat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  <w:style w:type="paragraph" w:styleId="NormalWeb">
    <w:name w:val="Normal (Web)"/>
    <w:basedOn w:val="Normal"/>
    <w:qFormat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</w:rPr>
  </w:style>
  <w:style w:type="numbering" w:styleId="NoList">
    <w:name w:val="No List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er" Target="footer3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1633</TotalTime>
  <Application>LibreOffice/24.2.5.2$Linux_X86_64 LibreOffice_project/420$Build-2</Application>
  <AppVersion>15.0000</AppVersion>
  <Pages>6</Pages>
  <Words>540</Words>
  <Characters>4422</Characters>
  <CharactersWithSpaces>4941</CharactersWithSpaces>
  <Paragraphs>34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2022-12-07T05:34:00Z</dcterms:created>
  <dc:creator>Narek Abrahamyan</dc:creator>
  <dc:description/>
  <dc:language>en-US</dc:language>
  <cp:lastModifiedBy/>
  <cp:lastPrinted>2024-09-16T13:30:51Z</cp:lastPrinted>
  <dcterms:modified xsi:type="dcterms:W3CDTF">2025-01-14T16:28:31Z</dcterms:modified>
  <cp:revision>239</cp:revision>
  <dc:subject/>
  <dc:title/>
  <cp:keywords>https://mul2.gov.am/tasks/1095498/oneclick?token=281b149442434bc86bf3ebc3ebc12ee4</cp:keywords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