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DB7" w:rsidRPr="004366A6" w:rsidRDefault="007E6DB7" w:rsidP="004366A6">
      <w:pPr>
        <w:shd w:val="clear" w:color="auto" w:fill="FFFFFF"/>
        <w:spacing w:after="0" w:line="276" w:lineRule="auto"/>
        <w:ind w:firstLine="375"/>
        <w:jc w:val="right"/>
        <w:rPr>
          <w:rFonts w:ascii="GHEA Grapalat" w:eastAsia="Times New Roman" w:hAnsi="GHEA Grapalat" w:cs="Calibri"/>
          <w:sz w:val="24"/>
          <w:szCs w:val="24"/>
          <w:lang w:val="hy-AM"/>
        </w:rPr>
      </w:pPr>
    </w:p>
    <w:p w:rsidR="003F7526" w:rsidRPr="004366A6" w:rsidRDefault="003F7526" w:rsidP="004366A6">
      <w:pPr>
        <w:shd w:val="clear" w:color="auto" w:fill="FFFFFF"/>
        <w:tabs>
          <w:tab w:val="left" w:pos="0"/>
          <w:tab w:val="left" w:pos="360"/>
          <w:tab w:val="left" w:pos="990"/>
          <w:tab w:val="left" w:pos="1170"/>
        </w:tabs>
        <w:spacing w:after="0" w:line="276" w:lineRule="auto"/>
        <w:ind w:firstLine="375"/>
        <w:jc w:val="center"/>
        <w:rPr>
          <w:rFonts w:ascii="GHEA Grapalat" w:eastAsia="Times New Roman" w:hAnsi="GHEA Grapalat" w:cs="Times New Roman"/>
          <w:b/>
          <w:sz w:val="24"/>
          <w:szCs w:val="24"/>
          <w:lang w:val="hy-AM" w:eastAsia="ru-RU"/>
        </w:rPr>
      </w:pPr>
      <w:r w:rsidRPr="004366A6">
        <w:rPr>
          <w:rFonts w:ascii="GHEA Grapalat" w:eastAsia="Times New Roman" w:hAnsi="GHEA Grapalat" w:cs="Times New Roman"/>
          <w:b/>
          <w:sz w:val="24"/>
          <w:szCs w:val="24"/>
          <w:lang w:val="hy-AM" w:eastAsia="ru-RU"/>
        </w:rPr>
        <w:t>ՀԻՄՆԱՎՈՐՈՒՄ</w:t>
      </w:r>
    </w:p>
    <w:p w:rsidR="003F7526" w:rsidRPr="004366A6" w:rsidRDefault="003F7526" w:rsidP="004366A6">
      <w:pPr>
        <w:spacing w:after="0" w:line="276" w:lineRule="auto"/>
        <w:ind w:firstLine="375"/>
        <w:jc w:val="center"/>
        <w:rPr>
          <w:rFonts w:ascii="GHEA Grapalat" w:eastAsia="Tahoma" w:hAnsi="GHEA Grapalat" w:cs="Times New Roman"/>
          <w:b/>
          <w:bCs/>
          <w:sz w:val="24"/>
          <w:szCs w:val="24"/>
          <w:lang w:val="hy-AM" w:eastAsia="x-none"/>
        </w:rPr>
      </w:pPr>
      <w:r w:rsidRPr="004366A6">
        <w:rPr>
          <w:rFonts w:ascii="GHEA Grapalat" w:eastAsia="Tahoma" w:hAnsi="GHEA Grapalat" w:cs="Times New Roman"/>
          <w:b/>
          <w:bCs/>
          <w:sz w:val="24"/>
          <w:szCs w:val="24"/>
          <w:lang w:val="hy-AM"/>
        </w:rPr>
        <w:t>«</w:t>
      </w:r>
      <w:r w:rsidR="005844B6" w:rsidRPr="004366A6">
        <w:rPr>
          <w:rFonts w:ascii="GHEA Grapalat" w:eastAsia="Calibri" w:hAnsi="GHEA Grapalat" w:cs="Times New Roman"/>
          <w:b/>
          <w:bCs/>
          <w:sz w:val="24"/>
          <w:szCs w:val="24"/>
          <w:shd w:val="clear" w:color="auto" w:fill="FFFFFF"/>
          <w:lang w:val="hy-AM"/>
        </w:rPr>
        <w:t>ԶԲԱՂՎԱԾՈՒԹՅԱՆ 202</w:t>
      </w:r>
      <w:r w:rsidR="004D3933">
        <w:rPr>
          <w:rFonts w:ascii="GHEA Grapalat" w:eastAsia="Calibri" w:hAnsi="GHEA Grapalat" w:cs="Times New Roman"/>
          <w:b/>
          <w:bCs/>
          <w:sz w:val="24"/>
          <w:szCs w:val="24"/>
          <w:shd w:val="clear" w:color="auto" w:fill="FFFFFF"/>
          <w:lang w:val="hy-AM"/>
        </w:rPr>
        <w:t>5-2031</w:t>
      </w:r>
      <w:r w:rsidR="005844B6" w:rsidRPr="004366A6">
        <w:rPr>
          <w:rFonts w:ascii="GHEA Grapalat" w:eastAsia="Calibri" w:hAnsi="GHEA Grapalat" w:cs="Times New Roman"/>
          <w:b/>
          <w:bCs/>
          <w:sz w:val="24"/>
          <w:szCs w:val="24"/>
          <w:shd w:val="clear" w:color="auto" w:fill="FFFFFF"/>
          <w:lang w:val="hy-AM"/>
        </w:rPr>
        <w:t xml:space="preserve"> ԹՎԱԿԱՆՆԵՐԻ ՌԱԶՄԱՎԱՐԱԿԱՆ ԾՐԱԳԻՐԸ ՀԱՍՏԱՏԵԼՈՒ ՄԱՍԻՆ</w:t>
      </w:r>
      <w:r w:rsidRPr="004366A6">
        <w:rPr>
          <w:rFonts w:ascii="GHEA Grapalat" w:eastAsia="Times New Roman" w:hAnsi="GHEA Grapalat" w:cs="Times New Roman"/>
          <w:b/>
          <w:bCs/>
          <w:sz w:val="24"/>
          <w:szCs w:val="24"/>
          <w:lang w:val="hy-AM"/>
        </w:rPr>
        <w:t xml:space="preserve">» </w:t>
      </w:r>
      <w:r w:rsidRPr="004366A6">
        <w:rPr>
          <w:rFonts w:ascii="GHEA Grapalat" w:eastAsia="Times New Roman" w:hAnsi="GHEA Grapalat" w:cs="Times New Roman"/>
          <w:b/>
          <w:sz w:val="24"/>
          <w:szCs w:val="24"/>
          <w:lang w:val="hy-AM" w:eastAsia="x-none"/>
        </w:rPr>
        <w:t>ՀՀ ԿԱՌԱՎԱՐՈՒԹՅԱՆ ՈՐՈՇՄԱՆ ՆԱԽԱԳԾԻ ԸՆԴՈՒՆՄԱՆ ՎԵՐԱԲԵՐՅԱԼ</w:t>
      </w:r>
      <w:r w:rsidRPr="004366A6">
        <w:rPr>
          <w:rFonts w:ascii="GHEA Grapalat" w:eastAsia="Times New Roman" w:hAnsi="GHEA Grapalat" w:cs="Times New Roman"/>
          <w:sz w:val="24"/>
          <w:szCs w:val="24"/>
          <w:lang w:val="hy-AM" w:eastAsia="x-none"/>
        </w:rPr>
        <w:t xml:space="preserve"> </w:t>
      </w:r>
    </w:p>
    <w:p w:rsidR="003F7526" w:rsidRPr="004366A6" w:rsidRDefault="003F7526" w:rsidP="004366A6">
      <w:pPr>
        <w:shd w:val="clear" w:color="auto" w:fill="FFFFFF"/>
        <w:tabs>
          <w:tab w:val="left" w:pos="0"/>
          <w:tab w:val="left" w:pos="360"/>
          <w:tab w:val="left" w:pos="990"/>
          <w:tab w:val="left" w:pos="1170"/>
        </w:tabs>
        <w:spacing w:after="0" w:line="276" w:lineRule="auto"/>
        <w:ind w:firstLine="375"/>
        <w:jc w:val="both"/>
        <w:rPr>
          <w:rFonts w:ascii="GHEA Grapalat" w:eastAsia="Times New Roman" w:hAnsi="GHEA Grapalat" w:cs="Times New Roman"/>
          <w:sz w:val="24"/>
          <w:szCs w:val="24"/>
          <w:lang w:val="hy-AM" w:eastAsia="ru-RU"/>
        </w:rPr>
      </w:pPr>
    </w:p>
    <w:p w:rsidR="003F7526" w:rsidRPr="004366A6" w:rsidRDefault="003F7526" w:rsidP="004366A6">
      <w:pPr>
        <w:tabs>
          <w:tab w:val="left" w:pos="990"/>
          <w:tab w:val="left" w:pos="1080"/>
        </w:tabs>
        <w:spacing w:after="0" w:line="276" w:lineRule="auto"/>
        <w:ind w:firstLine="375"/>
        <w:jc w:val="both"/>
        <w:rPr>
          <w:rFonts w:ascii="GHEA Grapalat" w:eastAsia="Times New Roman" w:hAnsi="GHEA Grapalat" w:cs="Sylfaen"/>
          <w:b/>
          <w:sz w:val="24"/>
          <w:szCs w:val="24"/>
          <w:lang w:val="hy-AM" w:eastAsia="ru-RU"/>
        </w:rPr>
      </w:pPr>
      <w:r w:rsidRPr="004366A6">
        <w:rPr>
          <w:rFonts w:ascii="GHEA Grapalat" w:eastAsia="Times New Roman" w:hAnsi="GHEA Grapalat" w:cs="Sylfaen"/>
          <w:b/>
          <w:sz w:val="24"/>
          <w:szCs w:val="24"/>
          <w:lang w:val="hy-AM" w:eastAsia="ru-RU"/>
        </w:rPr>
        <w:t>1. Իրավական ակտի անհրաժեշտությունը (նպատակը)</w:t>
      </w:r>
    </w:p>
    <w:p w:rsidR="003F7526" w:rsidRPr="004366A6" w:rsidRDefault="007E6DB7" w:rsidP="004366A6">
      <w:pPr>
        <w:spacing w:after="0" w:line="276" w:lineRule="auto"/>
        <w:ind w:firstLine="375"/>
        <w:jc w:val="both"/>
        <w:rPr>
          <w:rFonts w:ascii="GHEA Grapalat" w:eastAsia="Times New Roman" w:hAnsi="GHEA Grapalat" w:cs="Times New Roman"/>
          <w:sz w:val="24"/>
          <w:szCs w:val="24"/>
          <w:lang w:val="hy-AM" w:eastAsia="ru-RU"/>
        </w:rPr>
      </w:pPr>
      <w:r w:rsidRPr="004366A6">
        <w:rPr>
          <w:rFonts w:ascii="GHEA Grapalat" w:eastAsia="Tahoma" w:hAnsi="GHEA Grapalat" w:cs="Times New Roman"/>
          <w:bCs/>
          <w:sz w:val="24"/>
          <w:szCs w:val="24"/>
          <w:lang w:val="hy-AM"/>
        </w:rPr>
        <w:t>«</w:t>
      </w:r>
      <w:r w:rsidR="005844B6" w:rsidRPr="004366A6">
        <w:rPr>
          <w:rFonts w:ascii="GHEA Grapalat" w:eastAsia="Calibri" w:hAnsi="GHEA Grapalat" w:cs="Times New Roman"/>
          <w:bCs/>
          <w:sz w:val="24"/>
          <w:szCs w:val="24"/>
          <w:shd w:val="clear" w:color="auto" w:fill="FFFFFF"/>
          <w:lang w:val="hy-AM"/>
        </w:rPr>
        <w:t>Զբաղվածության 202</w:t>
      </w:r>
      <w:r w:rsidR="004D3933">
        <w:rPr>
          <w:rFonts w:ascii="GHEA Grapalat" w:eastAsia="Calibri" w:hAnsi="GHEA Grapalat" w:cs="Times New Roman"/>
          <w:bCs/>
          <w:sz w:val="24"/>
          <w:szCs w:val="24"/>
          <w:shd w:val="clear" w:color="auto" w:fill="FFFFFF"/>
          <w:lang w:val="hy-AM"/>
        </w:rPr>
        <w:t>5</w:t>
      </w:r>
      <w:r w:rsidR="005844B6" w:rsidRPr="004366A6">
        <w:rPr>
          <w:rFonts w:ascii="GHEA Grapalat" w:eastAsia="Calibri" w:hAnsi="GHEA Grapalat" w:cs="Times New Roman"/>
          <w:bCs/>
          <w:sz w:val="24"/>
          <w:szCs w:val="24"/>
          <w:shd w:val="clear" w:color="auto" w:fill="FFFFFF"/>
          <w:lang w:val="hy-AM"/>
        </w:rPr>
        <w:t>-203</w:t>
      </w:r>
      <w:r w:rsidR="004D3933">
        <w:rPr>
          <w:rFonts w:ascii="GHEA Grapalat" w:eastAsia="Calibri" w:hAnsi="GHEA Grapalat" w:cs="Times New Roman"/>
          <w:bCs/>
          <w:sz w:val="24"/>
          <w:szCs w:val="24"/>
          <w:shd w:val="clear" w:color="auto" w:fill="FFFFFF"/>
          <w:lang w:val="hy-AM"/>
        </w:rPr>
        <w:t>1</w:t>
      </w:r>
      <w:r w:rsidR="005844B6" w:rsidRPr="004366A6">
        <w:rPr>
          <w:rFonts w:ascii="GHEA Grapalat" w:eastAsia="Calibri" w:hAnsi="GHEA Grapalat" w:cs="Times New Roman"/>
          <w:bCs/>
          <w:sz w:val="24"/>
          <w:szCs w:val="24"/>
          <w:shd w:val="clear" w:color="auto" w:fill="FFFFFF"/>
          <w:lang w:val="hy-AM"/>
        </w:rPr>
        <w:t xml:space="preserve"> թվականների ռազմավարական ծրագիրը հաստատելու մասին</w:t>
      </w:r>
      <w:r w:rsidRPr="004366A6">
        <w:rPr>
          <w:rFonts w:ascii="GHEA Grapalat" w:eastAsia="Calibri" w:hAnsi="GHEA Grapalat" w:cs="Times New Roman"/>
          <w:bCs/>
          <w:sz w:val="24"/>
          <w:szCs w:val="24"/>
          <w:shd w:val="clear" w:color="auto" w:fill="FFFFFF"/>
          <w:lang w:val="hy-AM"/>
        </w:rPr>
        <w:t>»</w:t>
      </w:r>
      <w:r w:rsidR="003F7526" w:rsidRPr="004366A6">
        <w:rPr>
          <w:rFonts w:ascii="GHEA Grapalat" w:eastAsia="Times New Roman" w:hAnsi="GHEA Grapalat" w:cs="Times New Roman"/>
          <w:bCs/>
          <w:sz w:val="24"/>
          <w:szCs w:val="24"/>
          <w:lang w:val="hy-AM"/>
        </w:rPr>
        <w:t xml:space="preserve"> ՀՀ</w:t>
      </w:r>
      <w:r w:rsidR="003F7526" w:rsidRPr="004366A6">
        <w:rPr>
          <w:rFonts w:ascii="GHEA Grapalat" w:eastAsia="Times New Roman" w:hAnsi="GHEA Grapalat" w:cs="Times New Roman"/>
          <w:sz w:val="24"/>
          <w:szCs w:val="24"/>
          <w:lang w:val="hy-AM" w:eastAsia="x-none"/>
        </w:rPr>
        <w:t xml:space="preserve"> կառավարության որոշման</w:t>
      </w:r>
      <w:r w:rsidR="003F7526" w:rsidRPr="004366A6">
        <w:rPr>
          <w:rFonts w:ascii="GHEA Grapalat" w:eastAsia="Times New Roman" w:hAnsi="GHEA Grapalat" w:cs="Times New Roman"/>
          <w:b/>
          <w:sz w:val="24"/>
          <w:szCs w:val="24"/>
          <w:lang w:val="hy-AM" w:eastAsia="x-none"/>
        </w:rPr>
        <w:t xml:space="preserve"> </w:t>
      </w:r>
      <w:r w:rsidR="003F7526" w:rsidRPr="004366A6">
        <w:rPr>
          <w:rFonts w:ascii="GHEA Grapalat" w:eastAsia="Times New Roman" w:hAnsi="GHEA Grapalat" w:cs="Times New Roman"/>
          <w:sz w:val="24"/>
          <w:szCs w:val="24"/>
          <w:lang w:val="hy-AM" w:eastAsia="ru-RU"/>
        </w:rPr>
        <w:t>նախագ</w:t>
      </w:r>
      <w:r w:rsidR="005844B6" w:rsidRPr="004366A6">
        <w:rPr>
          <w:rFonts w:ascii="GHEA Grapalat" w:eastAsia="Times New Roman" w:hAnsi="GHEA Grapalat" w:cs="Times New Roman"/>
          <w:sz w:val="24"/>
          <w:szCs w:val="24"/>
          <w:lang w:val="hy-AM" w:eastAsia="ru-RU"/>
        </w:rPr>
        <w:t>ծի</w:t>
      </w:r>
      <w:r w:rsidR="003F7526" w:rsidRPr="004366A6">
        <w:rPr>
          <w:rFonts w:ascii="GHEA Grapalat" w:eastAsia="Times New Roman" w:hAnsi="GHEA Grapalat" w:cs="Times New Roman"/>
          <w:sz w:val="24"/>
          <w:szCs w:val="24"/>
          <w:lang w:val="hy-AM" w:eastAsia="ru-RU"/>
        </w:rPr>
        <w:t xml:space="preserve"> (այսուհետ՝ նախագիծ) մշակ</w:t>
      </w:r>
      <w:r w:rsidR="005844B6" w:rsidRPr="004366A6">
        <w:rPr>
          <w:rFonts w:ascii="GHEA Grapalat" w:eastAsia="Times New Roman" w:hAnsi="GHEA Grapalat" w:cs="Times New Roman"/>
          <w:sz w:val="24"/>
          <w:szCs w:val="24"/>
          <w:lang w:val="hy-AM" w:eastAsia="ru-RU"/>
        </w:rPr>
        <w:t>ման անհրաժեշտությունը պայմանավորված է վերջին տարիներին զբաղվածության ոլորտի պետական քաղաքականության ուղենիշային ռազմավարության բացակայությա</w:t>
      </w:r>
      <w:r w:rsidR="004366A6" w:rsidRPr="004366A6">
        <w:rPr>
          <w:rFonts w:ascii="GHEA Grapalat" w:eastAsia="Times New Roman" w:hAnsi="GHEA Grapalat" w:cs="Times New Roman"/>
          <w:sz w:val="24"/>
          <w:szCs w:val="24"/>
          <w:lang w:val="hy-AM" w:eastAsia="ru-RU"/>
        </w:rPr>
        <w:t xml:space="preserve">մբ։ </w:t>
      </w:r>
    </w:p>
    <w:p w:rsidR="003F7526" w:rsidRPr="004366A6" w:rsidRDefault="003F7526" w:rsidP="004366A6">
      <w:pPr>
        <w:numPr>
          <w:ilvl w:val="0"/>
          <w:numId w:val="2"/>
        </w:numPr>
        <w:shd w:val="clear" w:color="auto" w:fill="FFFFFF"/>
        <w:tabs>
          <w:tab w:val="left" w:pos="567"/>
          <w:tab w:val="left" w:pos="900"/>
          <w:tab w:val="left" w:pos="990"/>
        </w:tabs>
        <w:spacing w:after="0" w:line="276" w:lineRule="auto"/>
        <w:ind w:left="0" w:firstLine="375"/>
        <w:contextualSpacing/>
        <w:jc w:val="both"/>
        <w:rPr>
          <w:rFonts w:ascii="GHEA Grapalat" w:eastAsia="Times New Roman" w:hAnsi="GHEA Grapalat" w:cs="Sylfaen"/>
          <w:b/>
          <w:sz w:val="24"/>
          <w:szCs w:val="24"/>
          <w:lang w:val="hy-AM" w:eastAsia="ru-RU"/>
        </w:rPr>
      </w:pPr>
      <w:r w:rsidRPr="004366A6">
        <w:rPr>
          <w:rFonts w:ascii="GHEA Grapalat" w:eastAsia="Times New Roman" w:hAnsi="GHEA Grapalat" w:cs="Sylfaen"/>
          <w:b/>
          <w:sz w:val="24"/>
          <w:szCs w:val="24"/>
          <w:lang w:val="hy-AM" w:eastAsia="ru-RU"/>
        </w:rPr>
        <w:t>Առաջարկվող կարգավորման բնույթը</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Զբաղվածության 202</w:t>
      </w:r>
      <w:r w:rsidR="004D3933">
        <w:rPr>
          <w:rFonts w:ascii="GHEA Grapalat" w:eastAsia="Calibri" w:hAnsi="GHEA Grapalat" w:cs="Times New Roman"/>
          <w:bCs/>
          <w:sz w:val="24"/>
          <w:szCs w:val="24"/>
          <w:shd w:val="clear" w:color="auto" w:fill="FFFFFF"/>
          <w:lang w:val="hy-AM"/>
        </w:rPr>
        <w:t>5</w:t>
      </w:r>
      <w:r w:rsidRPr="004366A6">
        <w:rPr>
          <w:rFonts w:ascii="GHEA Grapalat" w:eastAsia="Calibri" w:hAnsi="GHEA Grapalat" w:cs="Times New Roman"/>
          <w:bCs/>
          <w:sz w:val="24"/>
          <w:szCs w:val="24"/>
          <w:shd w:val="clear" w:color="auto" w:fill="FFFFFF"/>
          <w:lang w:val="hy-AM"/>
        </w:rPr>
        <w:t>-203</w:t>
      </w:r>
      <w:r w:rsidR="004D3933">
        <w:rPr>
          <w:rFonts w:ascii="GHEA Grapalat" w:eastAsia="Calibri" w:hAnsi="GHEA Grapalat" w:cs="Times New Roman"/>
          <w:bCs/>
          <w:sz w:val="24"/>
          <w:szCs w:val="24"/>
          <w:shd w:val="clear" w:color="auto" w:fill="FFFFFF"/>
          <w:lang w:val="hy-AM"/>
        </w:rPr>
        <w:t>1</w:t>
      </w:r>
      <w:r w:rsidRPr="004366A6">
        <w:rPr>
          <w:rFonts w:ascii="GHEA Grapalat" w:eastAsia="Calibri" w:hAnsi="GHEA Grapalat" w:cs="Times New Roman"/>
          <w:bCs/>
          <w:sz w:val="24"/>
          <w:szCs w:val="24"/>
          <w:shd w:val="clear" w:color="auto" w:fill="FFFFFF"/>
          <w:lang w:val="hy-AM"/>
        </w:rPr>
        <w:t xml:space="preserve"> թվականների ռազմավարական ծրագիրը սահմանում է զբաղվածության ոլորտի զարգացման տեսլականը և դրան հասնելու արդյունավետ ճանապարհը։ Ծրագրի հիմքում ընկած է համապարփակ վերլուծական աշխատանք, որի շրջանակներում կատարվել է` </w:t>
      </w:r>
    </w:p>
    <w:p w:rsidR="004366A6" w:rsidRPr="004366A6" w:rsidRDefault="004366A6" w:rsidP="004366A6">
      <w:pPr>
        <w:pStyle w:val="ListParagraph"/>
        <w:numPr>
          <w:ilvl w:val="0"/>
          <w:numId w:val="28"/>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Աշխատուժի պրոֆիլավորում</w:t>
      </w:r>
      <w:bookmarkStart w:id="0" w:name="_Ref168414001"/>
      <w:r w:rsidRPr="004366A6">
        <w:rPr>
          <w:rFonts w:ascii="GHEA Grapalat" w:eastAsia="Calibri" w:hAnsi="GHEA Grapalat" w:cs="Times New Roman"/>
          <w:bCs/>
          <w:sz w:val="24"/>
          <w:szCs w:val="24"/>
          <w:shd w:val="clear" w:color="auto" w:fill="FFFFFF"/>
          <w:vertAlign w:val="superscript"/>
        </w:rPr>
        <w:footnoteReference w:id="1"/>
      </w:r>
      <w:bookmarkEnd w:id="0"/>
    </w:p>
    <w:p w:rsidR="004366A6" w:rsidRPr="004366A6" w:rsidRDefault="004366A6" w:rsidP="004366A6">
      <w:pPr>
        <w:pStyle w:val="ListParagraph"/>
        <w:numPr>
          <w:ilvl w:val="0"/>
          <w:numId w:val="28"/>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Աշխատաշուկայի միտումների վերլուծություն</w:t>
      </w:r>
    </w:p>
    <w:p w:rsidR="004366A6" w:rsidRPr="004366A6" w:rsidRDefault="004366A6" w:rsidP="004366A6">
      <w:pPr>
        <w:pStyle w:val="ListParagraph"/>
        <w:numPr>
          <w:ilvl w:val="0"/>
          <w:numId w:val="28"/>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Զբաղվածության քաղաքականության քարտեզագրում և արդյունավետության ուսումնասիրություն</w:t>
      </w:r>
    </w:p>
    <w:p w:rsidR="004366A6" w:rsidRPr="004366A6" w:rsidRDefault="004366A6" w:rsidP="004366A6">
      <w:pPr>
        <w:pStyle w:val="ListParagraph"/>
        <w:numPr>
          <w:ilvl w:val="0"/>
          <w:numId w:val="28"/>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Միջազգային լավագույն փորձի ուսումնասիրություն</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 xml:space="preserve">Ռազմավարության մշակման բաղկացուցիչ մաս են կազմել իրականացված խորհրդակցությունները այնպիսի պետական մարմինների հետ ինչպիսիք են ՀՀ Վարչապետի և փոխվարչապետերի աշխատակազմեր, ԱԺ Աշխատանքի և սոցիալական հարցերի մշտական հանձնաժողով, Աշխատանքի և սոցիալական հարցերի նախարարություն (ԱՍՀՆ), Տարածքային կառավարման և ենթակառուցվածքների նախարարություն (ՏԿԵՆ), Ֆինանսների նախարարություն (ՖՆ), Էկոնոմիկայի նախարարություն (ԷՆ), Կրթության, գիտության, մշակույթի և սպորտի նախարարություն (ԿԳՄՍՆ) և այլ նախարարություններ: Անցկացվել են մոտ 50 հանդիպումներ մասնավոր կազմակերպությունների և միջազգային կառույցների հետ` ներառյալ Համաշխարհային Բանկ (ՀԲ), Աշխատանքի միջազգային կազմակերպություն (ԱՄԿ), Վերակառուցման և զարգացման եվրոպական բանկ </w:t>
      </w:r>
      <w:r w:rsidRPr="004366A6">
        <w:rPr>
          <w:rFonts w:ascii="GHEA Grapalat" w:eastAsia="Calibri" w:hAnsi="GHEA Grapalat" w:cs="Times New Roman"/>
          <w:bCs/>
          <w:sz w:val="24"/>
          <w:szCs w:val="24"/>
          <w:shd w:val="clear" w:color="auto" w:fill="FFFFFF"/>
          <w:lang w:val="hy-AM"/>
        </w:rPr>
        <w:lastRenderedPageBreak/>
        <w:t>(ՎԶԵԲ), և այլն: Կազմակերպվել են քննարկումներ ՀԿ-ների, արհմիությունների, գործարար ասոցիացիաների ու այլ շահագրգիռ կողմերի հետ: Մշակման ընթացքում ընդհանուր առմամբ կատարվել է 700-ից ավելի դիտարկումների քննարկում և ինկորպորացում: Շահագրգիռ կողմերի ներգրավվածությունն ապահովվել է Ռազմավարության մշակման յուրաքանչյուր փուլում՝ ներառյալ վերլուծական հատվածի պատրաստում, ռազմավարության կառուցվածքի սահմանում, ծրագրերի և միջոցառումների ձևավորում:</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Հայաստանում գործազրկությունը կրում է ինչպես ցիկլիկ, այնպես էլ կառուցվածքային բնույթ: Վերջինիս պատճառը աշխատաշուկայում առկա առաջարկի և պահանջարկի անհամապատասխանությունն է որակական և քանակական տեսանկյունից: Աշխատուժի զգալի մասն անմրցունակ է և չունի գիտելիքների, փափուկ ու մասնագիտական հմտությունների այն մակարդակը, որն անհրաժեշտ է ժամանակակից արագ փոփոխվող աշխատաշուկայի կարիքները բավարարելու համար: Աշխատանքային ռեսուրսների թերզբաղվածներ, գործազուրկներ և պոտենցիալ աշխատուժ ենթախմբերը միասին կազմում են աշխատանքային ռեսուրսների թերօգտագործվող հատվածը, որը սույն Ծրագրի թիրախն է: 2022 թվականին թերօգտագործվող հատվածը կազմել է աշխատանքային ռեսուրսների 15%-ը կամ 339 հազ</w:t>
      </w:r>
      <w:r w:rsidRPr="004366A6">
        <w:rPr>
          <w:rFonts w:ascii="MS Mincho" w:eastAsia="MS Mincho" w:hAnsi="MS Mincho" w:cs="MS Mincho" w:hint="eastAsia"/>
          <w:bCs/>
          <w:sz w:val="24"/>
          <w:szCs w:val="24"/>
          <w:shd w:val="clear" w:color="auto" w:fill="FFFFFF"/>
          <w:lang w:val="hy-AM"/>
        </w:rPr>
        <w:t>․</w:t>
      </w:r>
      <w:r w:rsidRPr="004366A6">
        <w:rPr>
          <w:rFonts w:ascii="GHEA Grapalat" w:eastAsia="Calibri" w:hAnsi="GHEA Grapalat" w:cs="Times New Roman"/>
          <w:bCs/>
          <w:sz w:val="24"/>
          <w:szCs w:val="24"/>
          <w:shd w:val="clear" w:color="auto" w:fill="FFFFFF"/>
          <w:lang w:val="hy-AM"/>
        </w:rPr>
        <w:t xml:space="preserve"> մարդ։ Այց ցուցանիշը վկայում է չիրացված ներուժի մասին, որը, մրցունակ աշխատանք ունենալու պարագայում, կարող է նշանակալի ավելացված արժեք ստեղծել տնտեսության մեջ: Ավելին, վերոնշյալ խմբի անդամների մեծ մասի մոտ աշխատանքի բացակայությունը աղքատության ավելացման պատճառ է դառնում: Ստեղծված իրավիճակն ունի մի շարք փոխկապակցված պատճառներ, այդ թվում` կրթության որակը, արտադրողականության աճը խթանող տնտեսական քաղաքականություն և զբաղվածության խթանման պետական քաղաքականության ցածր արդյունավետություն: Այդ քաղաքականությունը հիմնականում ուղղված է եղել վերացնելու աշխատաշուկայի խնդիրների հետևանքները և չի եղել անդրադարձ այդ խնդիրները ծնող պատճառներին: Կիրառված մոտեցումները միտված են եղել գործազրկության մեջ հայտնված բանկչությանը կրկին ապահովել աշխատանքով, այնինչ կարիք կա իրավիճակին մոտենալ համապարփակորեն և լուծել աշխատաշուկայի թե՛ առաջարկի և թե՛ պահանջարկի խնդիրները` ձգտելով զարգացնել և դարձնել միմյանց համապատասխան: Այսպիսով սույն Ծրագիրը միտված է դրական ներազդեցություն ունենալ զբաղվածության վրա` զուգահեռ նպաստելով տնտեսական արտադրողականության աճին:</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 xml:space="preserve">Որպես Ծրագրի թիրախային խմբեր որոշվել են` Մարզային քաղաքներ ներառող համայնքների բնակչությունը, Չսովորող, չաշխատող երիտասարդները, 30-39 </w:t>
      </w:r>
      <w:r w:rsidRPr="004366A6">
        <w:rPr>
          <w:rFonts w:ascii="GHEA Grapalat" w:eastAsia="Calibri" w:hAnsi="GHEA Grapalat" w:cs="Times New Roman"/>
          <w:bCs/>
          <w:sz w:val="24"/>
          <w:szCs w:val="24"/>
          <w:shd w:val="clear" w:color="auto" w:fill="FFFFFF"/>
          <w:lang w:val="hy-AM"/>
        </w:rPr>
        <w:lastRenderedPageBreak/>
        <w:t>տարեկան կանայք, Ընտանեկան ու սոցիալական նպաստ ստացող, առանց սահմանափակումների աշխատունակ շահառուները: Սա պատճառաբանվում է այս խմբերում թերօգտագործվող աշխատանքային ռեսուրսների բարձր կենտրոնացվածությամբ և դրա արդյունքում խմբերի բարձր խոցելիությամբ:</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Ծրագիրը հիմնվում է համադրելի երկրների հաջողված փորձի վրա, ըստ որի անհրաժեշտ է ապահովել տնտեսական ներառական աճ, որը կգերազանցի արտադրողականության աճին, ինչը հնարավոր է երեք ուղղություններով միջամտությունների միջոցով` տնտեսության կառուցվածքային փոխակերպում և աշխատուժի կենտրոնացում գյուղատնտեսությունից դեպի ոչ գյուղատնտեսական ոլորտներ, արտահանման խթանում, օտարերկրյա ուղղակի ներդրումների  (ՕՈՒՆ) ներհոսք:</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Ծրագրի տեսլականն է` Զբաղվածության աճ</w:t>
      </w:r>
      <w:r>
        <w:rPr>
          <w:rFonts w:ascii="GHEA Grapalat" w:eastAsia="Calibri" w:hAnsi="GHEA Grapalat" w:cs="Times New Roman"/>
          <w:bCs/>
          <w:sz w:val="24"/>
          <w:szCs w:val="24"/>
          <w:shd w:val="clear" w:color="auto" w:fill="FFFFFF"/>
          <w:lang w:val="hy-AM"/>
        </w:rPr>
        <w:t>ը</w:t>
      </w:r>
      <w:r w:rsidRPr="004366A6">
        <w:rPr>
          <w:rFonts w:ascii="GHEA Grapalat" w:eastAsia="Calibri" w:hAnsi="GHEA Grapalat" w:cs="Times New Roman"/>
          <w:bCs/>
          <w:sz w:val="24"/>
          <w:szCs w:val="24"/>
          <w:shd w:val="clear" w:color="auto" w:fill="FFFFFF"/>
          <w:lang w:val="hy-AM"/>
        </w:rPr>
        <w:t>` մրցունակ և զբաղունակ աշխատուժի ձևավորման և բարձր արտադրողականությամբ աշխատանքային հնարավորությունների ընդլայնման միջոցով:</w:t>
      </w:r>
    </w:p>
    <w:p w:rsidR="004366A6" w:rsidRPr="004366A6" w:rsidRDefault="004366A6" w:rsidP="004366A6">
      <w:pPr>
        <w:spacing w:line="276" w:lineRule="auto"/>
        <w:ind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Ծրագրի շրջանակներում սահմանվել են հետևյալ Ռազմավարական նպատակները`</w:t>
      </w:r>
    </w:p>
    <w:p w:rsidR="004366A6" w:rsidRPr="004366A6" w:rsidRDefault="004366A6" w:rsidP="004366A6">
      <w:pPr>
        <w:pStyle w:val="ListParagraph"/>
        <w:numPr>
          <w:ilvl w:val="0"/>
          <w:numId w:val="29"/>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Մարզային քաղաքները ներառող համայնքներում ոչ գյուղատնտեսական, բարձր արտադրողականություն ունեցող զբաղվածության աճ:</w:t>
      </w:r>
    </w:p>
    <w:p w:rsidR="004366A6" w:rsidRPr="004366A6" w:rsidRDefault="004366A6" w:rsidP="004366A6">
      <w:pPr>
        <w:pStyle w:val="ListParagraph"/>
        <w:numPr>
          <w:ilvl w:val="0"/>
          <w:numId w:val="29"/>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18-29 տարեկան չսովորող, չաշխատող երիտասարդների զբաղվածության աճ՝ հմտությունների շարունակական զարգացման, դրանց իրացման հնարավորությունների ընդլայնման և արտադրողականության բարձրացման միջոցով:</w:t>
      </w:r>
    </w:p>
    <w:p w:rsidR="004366A6" w:rsidRPr="004366A6" w:rsidRDefault="004366A6" w:rsidP="004366A6">
      <w:pPr>
        <w:pStyle w:val="ListParagraph"/>
        <w:numPr>
          <w:ilvl w:val="0"/>
          <w:numId w:val="29"/>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Կանանց զբաղվածության աճ՝  աշխատաշուկայում նրանց ներուժի ամբողջական և երկարաժամկետ իրացման, ինչպես նաև ձեռներեցության զարգացման միջոցով` մասնավորապես թիրախավորելով միջին տարիքի (30-40) կանանց զբաղվածությունը:</w:t>
      </w:r>
    </w:p>
    <w:p w:rsidR="004366A6" w:rsidRPr="004366A6" w:rsidRDefault="004366A6" w:rsidP="004366A6">
      <w:pPr>
        <w:pStyle w:val="ListParagraph"/>
        <w:numPr>
          <w:ilvl w:val="0"/>
          <w:numId w:val="29"/>
        </w:numPr>
        <w:spacing w:line="276" w:lineRule="auto"/>
        <w:ind w:left="0" w:firstLine="375"/>
        <w:jc w:val="both"/>
        <w:rPr>
          <w:rFonts w:ascii="GHEA Grapalat" w:eastAsia="Calibri" w:hAnsi="GHEA Grapalat" w:cs="Times New Roman"/>
          <w:bCs/>
          <w:sz w:val="24"/>
          <w:szCs w:val="24"/>
          <w:shd w:val="clear" w:color="auto" w:fill="FFFFFF"/>
          <w:lang w:val="hy-AM"/>
        </w:rPr>
      </w:pPr>
      <w:r w:rsidRPr="004366A6">
        <w:rPr>
          <w:rFonts w:ascii="GHEA Grapalat" w:eastAsia="Calibri" w:hAnsi="GHEA Grapalat" w:cs="Times New Roman"/>
          <w:bCs/>
          <w:sz w:val="24"/>
          <w:szCs w:val="24"/>
          <w:shd w:val="clear" w:color="auto" w:fill="FFFFFF"/>
          <w:lang w:val="hy-AM"/>
        </w:rPr>
        <w:t>Ընտանեկան և սոցիալական նպաստ ստացող, առանց սահմանափակումների աշխատունակ շահառուների ինտեգրում՝ սոցիալական նպաստի համակարգի արդյունավետության բարձրացման միջոցով:</w:t>
      </w:r>
    </w:p>
    <w:p w:rsidR="004366A6" w:rsidRPr="004D3933" w:rsidRDefault="004366A6" w:rsidP="004D3933">
      <w:pPr>
        <w:pStyle w:val="ListParagraph"/>
        <w:numPr>
          <w:ilvl w:val="0"/>
          <w:numId w:val="29"/>
        </w:numPr>
        <w:spacing w:line="276" w:lineRule="auto"/>
        <w:ind w:left="0" w:firstLine="375"/>
        <w:jc w:val="both"/>
        <w:rPr>
          <w:rFonts w:ascii="GHEA Grapalat" w:eastAsia="Times New Roman" w:hAnsi="GHEA Grapalat" w:cs="Sylfaen"/>
          <w:sz w:val="24"/>
          <w:szCs w:val="24"/>
          <w:lang w:val="hy-AM" w:eastAsia="ru-RU"/>
        </w:rPr>
      </w:pPr>
      <w:r w:rsidRPr="004366A6">
        <w:rPr>
          <w:rFonts w:ascii="GHEA Grapalat" w:eastAsia="Calibri" w:hAnsi="GHEA Grapalat" w:cs="Times New Roman"/>
          <w:bCs/>
          <w:sz w:val="24"/>
          <w:szCs w:val="24"/>
          <w:shd w:val="clear" w:color="auto" w:fill="FFFFFF"/>
          <w:lang w:val="hy-AM"/>
        </w:rPr>
        <w:t xml:space="preserve">Զբաղվածության ոլորտում պետական քաղաքականության համակարգի փոխակերպում՝ նպատակաուղղված մարդկային կապիտալի (աշխատաշուկայի առաջարկի) զարգացմանը, բարձր արտադրողականությամբ աշխատատեղերի (աշխատաշուկայի պահանջարկի) աճին, աշխատուժի առաջարկի և պահանջարկի </w:t>
      </w:r>
      <w:r w:rsidRPr="004366A6">
        <w:rPr>
          <w:rFonts w:ascii="GHEA Grapalat" w:eastAsia="Times New Roman" w:hAnsi="GHEA Grapalat" w:cs="Sylfaen"/>
          <w:sz w:val="24"/>
          <w:szCs w:val="24"/>
          <w:lang w:val="hy-AM" w:eastAsia="ru-RU"/>
        </w:rPr>
        <w:t>անհամապատասխանությունների կրճատմանը:</w:t>
      </w:r>
    </w:p>
    <w:p w:rsidR="00393FA5" w:rsidRPr="004366A6" w:rsidRDefault="00393FA5" w:rsidP="004366A6">
      <w:pPr>
        <w:shd w:val="clear" w:color="auto" w:fill="FFFFFF"/>
        <w:tabs>
          <w:tab w:val="left" w:pos="0"/>
          <w:tab w:val="left" w:pos="810"/>
          <w:tab w:val="left" w:pos="993"/>
        </w:tabs>
        <w:spacing w:after="0" w:line="276" w:lineRule="auto"/>
        <w:ind w:firstLine="375"/>
        <w:jc w:val="both"/>
        <w:rPr>
          <w:rFonts w:ascii="GHEA Grapalat" w:eastAsia="Calibri" w:hAnsi="GHEA Grapalat" w:cs="Times New Roman"/>
          <w:bCs/>
          <w:sz w:val="24"/>
          <w:szCs w:val="24"/>
          <w:shd w:val="clear" w:color="auto" w:fill="FFFFFF"/>
          <w:lang w:val="hy-AM"/>
        </w:rPr>
      </w:pPr>
    </w:p>
    <w:p w:rsidR="003F7526" w:rsidRPr="004366A6" w:rsidRDefault="003F7526" w:rsidP="004366A6">
      <w:pPr>
        <w:numPr>
          <w:ilvl w:val="0"/>
          <w:numId w:val="2"/>
        </w:numPr>
        <w:shd w:val="clear" w:color="auto" w:fill="FFFFFF"/>
        <w:tabs>
          <w:tab w:val="left" w:pos="990"/>
        </w:tabs>
        <w:spacing w:after="0" w:line="276" w:lineRule="auto"/>
        <w:ind w:left="0" w:firstLine="375"/>
        <w:contextualSpacing/>
        <w:jc w:val="both"/>
        <w:rPr>
          <w:rFonts w:ascii="GHEA Grapalat" w:eastAsia="Times New Roman" w:hAnsi="GHEA Grapalat" w:cs="Sylfaen"/>
          <w:b/>
          <w:sz w:val="24"/>
          <w:szCs w:val="24"/>
          <w:lang w:val="hy-AM" w:eastAsia="ru-RU"/>
        </w:rPr>
      </w:pPr>
      <w:r w:rsidRPr="004366A6">
        <w:rPr>
          <w:rFonts w:ascii="GHEA Grapalat" w:eastAsia="Times New Roman" w:hAnsi="GHEA Grapalat" w:cs="Sylfaen"/>
          <w:b/>
          <w:sz w:val="24"/>
          <w:szCs w:val="24"/>
          <w:lang w:val="hy-AM" w:eastAsia="ru-RU"/>
        </w:rPr>
        <w:t>Նախագծի մշակման գործընթացում ներգրավված ինստիտուտները և անձինք</w:t>
      </w:r>
    </w:p>
    <w:p w:rsidR="00F60C66" w:rsidRPr="00F60C66" w:rsidRDefault="003F7526" w:rsidP="00F60C66">
      <w:pPr>
        <w:shd w:val="clear" w:color="auto" w:fill="FFFFFF"/>
        <w:tabs>
          <w:tab w:val="left" w:pos="810"/>
          <w:tab w:val="left" w:pos="990"/>
        </w:tabs>
        <w:spacing w:after="0" w:line="276" w:lineRule="auto"/>
        <w:ind w:firstLine="375"/>
        <w:contextualSpacing/>
        <w:jc w:val="both"/>
        <w:rPr>
          <w:rFonts w:ascii="GHEA Grapalat" w:eastAsia="Times New Roman" w:hAnsi="GHEA Grapalat" w:cs="Times New Roman"/>
          <w:sz w:val="24"/>
          <w:szCs w:val="24"/>
          <w:lang w:val="hy-AM" w:eastAsia="ru-RU"/>
        </w:rPr>
      </w:pPr>
      <w:r w:rsidRPr="004366A6">
        <w:rPr>
          <w:rFonts w:ascii="GHEA Grapalat" w:eastAsia="Times New Roman" w:hAnsi="GHEA Grapalat" w:cs="Times New Roman"/>
          <w:sz w:val="24"/>
          <w:szCs w:val="24"/>
          <w:lang w:val="hy-AM" w:eastAsia="ru-RU"/>
        </w:rPr>
        <w:t>Նախագիծը մշակվել է ՀՀ աշխատանքի և սոցիալական հարցերի նախարարության կողմից</w:t>
      </w:r>
      <w:r w:rsidR="004366A6">
        <w:rPr>
          <w:rFonts w:ascii="GHEA Grapalat" w:eastAsia="Times New Roman" w:hAnsi="GHEA Grapalat" w:cs="Times New Roman"/>
          <w:sz w:val="24"/>
          <w:szCs w:val="24"/>
          <w:lang w:val="hy-AM" w:eastAsia="ru-RU"/>
        </w:rPr>
        <w:t xml:space="preserve"> </w:t>
      </w:r>
      <w:r w:rsidR="00F60C66" w:rsidRPr="00F60C66">
        <w:rPr>
          <w:rFonts w:ascii="GHEA Grapalat" w:eastAsia="Times New Roman" w:hAnsi="GHEA Grapalat" w:cs="Times New Roman"/>
          <w:sz w:val="24"/>
          <w:szCs w:val="24"/>
          <w:lang w:val="hy-AM" w:eastAsia="ru-RU"/>
        </w:rPr>
        <w:t>«ԱՄԵՐԻԱ» կառավարման խորհրդատվական ծառայության և «ՍԻՎԻՏՏԱ ԷՅԷՄ»  խորհրդատվական ընկերության աջակցությամբ։</w:t>
      </w:r>
    </w:p>
    <w:p w:rsidR="003F7526" w:rsidRPr="004366A6" w:rsidRDefault="003F7526" w:rsidP="004366A6">
      <w:pPr>
        <w:shd w:val="clear" w:color="auto" w:fill="FFFFFF"/>
        <w:tabs>
          <w:tab w:val="left" w:pos="810"/>
          <w:tab w:val="left" w:pos="990"/>
        </w:tabs>
        <w:spacing w:after="0" w:line="276" w:lineRule="auto"/>
        <w:ind w:firstLine="375"/>
        <w:contextualSpacing/>
        <w:jc w:val="both"/>
        <w:rPr>
          <w:rFonts w:ascii="GHEA Grapalat" w:eastAsia="Times New Roman" w:hAnsi="GHEA Grapalat" w:cs="Times New Roman"/>
          <w:sz w:val="24"/>
          <w:szCs w:val="24"/>
          <w:lang w:val="hy-AM" w:eastAsia="ru-RU"/>
        </w:rPr>
      </w:pPr>
    </w:p>
    <w:p w:rsidR="003F7526" w:rsidRPr="004366A6" w:rsidRDefault="003F7526" w:rsidP="004366A6">
      <w:pPr>
        <w:numPr>
          <w:ilvl w:val="0"/>
          <w:numId w:val="3"/>
        </w:numPr>
        <w:shd w:val="clear" w:color="auto" w:fill="FFFFFF"/>
        <w:tabs>
          <w:tab w:val="left" w:pos="990"/>
        </w:tabs>
        <w:spacing w:after="0" w:line="276" w:lineRule="auto"/>
        <w:ind w:left="0" w:firstLine="375"/>
        <w:contextualSpacing/>
        <w:jc w:val="both"/>
        <w:rPr>
          <w:rFonts w:ascii="GHEA Grapalat" w:eastAsia="Times New Roman" w:hAnsi="GHEA Grapalat" w:cs="Sylfaen"/>
          <w:b/>
          <w:sz w:val="24"/>
          <w:szCs w:val="24"/>
          <w:lang w:val="hy-AM" w:eastAsia="ru-RU"/>
        </w:rPr>
      </w:pPr>
      <w:r w:rsidRPr="004366A6">
        <w:rPr>
          <w:rFonts w:ascii="GHEA Grapalat" w:eastAsia="Times New Roman" w:hAnsi="GHEA Grapalat" w:cs="Sylfaen"/>
          <w:b/>
          <w:sz w:val="24"/>
          <w:szCs w:val="24"/>
          <w:lang w:val="hy-AM" w:eastAsia="ru-RU"/>
        </w:rPr>
        <w:t>Ակնկալվող արդյունքը</w:t>
      </w:r>
    </w:p>
    <w:p w:rsidR="004366A6" w:rsidRDefault="004366A6" w:rsidP="004366A6">
      <w:pPr>
        <w:jc w:val="both"/>
        <w:rPr>
          <w:rFonts w:ascii="GHEA Grapalat" w:eastAsia="GHEA Grapalat" w:hAnsi="GHEA Grapalat" w:cs="GHEA Grapalat"/>
          <w:sz w:val="18"/>
          <w:szCs w:val="18"/>
          <w:lang w:val="hy-AM"/>
        </w:rPr>
      </w:pPr>
    </w:p>
    <w:p w:rsidR="00F42501" w:rsidRDefault="004366A6" w:rsidP="00F42501">
      <w:pPr>
        <w:spacing w:line="276" w:lineRule="auto"/>
        <w:ind w:firstLine="375"/>
        <w:contextualSpacing/>
        <w:jc w:val="both"/>
        <w:rPr>
          <w:rFonts w:ascii="GHEA Grapalat" w:eastAsia="GHEA Grapalat" w:hAnsi="GHEA Grapalat" w:cs="GHEA Grapalat"/>
          <w:color w:val="000000"/>
          <w:sz w:val="24"/>
          <w:szCs w:val="24"/>
          <w:lang w:val="hy-AM"/>
        </w:rPr>
      </w:pPr>
      <w:r w:rsidRPr="00F60C66">
        <w:rPr>
          <w:rFonts w:ascii="GHEA Grapalat" w:eastAsia="Times New Roman" w:hAnsi="GHEA Grapalat" w:cs="Times New Roman"/>
          <w:sz w:val="24"/>
          <w:szCs w:val="24"/>
          <w:lang w:val="hy-AM" w:eastAsia="ru-RU"/>
        </w:rPr>
        <w:t xml:space="preserve">Ռազմավարական </w:t>
      </w:r>
      <w:r w:rsidR="0072656D">
        <w:rPr>
          <w:rFonts w:ascii="GHEA Grapalat" w:eastAsia="Times New Roman" w:hAnsi="GHEA Grapalat" w:cs="Times New Roman"/>
          <w:sz w:val="24"/>
          <w:szCs w:val="24"/>
          <w:lang w:val="hy-AM" w:eastAsia="ru-RU"/>
        </w:rPr>
        <w:t>ծ</w:t>
      </w:r>
      <w:r w:rsidR="00F42501">
        <w:rPr>
          <w:rFonts w:ascii="GHEA Grapalat" w:eastAsia="GHEA Grapalat" w:hAnsi="GHEA Grapalat" w:cs="GHEA Grapalat"/>
          <w:color w:val="000000"/>
          <w:sz w:val="24"/>
          <w:szCs w:val="24"/>
          <w:lang w:val="hy-AM"/>
        </w:rPr>
        <w:t xml:space="preserve">րագրի իրականացման արդյունքում նախատեսվում են հետևյալ ազդեցության ցուցանիշները՝ </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Մինչև 2031 թվականը զբաղվածության մակարդակը մարզային քաղաքները ներառող համայնքներում կհասնի մինչև 60.7% (2022 թվականի 51.2%-ի փոխարեն):</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ՀՀ 20-29 տարեկան բնակչության կազմում չսովորող, չաշխատող երիտասարդների մասնաբաժինը 2031 թվականին կկազմի մինչև 19.6% (2022 թվականի 35%-ի փոխարեն):</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sidRPr="00F42501">
        <w:rPr>
          <w:rFonts w:ascii="GHEA Grapalat" w:eastAsia="GHEA Grapalat" w:hAnsi="GHEA Grapalat" w:cs="GHEA Grapalat"/>
          <w:color w:val="000000"/>
          <w:sz w:val="24"/>
          <w:szCs w:val="24"/>
          <w:lang w:val="hy-AM"/>
        </w:rPr>
        <w:t xml:space="preserve">Զբաղված կանանց մասնաբաժինը ՀՀ կին 15-74 տարեկան աշխատանքային ռեսուրսների նկատմամբ </w:t>
      </w:r>
      <w:r>
        <w:rPr>
          <w:rFonts w:ascii="GHEA Grapalat" w:eastAsia="GHEA Grapalat" w:hAnsi="GHEA Grapalat" w:cs="GHEA Grapalat"/>
          <w:color w:val="000000"/>
          <w:sz w:val="24"/>
          <w:szCs w:val="24"/>
          <w:lang w:val="hy-AM"/>
        </w:rPr>
        <w:t>կաճի` հասնելով մինչև  50.9% (2022 թվականի 41.5%-ի փոխարեն):</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Թերօգտագործվող աշխատուժը 2031 թվականին կկազմի մինչև 166.55 հազ</w:t>
      </w:r>
      <w:r>
        <w:rPr>
          <w:rFonts w:ascii="MS Mincho" w:eastAsia="MS Mincho" w:hAnsi="MS Mincho" w:cs="MS Mincho" w:hint="eastAsia"/>
          <w:color w:val="000000"/>
          <w:sz w:val="24"/>
          <w:szCs w:val="24"/>
          <w:lang w:val="hy-AM"/>
        </w:rPr>
        <w:t>.</w:t>
      </w:r>
      <w:r>
        <w:rPr>
          <w:rFonts w:ascii="GHEA Grapalat" w:eastAsia="GHEA Grapalat" w:hAnsi="GHEA Grapalat" w:cs="GHEA Grapalat"/>
          <w:color w:val="000000"/>
          <w:sz w:val="24"/>
          <w:szCs w:val="24"/>
          <w:lang w:val="hy-AM"/>
        </w:rPr>
        <w:t xml:space="preserve"> մարդ՝ 2022 թվականի համեմատ նվազելով միննչև 50.8%-ով և կազմելով աշխատանքային ռեսուրսների մինչև 7%-ը՝ 2022 թվականի 15%-ի փոխարեն։ </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Զբաղվածությունը մինչև 2031 թվականը կգերազանցի աշխատանքային ռեսուրսների մինչև 60%-ը և կավելանա 252 հազար մարդով՝ հասնելով մինչև 1,409 հազարի։ </w:t>
      </w:r>
    </w:p>
    <w:p w:rsidR="00F42501" w:rsidRDefault="00F42501" w:rsidP="00F42501">
      <w:pPr>
        <w:numPr>
          <w:ilvl w:val="0"/>
          <w:numId w:val="32"/>
        </w:numPr>
        <w:spacing w:line="276" w:lineRule="auto"/>
        <w:contextualSpacing/>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Զբաղվածության ծրագիրն էական ազդեցություն կունենա աղքատության մակարդակի վրա, որը մինչև 2031 թվականը կնվազի` հասնելով մինչև 19%-ի։</w:t>
      </w:r>
    </w:p>
    <w:p w:rsidR="00F42501" w:rsidRPr="00F42501" w:rsidRDefault="00F42501" w:rsidP="00F42501">
      <w:pPr>
        <w:spacing w:line="276" w:lineRule="auto"/>
        <w:ind w:left="1080"/>
        <w:contextualSpacing/>
        <w:jc w:val="both"/>
        <w:rPr>
          <w:rFonts w:ascii="GHEA Grapalat" w:eastAsia="GHEA Grapalat" w:hAnsi="GHEA Grapalat" w:cs="GHEA Grapalat"/>
          <w:color w:val="000000"/>
          <w:sz w:val="24"/>
          <w:szCs w:val="24"/>
          <w:lang w:val="hy-AM"/>
        </w:rPr>
      </w:pPr>
    </w:p>
    <w:p w:rsidR="00571385" w:rsidRPr="004366A6" w:rsidRDefault="00571385" w:rsidP="00F42501">
      <w:pPr>
        <w:ind w:firstLine="375"/>
        <w:jc w:val="both"/>
        <w:rPr>
          <w:rFonts w:ascii="GHEA Grapalat" w:eastAsia="Calibri" w:hAnsi="GHEA Grapalat" w:cs="Times New Roman"/>
          <w:b/>
          <w:sz w:val="24"/>
          <w:szCs w:val="24"/>
          <w:lang w:val="hy-AM"/>
        </w:rPr>
      </w:pPr>
      <w:r w:rsidRPr="004366A6">
        <w:rPr>
          <w:rFonts w:ascii="GHEA Grapalat" w:eastAsia="Calibri" w:hAnsi="GHEA Grapalat" w:cs="Times New Roman"/>
          <w:b/>
          <w:sz w:val="24"/>
          <w:szCs w:val="24"/>
          <w:lang w:val="hy-AM"/>
        </w:rPr>
        <w:t xml:space="preserve">5. Լրացուցիչ ֆինանսական միջոցների անհրաժեշտությունը և </w:t>
      </w:r>
      <w:r w:rsidRPr="004366A6">
        <w:rPr>
          <w:rFonts w:ascii="GHEA Grapalat" w:eastAsia="Calibri" w:hAnsi="GHEA Grapalat" w:cs="Sylfaen"/>
          <w:b/>
          <w:sz w:val="24"/>
          <w:szCs w:val="24"/>
          <w:lang w:val="hy-AM"/>
        </w:rPr>
        <w:t>պետական</w:t>
      </w:r>
      <w:r w:rsidRPr="004366A6">
        <w:rPr>
          <w:rFonts w:ascii="GHEA Grapalat" w:eastAsia="Calibri" w:hAnsi="GHEA Grapalat" w:cs="Times New Roman"/>
          <w:b/>
          <w:sz w:val="24"/>
          <w:szCs w:val="24"/>
          <w:lang w:val="hy-AM"/>
        </w:rPr>
        <w:t xml:space="preserve"> </w:t>
      </w:r>
      <w:r w:rsidRPr="004366A6">
        <w:rPr>
          <w:rFonts w:ascii="GHEA Grapalat" w:eastAsia="Calibri" w:hAnsi="GHEA Grapalat" w:cs="Sylfaen"/>
          <w:b/>
          <w:sz w:val="24"/>
          <w:szCs w:val="24"/>
          <w:lang w:val="hy-AM"/>
        </w:rPr>
        <w:t>բյո</w:t>
      </w:r>
      <w:r w:rsidRPr="004366A6">
        <w:rPr>
          <w:rFonts w:ascii="GHEA Grapalat" w:eastAsia="Calibri" w:hAnsi="GHEA Grapalat" w:cs="Times New Roman"/>
          <w:b/>
          <w:bCs/>
          <w:sz w:val="24"/>
          <w:szCs w:val="24"/>
          <w:lang w:val="hy-AM"/>
        </w:rPr>
        <w:t>ւ</w:t>
      </w:r>
      <w:r w:rsidRPr="004366A6">
        <w:rPr>
          <w:rFonts w:ascii="GHEA Grapalat" w:eastAsia="Calibri" w:hAnsi="GHEA Grapalat" w:cs="Sylfaen"/>
          <w:b/>
          <w:sz w:val="24"/>
          <w:szCs w:val="24"/>
          <w:lang w:val="hy-AM"/>
        </w:rPr>
        <w:t>ջեի եկամո</w:t>
      </w:r>
      <w:r w:rsidRPr="004366A6">
        <w:rPr>
          <w:rFonts w:ascii="GHEA Grapalat" w:eastAsia="Calibri" w:hAnsi="GHEA Grapalat" w:cs="Times New Roman"/>
          <w:b/>
          <w:bCs/>
          <w:sz w:val="24"/>
          <w:szCs w:val="24"/>
          <w:lang w:val="hy-AM"/>
        </w:rPr>
        <w:t>ւ</w:t>
      </w:r>
      <w:r w:rsidRPr="004366A6">
        <w:rPr>
          <w:rFonts w:ascii="GHEA Grapalat" w:eastAsia="Calibri" w:hAnsi="GHEA Grapalat" w:cs="Sylfaen"/>
          <w:b/>
          <w:sz w:val="24"/>
          <w:szCs w:val="24"/>
          <w:lang w:val="hy-AM"/>
        </w:rPr>
        <w:t xml:space="preserve">տներում և ծախսերում սպասվելիք փոփոխությունները </w:t>
      </w:r>
    </w:p>
    <w:p w:rsidR="00F60C66" w:rsidRDefault="00F60C66" w:rsidP="00F60C66">
      <w:pPr>
        <w:ind w:firstLine="375"/>
        <w:jc w:val="both"/>
        <w:rPr>
          <w:rFonts w:ascii="GHEA Grapalat" w:eastAsia="Times New Roman" w:hAnsi="GHEA Grapalat" w:cs="Times New Roman"/>
          <w:sz w:val="24"/>
          <w:szCs w:val="24"/>
          <w:lang w:val="hy-AM" w:eastAsia="ru-RU"/>
        </w:rPr>
      </w:pPr>
    </w:p>
    <w:p w:rsidR="00F60C66" w:rsidRPr="00F60C66" w:rsidRDefault="00F60C66" w:rsidP="00F60C66">
      <w:pPr>
        <w:ind w:firstLine="375"/>
        <w:jc w:val="both"/>
        <w:rPr>
          <w:rFonts w:ascii="GHEA Grapalat" w:eastAsia="Times New Roman" w:hAnsi="GHEA Grapalat" w:cs="Times New Roman"/>
          <w:sz w:val="24"/>
          <w:szCs w:val="24"/>
          <w:lang w:val="hy-AM" w:eastAsia="ru-RU"/>
        </w:rPr>
      </w:pPr>
      <w:r>
        <w:rPr>
          <w:rFonts w:ascii="GHEA Grapalat" w:eastAsia="Times New Roman" w:hAnsi="GHEA Grapalat" w:cs="GHEA Grapalat"/>
          <w:sz w:val="24"/>
          <w:szCs w:val="24"/>
          <w:lang w:val="hy-AM" w:eastAsia="ru-RU"/>
        </w:rPr>
        <w:lastRenderedPageBreak/>
        <w:t xml:space="preserve">Ռազմավարական ծրագրի ֆինանսական գնահատականն ըստ ռազմավարական նպատակների, ծրագրերի և միջոցառումների </w:t>
      </w:r>
      <w:r w:rsidR="00F42501">
        <w:rPr>
          <w:rFonts w:ascii="GHEA Grapalat" w:eastAsia="Times New Roman" w:hAnsi="GHEA Grapalat" w:cs="GHEA Grapalat"/>
          <w:sz w:val="24"/>
          <w:szCs w:val="24"/>
          <w:lang w:val="hy-AM" w:eastAsia="ru-RU"/>
        </w:rPr>
        <w:t>կներկայացվի ՀՀ վարչապետի աշխատակազմ որոշումն ուժի մեջ մտնելուց հետո եռամսյա ժամկետում։</w:t>
      </w:r>
    </w:p>
    <w:p w:rsidR="00A459E6" w:rsidRPr="004366A6" w:rsidRDefault="00A459E6" w:rsidP="004366A6">
      <w:pPr>
        <w:spacing w:after="0" w:line="276" w:lineRule="auto"/>
        <w:ind w:firstLine="375"/>
        <w:jc w:val="both"/>
        <w:rPr>
          <w:rFonts w:ascii="GHEA Grapalat" w:eastAsia="Times New Roman" w:hAnsi="GHEA Grapalat" w:cs="Times New Roman"/>
          <w:sz w:val="24"/>
          <w:szCs w:val="24"/>
          <w:lang w:val="hy-AM"/>
        </w:rPr>
      </w:pPr>
    </w:p>
    <w:p w:rsidR="00571385" w:rsidRPr="004366A6" w:rsidRDefault="00571385" w:rsidP="004366A6">
      <w:pPr>
        <w:spacing w:after="0" w:line="276" w:lineRule="auto"/>
        <w:ind w:firstLine="375"/>
        <w:jc w:val="both"/>
        <w:rPr>
          <w:rFonts w:ascii="GHEA Grapalat" w:eastAsia="Calibri" w:hAnsi="GHEA Grapalat" w:cs="Calibri"/>
          <w:b/>
          <w:sz w:val="24"/>
          <w:szCs w:val="24"/>
          <w:shd w:val="clear" w:color="auto" w:fill="FFFFFF"/>
          <w:lang w:val="af-ZA"/>
        </w:rPr>
      </w:pPr>
      <w:r w:rsidRPr="004366A6">
        <w:rPr>
          <w:rFonts w:ascii="GHEA Grapalat" w:eastAsia="Calibri" w:hAnsi="GHEA Grapalat" w:cs="Calibri"/>
          <w:b/>
          <w:sz w:val="24"/>
          <w:szCs w:val="24"/>
          <w:shd w:val="clear" w:color="auto" w:fill="FFFFFF"/>
          <w:lang w:val="af-ZA"/>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60C66" w:rsidRDefault="00F60C66" w:rsidP="00F60C66">
      <w:pPr>
        <w:spacing w:line="276" w:lineRule="auto"/>
        <w:ind w:firstLine="375"/>
        <w:jc w:val="both"/>
        <w:rPr>
          <w:rFonts w:ascii="GHEA Grapalat" w:eastAsia="Calibri" w:hAnsi="GHEA Grapalat" w:cs="Times New Roman"/>
          <w:bCs/>
          <w:sz w:val="24"/>
          <w:szCs w:val="24"/>
          <w:shd w:val="clear" w:color="auto" w:fill="FFFFFF"/>
          <w:lang w:val="hy-AM"/>
        </w:rPr>
      </w:pPr>
    </w:p>
    <w:p w:rsidR="00F60C66" w:rsidRPr="004366A6" w:rsidRDefault="0072656D" w:rsidP="00F60C66">
      <w:pPr>
        <w:spacing w:line="276" w:lineRule="auto"/>
        <w:ind w:firstLine="375"/>
        <w:jc w:val="both"/>
        <w:rPr>
          <w:rFonts w:ascii="GHEA Grapalat" w:eastAsia="Calibri" w:hAnsi="GHEA Grapalat" w:cs="Times New Roman"/>
          <w:bCs/>
          <w:sz w:val="24"/>
          <w:szCs w:val="24"/>
          <w:shd w:val="clear" w:color="auto" w:fill="FFFFFF"/>
          <w:lang w:val="hy-AM"/>
        </w:rPr>
      </w:pPr>
      <w:r>
        <w:rPr>
          <w:rFonts w:ascii="GHEA Grapalat" w:eastAsia="Calibri" w:hAnsi="GHEA Grapalat" w:cs="Times New Roman"/>
          <w:bCs/>
          <w:sz w:val="24"/>
          <w:szCs w:val="24"/>
          <w:shd w:val="clear" w:color="auto" w:fill="FFFFFF"/>
          <w:lang w:val="hy-AM"/>
        </w:rPr>
        <w:t>Ռազմավարական</w:t>
      </w:r>
      <w:bookmarkStart w:id="1" w:name="_GoBack"/>
      <w:bookmarkEnd w:id="1"/>
      <w:r w:rsidR="00F60C66">
        <w:rPr>
          <w:rFonts w:ascii="GHEA Grapalat" w:eastAsia="Calibri" w:hAnsi="GHEA Grapalat" w:cs="Times New Roman"/>
          <w:bCs/>
          <w:sz w:val="24"/>
          <w:szCs w:val="24"/>
          <w:shd w:val="clear" w:color="auto" w:fill="FFFFFF"/>
          <w:lang w:val="hy-AM"/>
        </w:rPr>
        <w:t xml:space="preserve"> ծրագիրը </w:t>
      </w:r>
      <w:r w:rsidR="00F60C66" w:rsidRPr="004366A6">
        <w:rPr>
          <w:rFonts w:ascii="GHEA Grapalat" w:eastAsia="Calibri" w:hAnsi="GHEA Grapalat" w:cs="Times New Roman"/>
          <w:bCs/>
          <w:sz w:val="24"/>
          <w:szCs w:val="24"/>
          <w:shd w:val="clear" w:color="auto" w:fill="FFFFFF"/>
          <w:lang w:val="hy-AM"/>
        </w:rPr>
        <w:t xml:space="preserve">բխում է Հայաստանի վերափոխման՝ մինչև 2050թ. </w:t>
      </w:r>
      <w:r w:rsidR="00F60C66">
        <w:rPr>
          <w:rFonts w:ascii="GHEA Grapalat" w:eastAsia="Calibri" w:hAnsi="GHEA Grapalat" w:cs="Times New Roman"/>
          <w:bCs/>
          <w:sz w:val="24"/>
          <w:szCs w:val="24"/>
          <w:shd w:val="clear" w:color="auto" w:fill="FFFFFF"/>
          <w:lang w:val="hy-AM"/>
        </w:rPr>
        <w:t>ռ</w:t>
      </w:r>
      <w:r w:rsidR="00F60C66" w:rsidRPr="004366A6">
        <w:rPr>
          <w:rFonts w:ascii="GHEA Grapalat" w:eastAsia="Calibri" w:hAnsi="GHEA Grapalat" w:cs="Times New Roman"/>
          <w:bCs/>
          <w:sz w:val="24"/>
          <w:szCs w:val="24"/>
          <w:shd w:val="clear" w:color="auto" w:fill="FFFFFF"/>
          <w:lang w:val="hy-AM"/>
        </w:rPr>
        <w:t>ազմավարության և ՀՀ Կառավարության ծրագրի այնպիսի նպատակներից, ինչպիսիք են զբաղվածության աճը, կյանքի որակի բարելավումը, մեկ շնչի հաշվով ՀՆԱ-ի աճը և աղքատության նվազումը:</w:t>
      </w:r>
    </w:p>
    <w:p w:rsidR="0045427E" w:rsidRPr="004366A6" w:rsidRDefault="0045427E" w:rsidP="004366A6">
      <w:pPr>
        <w:spacing w:after="0" w:line="276" w:lineRule="auto"/>
        <w:ind w:firstLine="375"/>
        <w:contextualSpacing/>
        <w:jc w:val="both"/>
        <w:rPr>
          <w:rFonts w:ascii="GHEA Grapalat" w:eastAsia="Times New Roman" w:hAnsi="GHEA Grapalat" w:cs="Times New Roman"/>
          <w:sz w:val="24"/>
          <w:szCs w:val="24"/>
          <w:lang w:val="hy-AM" w:eastAsia="ru-RU"/>
        </w:rPr>
      </w:pPr>
    </w:p>
    <w:p w:rsidR="003F7526" w:rsidRPr="004366A6" w:rsidRDefault="003F7526" w:rsidP="004366A6">
      <w:pPr>
        <w:spacing w:after="0" w:line="276" w:lineRule="auto"/>
        <w:ind w:firstLine="375"/>
        <w:rPr>
          <w:rFonts w:ascii="GHEA Grapalat" w:hAnsi="GHEA Grapalat"/>
          <w:sz w:val="24"/>
          <w:szCs w:val="24"/>
          <w:lang w:val="hy-AM"/>
        </w:rPr>
      </w:pPr>
    </w:p>
    <w:p w:rsidR="00E4108F" w:rsidRPr="004366A6" w:rsidRDefault="00E4108F" w:rsidP="004366A6">
      <w:pPr>
        <w:spacing w:after="0" w:line="276" w:lineRule="auto"/>
        <w:ind w:firstLine="375"/>
        <w:rPr>
          <w:rFonts w:ascii="GHEA Grapalat" w:hAnsi="GHEA Grapalat"/>
          <w:sz w:val="24"/>
          <w:szCs w:val="24"/>
          <w:lang w:val="hy-AM"/>
        </w:rPr>
      </w:pPr>
    </w:p>
    <w:p w:rsidR="00E4108F" w:rsidRPr="004366A6" w:rsidRDefault="00E4108F" w:rsidP="004366A6">
      <w:pPr>
        <w:spacing w:after="0" w:line="276" w:lineRule="auto"/>
        <w:ind w:firstLine="375"/>
        <w:rPr>
          <w:rFonts w:ascii="GHEA Grapalat" w:hAnsi="GHEA Grapalat"/>
          <w:sz w:val="24"/>
          <w:szCs w:val="24"/>
          <w:lang w:val="hy-AM"/>
        </w:rPr>
      </w:pPr>
    </w:p>
    <w:sectPr w:rsidR="00E4108F" w:rsidRPr="004366A6" w:rsidSect="00691BBA">
      <w:pgSz w:w="12240" w:h="15840"/>
      <w:pgMar w:top="135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BA4" w:rsidRDefault="00F67BA4" w:rsidP="004366A6">
      <w:pPr>
        <w:spacing w:after="0" w:line="240" w:lineRule="auto"/>
      </w:pPr>
      <w:r>
        <w:separator/>
      </w:r>
    </w:p>
  </w:endnote>
  <w:endnote w:type="continuationSeparator" w:id="0">
    <w:p w:rsidR="00F67BA4" w:rsidRDefault="00F67BA4" w:rsidP="00436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BA4" w:rsidRDefault="00F67BA4" w:rsidP="004366A6">
      <w:pPr>
        <w:spacing w:after="0" w:line="240" w:lineRule="auto"/>
      </w:pPr>
      <w:r>
        <w:separator/>
      </w:r>
    </w:p>
  </w:footnote>
  <w:footnote w:type="continuationSeparator" w:id="0">
    <w:p w:rsidR="00F67BA4" w:rsidRDefault="00F67BA4" w:rsidP="004366A6">
      <w:pPr>
        <w:spacing w:after="0" w:line="240" w:lineRule="auto"/>
      </w:pPr>
      <w:r>
        <w:continuationSeparator/>
      </w:r>
    </w:p>
  </w:footnote>
  <w:footnote w:id="1">
    <w:p w:rsidR="004366A6" w:rsidRPr="00CA7C30" w:rsidRDefault="004366A6" w:rsidP="004366A6">
      <w:pPr>
        <w:pStyle w:val="FootnoteText"/>
        <w:rPr>
          <w:sz w:val="16"/>
          <w:lang w:val="hy-AM"/>
        </w:rPr>
      </w:pPr>
      <w:r w:rsidRPr="004366A6">
        <w:rPr>
          <w:rStyle w:val="FootnoteReference"/>
          <w:rFonts w:ascii="GHEA Grapalat" w:hAnsi="GHEA Grapalat"/>
        </w:rPr>
        <w:footnoteRef/>
      </w:r>
      <w:r w:rsidRPr="004366A6">
        <w:rPr>
          <w:rFonts w:ascii="GHEA Grapalat" w:hAnsi="GHEA Grapalat"/>
        </w:rPr>
        <w:t xml:space="preserve"> </w:t>
      </w:r>
      <w:r w:rsidRPr="004366A6">
        <w:rPr>
          <w:rFonts w:ascii="GHEA Grapalat" w:hAnsi="GHEA Grapalat"/>
          <w:sz w:val="16"/>
        </w:rPr>
        <w:t>Տվյալների աղբյուրը հանդիսանում է Հայաստանի Հանրապետության վիճակագրական կոմիտեի (Արմստատ) կողմից հրապարակված աշխատուժի հետազոտության անվանազերծված</w:t>
      </w:r>
      <w:r w:rsidRPr="004366A6">
        <w:rPr>
          <w:rFonts w:ascii="GHEA Grapalat" w:hAnsi="GHEA Grapalat"/>
          <w:sz w:val="16"/>
          <w:lang w:val="en-US"/>
        </w:rPr>
        <w:t xml:space="preserve"> </w:t>
      </w:r>
      <w:r w:rsidRPr="004366A6">
        <w:rPr>
          <w:rFonts w:ascii="GHEA Grapalat" w:hAnsi="GHEA Grapalat"/>
          <w:sz w:val="16"/>
          <w:lang w:val="hy-AM"/>
        </w:rPr>
        <w:t>ամենանոր</w:t>
      </w:r>
      <w:r w:rsidRPr="004366A6">
        <w:rPr>
          <w:rFonts w:ascii="GHEA Grapalat" w:hAnsi="GHEA Grapalat"/>
          <w:sz w:val="16"/>
        </w:rPr>
        <w:t xml:space="preserve"> արդյունքները</w:t>
      </w:r>
      <w:r w:rsidRPr="00CA7C30">
        <w:rPr>
          <w:sz w:val="16"/>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6150451"/>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612112"/>
    <w:multiLevelType w:val="hybridMultilevel"/>
    <w:tmpl w:val="B58896E0"/>
    <w:lvl w:ilvl="0" w:tplc="0409000F">
      <w:start w:val="1"/>
      <w:numFmt w:val="decimal"/>
      <w:lvlText w:val="%1."/>
      <w:lvlJc w:val="left"/>
      <w:pPr>
        <w:ind w:left="928"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CF3068F"/>
    <w:multiLevelType w:val="hybridMultilevel"/>
    <w:tmpl w:val="915021E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F6E1377"/>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9759F1"/>
    <w:multiLevelType w:val="hybridMultilevel"/>
    <w:tmpl w:val="CDFE4448"/>
    <w:lvl w:ilvl="0" w:tplc="0409000F">
      <w:start w:val="1"/>
      <w:numFmt w:val="decimal"/>
      <w:lvlText w:val="%1."/>
      <w:lvlJc w:val="left"/>
      <w:pPr>
        <w:ind w:left="117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9CB7A30"/>
    <w:multiLevelType w:val="hybridMultilevel"/>
    <w:tmpl w:val="AEA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F433A0"/>
    <w:multiLevelType w:val="hybridMultilevel"/>
    <w:tmpl w:val="63BA4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DE7FBF"/>
    <w:multiLevelType w:val="hybridMultilevel"/>
    <w:tmpl w:val="AD60BBB4"/>
    <w:lvl w:ilvl="0" w:tplc="D91E08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16D6C7E"/>
    <w:multiLevelType w:val="hybridMultilevel"/>
    <w:tmpl w:val="B70A8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C485F3F"/>
    <w:multiLevelType w:val="hybridMultilevel"/>
    <w:tmpl w:val="8D4C2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B05906"/>
    <w:multiLevelType w:val="hybridMultilevel"/>
    <w:tmpl w:val="05B2B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D23C36"/>
    <w:multiLevelType w:val="hybridMultilevel"/>
    <w:tmpl w:val="7034FBF6"/>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4" w15:restartNumberingAfterBreak="0">
    <w:nsid w:val="473F7060"/>
    <w:multiLevelType w:val="hybridMultilevel"/>
    <w:tmpl w:val="E418F876"/>
    <w:lvl w:ilvl="0" w:tplc="BE9018FE">
      <w:start w:val="1"/>
      <w:numFmt w:val="bullet"/>
      <w:lvlText w:val=""/>
      <w:lvlJc w:val="left"/>
      <w:pPr>
        <w:ind w:left="1080" w:hanging="360"/>
      </w:pPr>
      <w:rPr>
        <w:rFonts w:ascii="Symbol" w:hAnsi="Symbol" w:hint="default"/>
      </w:rPr>
    </w:lvl>
    <w:lvl w:ilvl="1" w:tplc="2DDA8120">
      <w:start w:val="1"/>
      <w:numFmt w:val="bullet"/>
      <w:lvlText w:val="o"/>
      <w:lvlJc w:val="left"/>
      <w:pPr>
        <w:ind w:left="1800" w:hanging="360"/>
      </w:pPr>
      <w:rPr>
        <w:rFonts w:ascii="Courier New" w:hAnsi="Courier New" w:cs="Courier New" w:hint="default"/>
      </w:rPr>
    </w:lvl>
    <w:lvl w:ilvl="2" w:tplc="36A48556">
      <w:start w:val="1"/>
      <w:numFmt w:val="bullet"/>
      <w:lvlText w:val=""/>
      <w:lvlJc w:val="left"/>
      <w:pPr>
        <w:ind w:left="2520" w:hanging="360"/>
      </w:pPr>
      <w:rPr>
        <w:rFonts w:ascii="Wingdings" w:hAnsi="Wingdings" w:hint="default"/>
      </w:rPr>
    </w:lvl>
    <w:lvl w:ilvl="3" w:tplc="BC744518">
      <w:start w:val="1"/>
      <w:numFmt w:val="bullet"/>
      <w:lvlText w:val=""/>
      <w:lvlJc w:val="left"/>
      <w:pPr>
        <w:ind w:left="3240" w:hanging="360"/>
      </w:pPr>
      <w:rPr>
        <w:rFonts w:ascii="Symbol" w:hAnsi="Symbol" w:hint="default"/>
      </w:rPr>
    </w:lvl>
    <w:lvl w:ilvl="4" w:tplc="1750A722">
      <w:start w:val="1"/>
      <w:numFmt w:val="bullet"/>
      <w:lvlText w:val="o"/>
      <w:lvlJc w:val="left"/>
      <w:pPr>
        <w:ind w:left="3960" w:hanging="360"/>
      </w:pPr>
      <w:rPr>
        <w:rFonts w:ascii="Courier New" w:hAnsi="Courier New" w:cs="Courier New" w:hint="default"/>
      </w:rPr>
    </w:lvl>
    <w:lvl w:ilvl="5" w:tplc="70DAB940">
      <w:start w:val="1"/>
      <w:numFmt w:val="bullet"/>
      <w:lvlText w:val=""/>
      <w:lvlJc w:val="left"/>
      <w:pPr>
        <w:ind w:left="4680" w:hanging="360"/>
      </w:pPr>
      <w:rPr>
        <w:rFonts w:ascii="Wingdings" w:hAnsi="Wingdings" w:hint="default"/>
      </w:rPr>
    </w:lvl>
    <w:lvl w:ilvl="6" w:tplc="6832D8D6">
      <w:start w:val="1"/>
      <w:numFmt w:val="bullet"/>
      <w:lvlText w:val=""/>
      <w:lvlJc w:val="left"/>
      <w:pPr>
        <w:ind w:left="5400" w:hanging="360"/>
      </w:pPr>
      <w:rPr>
        <w:rFonts w:ascii="Symbol" w:hAnsi="Symbol" w:hint="default"/>
      </w:rPr>
    </w:lvl>
    <w:lvl w:ilvl="7" w:tplc="1C52D912">
      <w:start w:val="1"/>
      <w:numFmt w:val="bullet"/>
      <w:lvlText w:val="o"/>
      <w:lvlJc w:val="left"/>
      <w:pPr>
        <w:ind w:left="6120" w:hanging="360"/>
      </w:pPr>
      <w:rPr>
        <w:rFonts w:ascii="Courier New" w:hAnsi="Courier New" w:cs="Courier New" w:hint="default"/>
      </w:rPr>
    </w:lvl>
    <w:lvl w:ilvl="8" w:tplc="2FF65548">
      <w:start w:val="1"/>
      <w:numFmt w:val="bullet"/>
      <w:lvlText w:val=""/>
      <w:lvlJc w:val="left"/>
      <w:pPr>
        <w:ind w:left="6840" w:hanging="360"/>
      </w:pPr>
      <w:rPr>
        <w:rFonts w:ascii="Wingdings" w:hAnsi="Wingdings" w:hint="default"/>
      </w:rPr>
    </w:lvl>
  </w:abstractNum>
  <w:abstractNum w:abstractNumId="15" w15:restartNumberingAfterBreak="0">
    <w:nsid w:val="47BF1E85"/>
    <w:multiLevelType w:val="hybridMultilevel"/>
    <w:tmpl w:val="1E867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0AA4A4A"/>
    <w:multiLevelType w:val="hybridMultilevel"/>
    <w:tmpl w:val="73F4BD64"/>
    <w:lvl w:ilvl="0" w:tplc="09B6E04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8"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4771689"/>
    <w:multiLevelType w:val="hybridMultilevel"/>
    <w:tmpl w:val="3FFADD8C"/>
    <w:lvl w:ilvl="0" w:tplc="87C626A6">
      <w:start w:val="1"/>
      <w:numFmt w:val="decimal"/>
      <w:lvlText w:val="%1."/>
      <w:lvlJc w:val="left"/>
      <w:pPr>
        <w:ind w:left="990" w:hanging="360"/>
      </w:pPr>
      <w:rPr>
        <w:rFonts w:ascii="Calibri" w:hAnsi="Calibri" w:cs="Calibri" w:hint="default"/>
        <w:b w:val="0"/>
        <w:sz w:val="24"/>
      </w:rPr>
    </w:lvl>
    <w:lvl w:ilvl="1" w:tplc="0D0E1078">
      <w:start w:val="1"/>
      <w:numFmt w:val="lowerLetter"/>
      <w:lvlText w:val="%2."/>
      <w:lvlJc w:val="left"/>
      <w:pPr>
        <w:ind w:left="1440" w:hanging="360"/>
      </w:pPr>
    </w:lvl>
    <w:lvl w:ilvl="2" w:tplc="40D23C16">
      <w:start w:val="1"/>
      <w:numFmt w:val="lowerRoman"/>
      <w:lvlText w:val="%3."/>
      <w:lvlJc w:val="right"/>
      <w:pPr>
        <w:ind w:left="2160" w:hanging="180"/>
      </w:pPr>
    </w:lvl>
    <w:lvl w:ilvl="3" w:tplc="66DC94CC">
      <w:start w:val="1"/>
      <w:numFmt w:val="decimal"/>
      <w:lvlText w:val="%4."/>
      <w:lvlJc w:val="left"/>
      <w:pPr>
        <w:ind w:left="2880" w:hanging="360"/>
      </w:pPr>
    </w:lvl>
    <w:lvl w:ilvl="4" w:tplc="FC4217CE">
      <w:start w:val="1"/>
      <w:numFmt w:val="lowerLetter"/>
      <w:lvlText w:val="%5."/>
      <w:lvlJc w:val="left"/>
      <w:pPr>
        <w:ind w:left="3600" w:hanging="360"/>
      </w:pPr>
    </w:lvl>
    <w:lvl w:ilvl="5" w:tplc="AF946966">
      <w:start w:val="1"/>
      <w:numFmt w:val="lowerRoman"/>
      <w:lvlText w:val="%6."/>
      <w:lvlJc w:val="right"/>
      <w:pPr>
        <w:ind w:left="4320" w:hanging="180"/>
      </w:pPr>
    </w:lvl>
    <w:lvl w:ilvl="6" w:tplc="D088A5F2">
      <w:start w:val="1"/>
      <w:numFmt w:val="decimal"/>
      <w:lvlText w:val="%7."/>
      <w:lvlJc w:val="left"/>
      <w:pPr>
        <w:ind w:left="5040" w:hanging="360"/>
      </w:pPr>
    </w:lvl>
    <w:lvl w:ilvl="7" w:tplc="D3BC85FA">
      <w:start w:val="1"/>
      <w:numFmt w:val="lowerLetter"/>
      <w:lvlText w:val="%8."/>
      <w:lvlJc w:val="left"/>
      <w:pPr>
        <w:ind w:left="5760" w:hanging="360"/>
      </w:pPr>
    </w:lvl>
    <w:lvl w:ilvl="8" w:tplc="2996BE94">
      <w:start w:val="1"/>
      <w:numFmt w:val="lowerRoman"/>
      <w:lvlText w:val="%9."/>
      <w:lvlJc w:val="right"/>
      <w:pPr>
        <w:ind w:left="6480" w:hanging="180"/>
      </w:pPr>
    </w:lvl>
  </w:abstractNum>
  <w:abstractNum w:abstractNumId="20"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1"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6AA74F4C"/>
    <w:multiLevelType w:val="hybridMultilevel"/>
    <w:tmpl w:val="CDFE4448"/>
    <w:lvl w:ilvl="0" w:tplc="0409000F">
      <w:start w:val="1"/>
      <w:numFmt w:val="decimal"/>
      <w:lvlText w:val="%1."/>
      <w:lvlJc w:val="left"/>
      <w:pPr>
        <w:ind w:left="90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6B863FB0"/>
    <w:multiLevelType w:val="hybridMultilevel"/>
    <w:tmpl w:val="3BAA779A"/>
    <w:lvl w:ilvl="0" w:tplc="CB365020">
      <w:start w:val="1"/>
      <w:numFmt w:val="decimal"/>
      <w:lvlText w:val="%1)"/>
      <w:lvlJc w:val="left"/>
      <w:pPr>
        <w:ind w:left="900" w:hanging="360"/>
      </w:pPr>
      <w:rPr>
        <w:rFonts w:eastAsia="Tahoma"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EF745F1"/>
    <w:multiLevelType w:val="hybridMultilevel"/>
    <w:tmpl w:val="65607318"/>
    <w:lvl w:ilvl="0" w:tplc="5CBAD3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17E3D4E"/>
    <w:multiLevelType w:val="hybridMultilevel"/>
    <w:tmpl w:val="101A1B94"/>
    <w:lvl w:ilvl="0" w:tplc="F4A61940">
      <w:start w:val="1"/>
      <w:numFmt w:val="decimal"/>
      <w:lvlText w:val="%1)"/>
      <w:lvlJc w:val="left"/>
      <w:pPr>
        <w:ind w:left="1260" w:hanging="360"/>
      </w:pPr>
      <w:rPr>
        <w:rFonts w:eastAsia="Tahoma"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C675CB8"/>
    <w:multiLevelType w:val="hybridMultilevel"/>
    <w:tmpl w:val="77603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2"/>
  </w:num>
  <w:num w:numId="14">
    <w:abstractNumId w:val="6"/>
  </w:num>
  <w:num w:numId="15">
    <w:abstractNumId w:val="26"/>
  </w:num>
  <w:num w:numId="16">
    <w:abstractNumId w:val="12"/>
  </w:num>
  <w:num w:numId="17">
    <w:abstractNumId w:val="3"/>
  </w:num>
  <w:num w:numId="18">
    <w:abstractNumId w:val="27"/>
  </w:num>
  <w:num w:numId="19">
    <w:abstractNumId w:val="1"/>
  </w:num>
  <w:num w:numId="20">
    <w:abstractNumId w:val="4"/>
  </w:num>
  <w:num w:numId="21">
    <w:abstractNumId w:val="8"/>
  </w:num>
  <w:num w:numId="22">
    <w:abstractNumId w:val="17"/>
  </w:num>
  <w:num w:numId="23">
    <w:abstractNumId w:val="25"/>
  </w:num>
  <w:num w:numId="24">
    <w:abstractNumId w:val="23"/>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7"/>
  </w:num>
  <w:num w:numId="29">
    <w:abstractNumId w:val="11"/>
  </w:num>
  <w:num w:numId="30">
    <w:abstractNumId w:val="9"/>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3B"/>
    <w:rsid w:val="000122FF"/>
    <w:rsid w:val="0004239C"/>
    <w:rsid w:val="00044907"/>
    <w:rsid w:val="00056214"/>
    <w:rsid w:val="000712A0"/>
    <w:rsid w:val="00072984"/>
    <w:rsid w:val="00090DBE"/>
    <w:rsid w:val="00092122"/>
    <w:rsid w:val="000C7A56"/>
    <w:rsid w:val="000D27D8"/>
    <w:rsid w:val="000D67B8"/>
    <w:rsid w:val="000F071C"/>
    <w:rsid w:val="000F0DC7"/>
    <w:rsid w:val="0010717C"/>
    <w:rsid w:val="00114E2D"/>
    <w:rsid w:val="00124731"/>
    <w:rsid w:val="0013419A"/>
    <w:rsid w:val="001907E9"/>
    <w:rsid w:val="00190D49"/>
    <w:rsid w:val="001C0319"/>
    <w:rsid w:val="001D0732"/>
    <w:rsid w:val="001E77D1"/>
    <w:rsid w:val="001F02FB"/>
    <w:rsid w:val="00216196"/>
    <w:rsid w:val="00222974"/>
    <w:rsid w:val="00222B52"/>
    <w:rsid w:val="00224C5C"/>
    <w:rsid w:val="002306A4"/>
    <w:rsid w:val="00240797"/>
    <w:rsid w:val="002530F2"/>
    <w:rsid w:val="00254F21"/>
    <w:rsid w:val="0025762F"/>
    <w:rsid w:val="0027040C"/>
    <w:rsid w:val="002747D6"/>
    <w:rsid w:val="00275D69"/>
    <w:rsid w:val="0029473B"/>
    <w:rsid w:val="00311EED"/>
    <w:rsid w:val="00312A6C"/>
    <w:rsid w:val="003167EA"/>
    <w:rsid w:val="003174CD"/>
    <w:rsid w:val="00373B79"/>
    <w:rsid w:val="00393FA5"/>
    <w:rsid w:val="00394EB6"/>
    <w:rsid w:val="003A5110"/>
    <w:rsid w:val="003B228F"/>
    <w:rsid w:val="003B71B5"/>
    <w:rsid w:val="003C7D04"/>
    <w:rsid w:val="003E161E"/>
    <w:rsid w:val="003E33B0"/>
    <w:rsid w:val="003E6D0D"/>
    <w:rsid w:val="003F7526"/>
    <w:rsid w:val="003F78C6"/>
    <w:rsid w:val="00407D74"/>
    <w:rsid w:val="004122AE"/>
    <w:rsid w:val="004366A6"/>
    <w:rsid w:val="00452483"/>
    <w:rsid w:val="0045427E"/>
    <w:rsid w:val="00470252"/>
    <w:rsid w:val="004708B3"/>
    <w:rsid w:val="004712A8"/>
    <w:rsid w:val="0047596C"/>
    <w:rsid w:val="00483A61"/>
    <w:rsid w:val="004A62D9"/>
    <w:rsid w:val="004C0631"/>
    <w:rsid w:val="004D1BE4"/>
    <w:rsid w:val="004D3933"/>
    <w:rsid w:val="004E79FF"/>
    <w:rsid w:val="004F5E92"/>
    <w:rsid w:val="005019BD"/>
    <w:rsid w:val="005077AC"/>
    <w:rsid w:val="00514B13"/>
    <w:rsid w:val="005162C6"/>
    <w:rsid w:val="00517528"/>
    <w:rsid w:val="00552E17"/>
    <w:rsid w:val="0056388E"/>
    <w:rsid w:val="00571385"/>
    <w:rsid w:val="00576848"/>
    <w:rsid w:val="00581C19"/>
    <w:rsid w:val="005844B6"/>
    <w:rsid w:val="0058559F"/>
    <w:rsid w:val="005C1BA0"/>
    <w:rsid w:val="005E6D56"/>
    <w:rsid w:val="005F3CB8"/>
    <w:rsid w:val="005F79FA"/>
    <w:rsid w:val="006120D2"/>
    <w:rsid w:val="00621CA0"/>
    <w:rsid w:val="00622EF7"/>
    <w:rsid w:val="006320A0"/>
    <w:rsid w:val="00661261"/>
    <w:rsid w:val="00691BBA"/>
    <w:rsid w:val="00696A4D"/>
    <w:rsid w:val="006D0F6F"/>
    <w:rsid w:val="006D61D8"/>
    <w:rsid w:val="006E28CA"/>
    <w:rsid w:val="006E58F2"/>
    <w:rsid w:val="00700A0E"/>
    <w:rsid w:val="00717BAA"/>
    <w:rsid w:val="0072656D"/>
    <w:rsid w:val="00744A93"/>
    <w:rsid w:val="007622E7"/>
    <w:rsid w:val="00762366"/>
    <w:rsid w:val="00776F10"/>
    <w:rsid w:val="00795177"/>
    <w:rsid w:val="007A7739"/>
    <w:rsid w:val="007B5183"/>
    <w:rsid w:val="007D2FB6"/>
    <w:rsid w:val="007D6173"/>
    <w:rsid w:val="007E6DB7"/>
    <w:rsid w:val="007E7F46"/>
    <w:rsid w:val="00810C84"/>
    <w:rsid w:val="008146B6"/>
    <w:rsid w:val="0082221D"/>
    <w:rsid w:val="0082712F"/>
    <w:rsid w:val="00855911"/>
    <w:rsid w:val="0086701C"/>
    <w:rsid w:val="0087071A"/>
    <w:rsid w:val="00881BE1"/>
    <w:rsid w:val="00896F45"/>
    <w:rsid w:val="008B5C6D"/>
    <w:rsid w:val="008E06C9"/>
    <w:rsid w:val="008E1E77"/>
    <w:rsid w:val="008E3B62"/>
    <w:rsid w:val="008F6997"/>
    <w:rsid w:val="00913ABF"/>
    <w:rsid w:val="009304DC"/>
    <w:rsid w:val="00932635"/>
    <w:rsid w:val="009331A6"/>
    <w:rsid w:val="009A6F8F"/>
    <w:rsid w:val="009B58AD"/>
    <w:rsid w:val="009B5913"/>
    <w:rsid w:val="009C21E6"/>
    <w:rsid w:val="009C5AB6"/>
    <w:rsid w:val="009D0828"/>
    <w:rsid w:val="009D6268"/>
    <w:rsid w:val="009D6AB4"/>
    <w:rsid w:val="009F2F5B"/>
    <w:rsid w:val="009F5B77"/>
    <w:rsid w:val="009F60E5"/>
    <w:rsid w:val="00A011AE"/>
    <w:rsid w:val="00A01258"/>
    <w:rsid w:val="00A12335"/>
    <w:rsid w:val="00A1318E"/>
    <w:rsid w:val="00A21C24"/>
    <w:rsid w:val="00A311A7"/>
    <w:rsid w:val="00A459E6"/>
    <w:rsid w:val="00A7583D"/>
    <w:rsid w:val="00A76A57"/>
    <w:rsid w:val="00A7755C"/>
    <w:rsid w:val="00A80467"/>
    <w:rsid w:val="00AA2002"/>
    <w:rsid w:val="00AC0739"/>
    <w:rsid w:val="00AE5970"/>
    <w:rsid w:val="00AE7F0F"/>
    <w:rsid w:val="00B1101C"/>
    <w:rsid w:val="00B254C6"/>
    <w:rsid w:val="00B5787E"/>
    <w:rsid w:val="00B74BE0"/>
    <w:rsid w:val="00B921BB"/>
    <w:rsid w:val="00BD3FC3"/>
    <w:rsid w:val="00BD5671"/>
    <w:rsid w:val="00BF6D33"/>
    <w:rsid w:val="00C006F3"/>
    <w:rsid w:val="00C07704"/>
    <w:rsid w:val="00C146A8"/>
    <w:rsid w:val="00C170C8"/>
    <w:rsid w:val="00C2016E"/>
    <w:rsid w:val="00C20873"/>
    <w:rsid w:val="00C420A4"/>
    <w:rsid w:val="00C47B8D"/>
    <w:rsid w:val="00C71451"/>
    <w:rsid w:val="00C743C1"/>
    <w:rsid w:val="00C8782F"/>
    <w:rsid w:val="00C87B0C"/>
    <w:rsid w:val="00D05A7B"/>
    <w:rsid w:val="00D14D0F"/>
    <w:rsid w:val="00D21F69"/>
    <w:rsid w:val="00D24565"/>
    <w:rsid w:val="00D33F55"/>
    <w:rsid w:val="00D5177E"/>
    <w:rsid w:val="00D52A62"/>
    <w:rsid w:val="00D65BC8"/>
    <w:rsid w:val="00D74701"/>
    <w:rsid w:val="00D81139"/>
    <w:rsid w:val="00D97E43"/>
    <w:rsid w:val="00DA6A68"/>
    <w:rsid w:val="00DB0FBF"/>
    <w:rsid w:val="00DE2C67"/>
    <w:rsid w:val="00DE6D9C"/>
    <w:rsid w:val="00E0467B"/>
    <w:rsid w:val="00E31CE8"/>
    <w:rsid w:val="00E35382"/>
    <w:rsid w:val="00E35385"/>
    <w:rsid w:val="00E4108F"/>
    <w:rsid w:val="00E472C5"/>
    <w:rsid w:val="00E5778D"/>
    <w:rsid w:val="00E725FD"/>
    <w:rsid w:val="00E73D3B"/>
    <w:rsid w:val="00E83CE0"/>
    <w:rsid w:val="00E83D4E"/>
    <w:rsid w:val="00EB3950"/>
    <w:rsid w:val="00EE1900"/>
    <w:rsid w:val="00EF4A19"/>
    <w:rsid w:val="00F071CB"/>
    <w:rsid w:val="00F16C2C"/>
    <w:rsid w:val="00F31CE6"/>
    <w:rsid w:val="00F42146"/>
    <w:rsid w:val="00F42501"/>
    <w:rsid w:val="00F60C66"/>
    <w:rsid w:val="00F67BA4"/>
    <w:rsid w:val="00F805B9"/>
    <w:rsid w:val="00F8159C"/>
    <w:rsid w:val="00F81CC6"/>
    <w:rsid w:val="00F82DE6"/>
    <w:rsid w:val="00FD02CB"/>
    <w:rsid w:val="00FD7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3FB92"/>
  <w15:chartTrackingRefBased/>
  <w15:docId w15:val="{0C785F9F-D1C2-4AE0-9FD9-E13E164BF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A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6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97"/>
    <w:rPr>
      <w:rFonts w:ascii="Segoe UI" w:hAnsi="Segoe UI" w:cs="Segoe UI"/>
      <w:sz w:val="18"/>
      <w:szCs w:val="18"/>
    </w:rPr>
  </w:style>
  <w:style w:type="character" w:styleId="Strong">
    <w:name w:val="Strong"/>
    <w:basedOn w:val="DefaultParagraphFont"/>
    <w:uiPriority w:val="22"/>
    <w:qFormat/>
    <w:rsid w:val="00F8159C"/>
    <w:rPr>
      <w:b/>
      <w:bCs/>
    </w:rPr>
  </w:style>
  <w:style w:type="paragraph" w:styleId="ListParagraph">
    <w:name w:val="List Paragraph"/>
    <w:basedOn w:val="Normal"/>
    <w:uiPriority w:val="34"/>
    <w:qFormat/>
    <w:rsid w:val="00F8159C"/>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3C7D04"/>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3C7D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108F"/>
    <w:rPr>
      <w:i/>
      <w:iCs/>
    </w:rPr>
  </w:style>
  <w:style w:type="paragraph" w:styleId="FootnoteText">
    <w:name w:val="footnote text"/>
    <w:basedOn w:val="Normal"/>
    <w:link w:val="FootnoteTextChar"/>
    <w:uiPriority w:val="99"/>
    <w:semiHidden/>
    <w:unhideWhenUsed/>
    <w:rsid w:val="004366A6"/>
    <w:pPr>
      <w:spacing w:after="0" w:line="240" w:lineRule="auto"/>
    </w:pPr>
    <w:rPr>
      <w:kern w:val="2"/>
      <w:sz w:val="20"/>
      <w:szCs w:val="20"/>
      <w:lang w:val="ru-RU"/>
      <w14:ligatures w14:val="standardContextual"/>
    </w:rPr>
  </w:style>
  <w:style w:type="character" w:customStyle="1" w:styleId="FootnoteTextChar">
    <w:name w:val="Footnote Text Char"/>
    <w:basedOn w:val="DefaultParagraphFont"/>
    <w:link w:val="FootnoteText"/>
    <w:uiPriority w:val="99"/>
    <w:semiHidden/>
    <w:rsid w:val="004366A6"/>
    <w:rPr>
      <w:kern w:val="2"/>
      <w:sz w:val="20"/>
      <w:szCs w:val="20"/>
      <w:lang w:val="ru-RU"/>
      <w14:ligatures w14:val="standardContextual"/>
    </w:rPr>
  </w:style>
  <w:style w:type="character" w:styleId="FootnoteReference">
    <w:name w:val="footnote reference"/>
    <w:basedOn w:val="DefaultParagraphFont"/>
    <w:uiPriority w:val="99"/>
    <w:semiHidden/>
    <w:unhideWhenUsed/>
    <w:rsid w:val="004366A6"/>
    <w:rPr>
      <w:vertAlign w:val="superscript"/>
    </w:rPr>
  </w:style>
  <w:style w:type="character" w:styleId="Hyperlink">
    <w:name w:val="Hyperlink"/>
    <w:basedOn w:val="DefaultParagraphFont"/>
    <w:uiPriority w:val="99"/>
    <w:semiHidden/>
    <w:unhideWhenUsed/>
    <w:rsid w:val="00F60C6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2566">
      <w:bodyDiv w:val="1"/>
      <w:marLeft w:val="0"/>
      <w:marRight w:val="0"/>
      <w:marTop w:val="0"/>
      <w:marBottom w:val="0"/>
      <w:divBdr>
        <w:top w:val="none" w:sz="0" w:space="0" w:color="auto"/>
        <w:left w:val="none" w:sz="0" w:space="0" w:color="auto"/>
        <w:bottom w:val="none" w:sz="0" w:space="0" w:color="auto"/>
        <w:right w:val="none" w:sz="0" w:space="0" w:color="auto"/>
      </w:divBdr>
    </w:div>
    <w:div w:id="162091077">
      <w:bodyDiv w:val="1"/>
      <w:marLeft w:val="0"/>
      <w:marRight w:val="0"/>
      <w:marTop w:val="0"/>
      <w:marBottom w:val="0"/>
      <w:divBdr>
        <w:top w:val="none" w:sz="0" w:space="0" w:color="auto"/>
        <w:left w:val="none" w:sz="0" w:space="0" w:color="auto"/>
        <w:bottom w:val="none" w:sz="0" w:space="0" w:color="auto"/>
        <w:right w:val="none" w:sz="0" w:space="0" w:color="auto"/>
      </w:divBdr>
    </w:div>
    <w:div w:id="166019001">
      <w:bodyDiv w:val="1"/>
      <w:marLeft w:val="0"/>
      <w:marRight w:val="0"/>
      <w:marTop w:val="0"/>
      <w:marBottom w:val="0"/>
      <w:divBdr>
        <w:top w:val="none" w:sz="0" w:space="0" w:color="auto"/>
        <w:left w:val="none" w:sz="0" w:space="0" w:color="auto"/>
        <w:bottom w:val="none" w:sz="0" w:space="0" w:color="auto"/>
        <w:right w:val="none" w:sz="0" w:space="0" w:color="auto"/>
      </w:divBdr>
    </w:div>
    <w:div w:id="187761443">
      <w:bodyDiv w:val="1"/>
      <w:marLeft w:val="0"/>
      <w:marRight w:val="0"/>
      <w:marTop w:val="0"/>
      <w:marBottom w:val="0"/>
      <w:divBdr>
        <w:top w:val="none" w:sz="0" w:space="0" w:color="auto"/>
        <w:left w:val="none" w:sz="0" w:space="0" w:color="auto"/>
        <w:bottom w:val="none" w:sz="0" w:space="0" w:color="auto"/>
        <w:right w:val="none" w:sz="0" w:space="0" w:color="auto"/>
      </w:divBdr>
    </w:div>
    <w:div w:id="204147838">
      <w:bodyDiv w:val="1"/>
      <w:marLeft w:val="0"/>
      <w:marRight w:val="0"/>
      <w:marTop w:val="0"/>
      <w:marBottom w:val="0"/>
      <w:divBdr>
        <w:top w:val="none" w:sz="0" w:space="0" w:color="auto"/>
        <w:left w:val="none" w:sz="0" w:space="0" w:color="auto"/>
        <w:bottom w:val="none" w:sz="0" w:space="0" w:color="auto"/>
        <w:right w:val="none" w:sz="0" w:space="0" w:color="auto"/>
      </w:divBdr>
    </w:div>
    <w:div w:id="345332484">
      <w:bodyDiv w:val="1"/>
      <w:marLeft w:val="0"/>
      <w:marRight w:val="0"/>
      <w:marTop w:val="0"/>
      <w:marBottom w:val="0"/>
      <w:divBdr>
        <w:top w:val="none" w:sz="0" w:space="0" w:color="auto"/>
        <w:left w:val="none" w:sz="0" w:space="0" w:color="auto"/>
        <w:bottom w:val="none" w:sz="0" w:space="0" w:color="auto"/>
        <w:right w:val="none" w:sz="0" w:space="0" w:color="auto"/>
      </w:divBdr>
    </w:div>
    <w:div w:id="410470699">
      <w:bodyDiv w:val="1"/>
      <w:marLeft w:val="0"/>
      <w:marRight w:val="0"/>
      <w:marTop w:val="0"/>
      <w:marBottom w:val="0"/>
      <w:divBdr>
        <w:top w:val="none" w:sz="0" w:space="0" w:color="auto"/>
        <w:left w:val="none" w:sz="0" w:space="0" w:color="auto"/>
        <w:bottom w:val="none" w:sz="0" w:space="0" w:color="auto"/>
        <w:right w:val="none" w:sz="0" w:space="0" w:color="auto"/>
      </w:divBdr>
    </w:div>
    <w:div w:id="414202748">
      <w:bodyDiv w:val="1"/>
      <w:marLeft w:val="0"/>
      <w:marRight w:val="0"/>
      <w:marTop w:val="0"/>
      <w:marBottom w:val="0"/>
      <w:divBdr>
        <w:top w:val="none" w:sz="0" w:space="0" w:color="auto"/>
        <w:left w:val="none" w:sz="0" w:space="0" w:color="auto"/>
        <w:bottom w:val="none" w:sz="0" w:space="0" w:color="auto"/>
        <w:right w:val="none" w:sz="0" w:space="0" w:color="auto"/>
      </w:divBdr>
    </w:div>
    <w:div w:id="542140394">
      <w:bodyDiv w:val="1"/>
      <w:marLeft w:val="0"/>
      <w:marRight w:val="0"/>
      <w:marTop w:val="0"/>
      <w:marBottom w:val="0"/>
      <w:divBdr>
        <w:top w:val="none" w:sz="0" w:space="0" w:color="auto"/>
        <w:left w:val="none" w:sz="0" w:space="0" w:color="auto"/>
        <w:bottom w:val="none" w:sz="0" w:space="0" w:color="auto"/>
        <w:right w:val="none" w:sz="0" w:space="0" w:color="auto"/>
      </w:divBdr>
    </w:div>
    <w:div w:id="597834864">
      <w:bodyDiv w:val="1"/>
      <w:marLeft w:val="0"/>
      <w:marRight w:val="0"/>
      <w:marTop w:val="0"/>
      <w:marBottom w:val="0"/>
      <w:divBdr>
        <w:top w:val="none" w:sz="0" w:space="0" w:color="auto"/>
        <w:left w:val="none" w:sz="0" w:space="0" w:color="auto"/>
        <w:bottom w:val="none" w:sz="0" w:space="0" w:color="auto"/>
        <w:right w:val="none" w:sz="0" w:space="0" w:color="auto"/>
      </w:divBdr>
    </w:div>
    <w:div w:id="616644675">
      <w:bodyDiv w:val="1"/>
      <w:marLeft w:val="0"/>
      <w:marRight w:val="0"/>
      <w:marTop w:val="0"/>
      <w:marBottom w:val="0"/>
      <w:divBdr>
        <w:top w:val="none" w:sz="0" w:space="0" w:color="auto"/>
        <w:left w:val="none" w:sz="0" w:space="0" w:color="auto"/>
        <w:bottom w:val="none" w:sz="0" w:space="0" w:color="auto"/>
        <w:right w:val="none" w:sz="0" w:space="0" w:color="auto"/>
      </w:divBdr>
    </w:div>
    <w:div w:id="743651579">
      <w:bodyDiv w:val="1"/>
      <w:marLeft w:val="0"/>
      <w:marRight w:val="0"/>
      <w:marTop w:val="0"/>
      <w:marBottom w:val="0"/>
      <w:divBdr>
        <w:top w:val="none" w:sz="0" w:space="0" w:color="auto"/>
        <w:left w:val="none" w:sz="0" w:space="0" w:color="auto"/>
        <w:bottom w:val="none" w:sz="0" w:space="0" w:color="auto"/>
        <w:right w:val="none" w:sz="0" w:space="0" w:color="auto"/>
      </w:divBdr>
    </w:div>
    <w:div w:id="754322053">
      <w:bodyDiv w:val="1"/>
      <w:marLeft w:val="0"/>
      <w:marRight w:val="0"/>
      <w:marTop w:val="0"/>
      <w:marBottom w:val="0"/>
      <w:divBdr>
        <w:top w:val="none" w:sz="0" w:space="0" w:color="auto"/>
        <w:left w:val="none" w:sz="0" w:space="0" w:color="auto"/>
        <w:bottom w:val="none" w:sz="0" w:space="0" w:color="auto"/>
        <w:right w:val="none" w:sz="0" w:space="0" w:color="auto"/>
      </w:divBdr>
    </w:div>
    <w:div w:id="906378231">
      <w:bodyDiv w:val="1"/>
      <w:marLeft w:val="0"/>
      <w:marRight w:val="0"/>
      <w:marTop w:val="0"/>
      <w:marBottom w:val="0"/>
      <w:divBdr>
        <w:top w:val="none" w:sz="0" w:space="0" w:color="auto"/>
        <w:left w:val="none" w:sz="0" w:space="0" w:color="auto"/>
        <w:bottom w:val="none" w:sz="0" w:space="0" w:color="auto"/>
        <w:right w:val="none" w:sz="0" w:space="0" w:color="auto"/>
      </w:divBdr>
    </w:div>
    <w:div w:id="925653563">
      <w:bodyDiv w:val="1"/>
      <w:marLeft w:val="0"/>
      <w:marRight w:val="0"/>
      <w:marTop w:val="0"/>
      <w:marBottom w:val="0"/>
      <w:divBdr>
        <w:top w:val="none" w:sz="0" w:space="0" w:color="auto"/>
        <w:left w:val="none" w:sz="0" w:space="0" w:color="auto"/>
        <w:bottom w:val="none" w:sz="0" w:space="0" w:color="auto"/>
        <w:right w:val="none" w:sz="0" w:space="0" w:color="auto"/>
      </w:divBdr>
    </w:div>
    <w:div w:id="942683676">
      <w:bodyDiv w:val="1"/>
      <w:marLeft w:val="0"/>
      <w:marRight w:val="0"/>
      <w:marTop w:val="0"/>
      <w:marBottom w:val="0"/>
      <w:divBdr>
        <w:top w:val="none" w:sz="0" w:space="0" w:color="auto"/>
        <w:left w:val="none" w:sz="0" w:space="0" w:color="auto"/>
        <w:bottom w:val="none" w:sz="0" w:space="0" w:color="auto"/>
        <w:right w:val="none" w:sz="0" w:space="0" w:color="auto"/>
      </w:divBdr>
    </w:div>
    <w:div w:id="1044717252">
      <w:bodyDiv w:val="1"/>
      <w:marLeft w:val="0"/>
      <w:marRight w:val="0"/>
      <w:marTop w:val="0"/>
      <w:marBottom w:val="0"/>
      <w:divBdr>
        <w:top w:val="none" w:sz="0" w:space="0" w:color="auto"/>
        <w:left w:val="none" w:sz="0" w:space="0" w:color="auto"/>
        <w:bottom w:val="none" w:sz="0" w:space="0" w:color="auto"/>
        <w:right w:val="none" w:sz="0" w:space="0" w:color="auto"/>
      </w:divBdr>
    </w:div>
    <w:div w:id="1064530560">
      <w:bodyDiv w:val="1"/>
      <w:marLeft w:val="0"/>
      <w:marRight w:val="0"/>
      <w:marTop w:val="0"/>
      <w:marBottom w:val="0"/>
      <w:divBdr>
        <w:top w:val="none" w:sz="0" w:space="0" w:color="auto"/>
        <w:left w:val="none" w:sz="0" w:space="0" w:color="auto"/>
        <w:bottom w:val="none" w:sz="0" w:space="0" w:color="auto"/>
        <w:right w:val="none" w:sz="0" w:space="0" w:color="auto"/>
      </w:divBdr>
    </w:div>
    <w:div w:id="1076629656">
      <w:bodyDiv w:val="1"/>
      <w:marLeft w:val="0"/>
      <w:marRight w:val="0"/>
      <w:marTop w:val="0"/>
      <w:marBottom w:val="0"/>
      <w:divBdr>
        <w:top w:val="none" w:sz="0" w:space="0" w:color="auto"/>
        <w:left w:val="none" w:sz="0" w:space="0" w:color="auto"/>
        <w:bottom w:val="none" w:sz="0" w:space="0" w:color="auto"/>
        <w:right w:val="none" w:sz="0" w:space="0" w:color="auto"/>
      </w:divBdr>
    </w:div>
    <w:div w:id="1113207827">
      <w:bodyDiv w:val="1"/>
      <w:marLeft w:val="0"/>
      <w:marRight w:val="0"/>
      <w:marTop w:val="0"/>
      <w:marBottom w:val="0"/>
      <w:divBdr>
        <w:top w:val="none" w:sz="0" w:space="0" w:color="auto"/>
        <w:left w:val="none" w:sz="0" w:space="0" w:color="auto"/>
        <w:bottom w:val="none" w:sz="0" w:space="0" w:color="auto"/>
        <w:right w:val="none" w:sz="0" w:space="0" w:color="auto"/>
      </w:divBdr>
    </w:div>
    <w:div w:id="1119185153">
      <w:bodyDiv w:val="1"/>
      <w:marLeft w:val="0"/>
      <w:marRight w:val="0"/>
      <w:marTop w:val="0"/>
      <w:marBottom w:val="0"/>
      <w:divBdr>
        <w:top w:val="none" w:sz="0" w:space="0" w:color="auto"/>
        <w:left w:val="none" w:sz="0" w:space="0" w:color="auto"/>
        <w:bottom w:val="none" w:sz="0" w:space="0" w:color="auto"/>
        <w:right w:val="none" w:sz="0" w:space="0" w:color="auto"/>
      </w:divBdr>
    </w:div>
    <w:div w:id="1165821078">
      <w:bodyDiv w:val="1"/>
      <w:marLeft w:val="0"/>
      <w:marRight w:val="0"/>
      <w:marTop w:val="0"/>
      <w:marBottom w:val="0"/>
      <w:divBdr>
        <w:top w:val="none" w:sz="0" w:space="0" w:color="auto"/>
        <w:left w:val="none" w:sz="0" w:space="0" w:color="auto"/>
        <w:bottom w:val="none" w:sz="0" w:space="0" w:color="auto"/>
        <w:right w:val="none" w:sz="0" w:space="0" w:color="auto"/>
      </w:divBdr>
    </w:div>
    <w:div w:id="1410613773">
      <w:bodyDiv w:val="1"/>
      <w:marLeft w:val="0"/>
      <w:marRight w:val="0"/>
      <w:marTop w:val="0"/>
      <w:marBottom w:val="0"/>
      <w:divBdr>
        <w:top w:val="none" w:sz="0" w:space="0" w:color="auto"/>
        <w:left w:val="none" w:sz="0" w:space="0" w:color="auto"/>
        <w:bottom w:val="none" w:sz="0" w:space="0" w:color="auto"/>
        <w:right w:val="none" w:sz="0" w:space="0" w:color="auto"/>
      </w:divBdr>
    </w:div>
    <w:div w:id="1432437983">
      <w:bodyDiv w:val="1"/>
      <w:marLeft w:val="0"/>
      <w:marRight w:val="0"/>
      <w:marTop w:val="0"/>
      <w:marBottom w:val="0"/>
      <w:divBdr>
        <w:top w:val="none" w:sz="0" w:space="0" w:color="auto"/>
        <w:left w:val="none" w:sz="0" w:space="0" w:color="auto"/>
        <w:bottom w:val="none" w:sz="0" w:space="0" w:color="auto"/>
        <w:right w:val="none" w:sz="0" w:space="0" w:color="auto"/>
      </w:divBdr>
    </w:div>
    <w:div w:id="1522275874">
      <w:bodyDiv w:val="1"/>
      <w:marLeft w:val="0"/>
      <w:marRight w:val="0"/>
      <w:marTop w:val="0"/>
      <w:marBottom w:val="0"/>
      <w:divBdr>
        <w:top w:val="none" w:sz="0" w:space="0" w:color="auto"/>
        <w:left w:val="none" w:sz="0" w:space="0" w:color="auto"/>
        <w:bottom w:val="none" w:sz="0" w:space="0" w:color="auto"/>
        <w:right w:val="none" w:sz="0" w:space="0" w:color="auto"/>
      </w:divBdr>
    </w:div>
    <w:div w:id="1523741116">
      <w:bodyDiv w:val="1"/>
      <w:marLeft w:val="0"/>
      <w:marRight w:val="0"/>
      <w:marTop w:val="0"/>
      <w:marBottom w:val="0"/>
      <w:divBdr>
        <w:top w:val="none" w:sz="0" w:space="0" w:color="auto"/>
        <w:left w:val="none" w:sz="0" w:space="0" w:color="auto"/>
        <w:bottom w:val="none" w:sz="0" w:space="0" w:color="auto"/>
        <w:right w:val="none" w:sz="0" w:space="0" w:color="auto"/>
      </w:divBdr>
    </w:div>
    <w:div w:id="1561598413">
      <w:bodyDiv w:val="1"/>
      <w:marLeft w:val="0"/>
      <w:marRight w:val="0"/>
      <w:marTop w:val="0"/>
      <w:marBottom w:val="0"/>
      <w:divBdr>
        <w:top w:val="none" w:sz="0" w:space="0" w:color="auto"/>
        <w:left w:val="none" w:sz="0" w:space="0" w:color="auto"/>
        <w:bottom w:val="none" w:sz="0" w:space="0" w:color="auto"/>
        <w:right w:val="none" w:sz="0" w:space="0" w:color="auto"/>
      </w:divBdr>
    </w:div>
    <w:div w:id="1627009469">
      <w:bodyDiv w:val="1"/>
      <w:marLeft w:val="0"/>
      <w:marRight w:val="0"/>
      <w:marTop w:val="0"/>
      <w:marBottom w:val="0"/>
      <w:divBdr>
        <w:top w:val="none" w:sz="0" w:space="0" w:color="auto"/>
        <w:left w:val="none" w:sz="0" w:space="0" w:color="auto"/>
        <w:bottom w:val="none" w:sz="0" w:space="0" w:color="auto"/>
        <w:right w:val="none" w:sz="0" w:space="0" w:color="auto"/>
      </w:divBdr>
    </w:div>
    <w:div w:id="1818259819">
      <w:bodyDiv w:val="1"/>
      <w:marLeft w:val="0"/>
      <w:marRight w:val="0"/>
      <w:marTop w:val="0"/>
      <w:marBottom w:val="0"/>
      <w:divBdr>
        <w:top w:val="none" w:sz="0" w:space="0" w:color="auto"/>
        <w:left w:val="none" w:sz="0" w:space="0" w:color="auto"/>
        <w:bottom w:val="none" w:sz="0" w:space="0" w:color="auto"/>
        <w:right w:val="none" w:sz="0" w:space="0" w:color="auto"/>
      </w:divBdr>
    </w:div>
    <w:div w:id="1866016298">
      <w:bodyDiv w:val="1"/>
      <w:marLeft w:val="0"/>
      <w:marRight w:val="0"/>
      <w:marTop w:val="0"/>
      <w:marBottom w:val="0"/>
      <w:divBdr>
        <w:top w:val="none" w:sz="0" w:space="0" w:color="auto"/>
        <w:left w:val="none" w:sz="0" w:space="0" w:color="auto"/>
        <w:bottom w:val="none" w:sz="0" w:space="0" w:color="auto"/>
        <w:right w:val="none" w:sz="0" w:space="0" w:color="auto"/>
      </w:divBdr>
    </w:div>
    <w:div w:id="2016564923">
      <w:bodyDiv w:val="1"/>
      <w:marLeft w:val="0"/>
      <w:marRight w:val="0"/>
      <w:marTop w:val="0"/>
      <w:marBottom w:val="0"/>
      <w:divBdr>
        <w:top w:val="none" w:sz="0" w:space="0" w:color="auto"/>
        <w:left w:val="none" w:sz="0" w:space="0" w:color="auto"/>
        <w:bottom w:val="none" w:sz="0" w:space="0" w:color="auto"/>
        <w:right w:val="none" w:sz="0" w:space="0" w:color="auto"/>
      </w:divBdr>
    </w:div>
    <w:div w:id="2032878694">
      <w:bodyDiv w:val="1"/>
      <w:marLeft w:val="0"/>
      <w:marRight w:val="0"/>
      <w:marTop w:val="0"/>
      <w:marBottom w:val="0"/>
      <w:divBdr>
        <w:top w:val="none" w:sz="0" w:space="0" w:color="auto"/>
        <w:left w:val="none" w:sz="0" w:space="0" w:color="auto"/>
        <w:bottom w:val="none" w:sz="0" w:space="0" w:color="auto"/>
        <w:right w:val="none" w:sz="0" w:space="0" w:color="auto"/>
      </w:divBdr>
    </w:div>
    <w:div w:id="206683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5AAEB-51C7-4888-84EC-703F49F1D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https://mul2.gov.am/tasks/1089198/oneclick?token=1db47fe77b4e53e2d49247fde536e6c6</cp:keywords>
  <dc:description/>
  <cp:lastModifiedBy>Anna Nazaryan</cp:lastModifiedBy>
  <cp:revision>2</cp:revision>
  <cp:lastPrinted>2024-01-10T17:09:00Z</cp:lastPrinted>
  <dcterms:created xsi:type="dcterms:W3CDTF">2024-04-22T09:39:00Z</dcterms:created>
  <dcterms:modified xsi:type="dcterms:W3CDTF">2024-12-26T12:53:00Z</dcterms:modified>
</cp:coreProperties>
</file>