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hd w:val="clear" w:color="auto" w:fill="FFFFFF"/>
        <w:tabs>
          <w:tab w:val="left" w:pos="0"/>
          <w:tab w:val="left" w:pos="360"/>
          <w:tab w:val="left" w:pos="1170"/>
        </w:tabs>
        <w:spacing w:after="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ՀԻՄՆԱՎՈՐՈՒՄ</w:t>
      </w:r>
    </w:p>
    <w:p>
      <w:pPr>
        <w:spacing w:after="0" w:line="360" w:lineRule="auto"/>
        <w:jc w:val="center"/>
        <w:rPr>
          <w:rFonts w:ascii="GHEA Grapalat" w:eastAsia="Calibri" w:hAnsi="GHEA Grapalat" w:cs="Times New Roman"/>
          <w:b/>
          <w:bCs/>
          <w:sz w:val="24"/>
          <w:szCs w:val="24"/>
        </w:rPr>
      </w:pPr>
      <w:r>
        <w:rPr>
          <w:rFonts w:ascii="GHEA Grapalat" w:eastAsia="Calibri" w:hAnsi="GHEA Grapalat" w:cs="Times New Roman"/>
          <w:b/>
          <w:bCs/>
          <w:sz w:val="24"/>
          <w:szCs w:val="24"/>
          <w:shd w:val="clear" w:color="auto" w:fill="FFFFFF"/>
          <w:lang w:val="hy-AM"/>
        </w:rPr>
        <w:t>«ԱՆՀՈՒՍԱԼԻ ՎԱՐԿԵՐ ՈՒՆԵՑՈՂ</w:t>
      </w:r>
      <w:r>
        <w:rPr>
          <w:rFonts w:ascii="GHEA Grapalat" w:hAnsi="GHEA Grapalat"/>
          <w:color w:val="000000"/>
          <w:sz w:val="21"/>
          <w:szCs w:val="24"/>
          <w:lang w:val="hy-AM"/>
        </w:rPr>
        <w:t xml:space="preserve"> </w:t>
      </w:r>
      <w:r>
        <w:rPr>
          <w:rFonts w:ascii="GHEA Grapalat" w:eastAsia="Calibri" w:hAnsi="GHEA Grapalat" w:cs="Times New Roman"/>
          <w:b/>
          <w:bCs/>
          <w:sz w:val="24"/>
          <w:szCs w:val="24"/>
          <w:shd w:val="clear" w:color="auto" w:fill="FFFFFF"/>
          <w:lang w:val="hy-AM"/>
        </w:rPr>
        <w:t>ԱՆՁԱՆՑ ՏՆՏԵՍԱԿԱՆ ԱԿՏԻՎՈՒԹՅԱՆ ԽԹԱՆՄԱՆ ՄԻՋՈՑԱՌՈՒՄԸ ԵՎ ԿԱՐԳԸ ՀԱՍՏԱՏԵԼՈՒ ՄԱՍԻՆ</w:t>
      </w:r>
      <w:r>
        <w:rPr>
          <w:rFonts w:ascii="GHEA Grapalat" w:eastAsia="Calibri" w:hAnsi="GHEA Grapalat" w:cs="Times New Roman"/>
          <w:b/>
          <w:sz w:val="24"/>
          <w:szCs w:val="24"/>
          <w:lang w:val="hy-AM"/>
        </w:rPr>
        <w:t>» ՀՀ ԿԱՌԱՎԱՐՈՒԹՅԱՆ ՈՐՈՇՄԱՆ ՆԱԽԱԳԾԻ</w:t>
      </w:r>
    </w:p>
    <w:p>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sz w:val="24"/>
          <w:szCs w:val="24"/>
          <w:lang w:val="hy-AM" w:eastAsia="ru-RU"/>
        </w:rPr>
      </w:pP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 xml:space="preserve">1. Իրավական ակտի ընդունման անհրաժեշտությունը </w:t>
      </w:r>
    </w:p>
    <w:p>
      <w:pPr>
        <w:shd w:val="clear" w:color="auto" w:fill="FFFFFF"/>
        <w:tabs>
          <w:tab w:val="left" w:pos="810"/>
          <w:tab w:val="left" w:pos="990"/>
        </w:tabs>
        <w:spacing w:after="0" w:line="360" w:lineRule="auto"/>
        <w:ind w:firstLine="567"/>
        <w:jc w:val="both"/>
        <w:rPr>
          <w:rFonts w:ascii="GHEA Grapalat" w:eastAsia="Times New Roman" w:hAnsi="GHEA Grapalat" w:cs="Times New Roman"/>
          <w:sz w:val="24"/>
          <w:szCs w:val="24"/>
          <w:lang w:val="hy-AM" w:eastAsia="ru-RU"/>
        </w:rPr>
      </w:pPr>
      <w:r>
        <w:rPr>
          <w:rFonts w:ascii="GHEA Grapalat" w:eastAsia="Calibri" w:hAnsi="GHEA Grapalat" w:cs="Times New Roman"/>
          <w:bCs/>
          <w:sz w:val="24"/>
          <w:szCs w:val="24"/>
          <w:shd w:val="clear" w:color="auto" w:fill="FFFFFF"/>
          <w:lang w:val="hy-AM"/>
        </w:rPr>
        <w:t>Ո</w:t>
      </w:r>
      <w:r>
        <w:rPr>
          <w:rFonts w:ascii="GHEA Grapalat" w:eastAsia="Calibri" w:hAnsi="GHEA Grapalat" w:cs="Courier New"/>
          <w:sz w:val="24"/>
          <w:szCs w:val="24"/>
          <w:lang w:val="hy-AM"/>
        </w:rPr>
        <w:t xml:space="preserve">րոշման նախագծի </w:t>
      </w:r>
      <w:r>
        <w:rPr>
          <w:rFonts w:ascii="GHEA Grapalat" w:eastAsia="Times New Roman" w:hAnsi="GHEA Grapalat" w:cs="Times New Roman"/>
          <w:sz w:val="24"/>
          <w:szCs w:val="24"/>
          <w:lang w:val="hy-AM" w:eastAsia="ru-RU"/>
        </w:rPr>
        <w:t>(այսուհետ՝ նախագիծ) ընդունումը պայմանավորված է աշխատաշուկայից (ֆորմալ զբաղվածությունից) դուրս մնացած կամ մասնակի ֆորմալ զբաղվածություն ունեցողներին, հատկապես երիտասարդ և աշխատունակ անձանց տնտեսական ակտիվ դաշտ վերադարձնելու անհրաժեշտությամբ։</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1.1. Կարգավորման հարաբերությունների ներկա վիճակը և առկա խնդիրները</w:t>
      </w:r>
    </w:p>
    <w:p>
      <w:pPr>
        <w:shd w:val="clear" w:color="auto" w:fill="FFFFFF"/>
        <w:tabs>
          <w:tab w:val="left" w:pos="0"/>
          <w:tab w:val="left" w:pos="810"/>
          <w:tab w:val="left" w:pos="990"/>
        </w:tabs>
        <w:spacing w:after="0" w:line="360" w:lineRule="auto"/>
        <w:ind w:firstLine="540"/>
        <w:contextualSpacing/>
        <w:jc w:val="both"/>
        <w:rPr>
          <w:rFonts w:ascii="GHEA Grapalat" w:eastAsia="Calibri" w:hAnsi="GHEA Grapalat" w:cs="Sylfaen"/>
          <w:sz w:val="24"/>
          <w:szCs w:val="24"/>
          <w:lang w:val="hy-AM" w:eastAsia="ru-RU"/>
        </w:rPr>
      </w:pPr>
      <w:r>
        <w:rPr>
          <w:rFonts w:ascii="GHEA Grapalat" w:eastAsia="Calibri" w:hAnsi="GHEA Grapalat" w:cs="Sylfaen"/>
          <w:sz w:val="24"/>
          <w:szCs w:val="24"/>
          <w:lang w:val="hy-AM" w:eastAsia="ru-RU"/>
        </w:rPr>
        <w:t>Ըստ Հայաստանի Հանրապետության վիճակագրական կոմիտեի հրապարակած տվյալների՝ 2023 թվականի հոկտեմբեր ամսին աշխատողների (ֆորմալ զբաղվածների) թվաքանակը կազմել է 736,568, միևնույն ժամանակ վիճակագրական կոմիտեի՝ 2023 թվականի դեկտեմբերն հրապարակված «Աշխատանքի շուկան Հյաստանում, 2023»-ի համաձայն ոչ ֆորմալ զբաղվածության մեջ է գտնվում 434,200 անձ, որից 151,300-ը զբաղված է ոչ գյուղատնտեսական ոլորտում։ Ոչ ֆորմալ զբաղվածության մեջ գտնվելու պատճառները տարբեր են, սակայն դրանցից ամենատարածվածներից վարկային բեռի պատճառով վարկավորող կազմակերպությունների կողմից կատարողական թերթերի հիման վրա վարկառուների աշխատավարձից բռնագանձումներ կատարելու, և վարկառուի ու նրա խնամքի տակ գտնվող ընտանիքի անդամների սոցիալական վիճակի սրացումն է, քանի որ աշխատավարձից բռնագանձվող չափը կազմում է մինչև 50%, ինչը էականորեն ազդում է անձի սոցիալական խնդրի վրա։</w:t>
      </w:r>
    </w:p>
    <w:p>
      <w:pPr>
        <w:shd w:val="clear" w:color="auto" w:fill="FFFFFF"/>
        <w:tabs>
          <w:tab w:val="left" w:pos="0"/>
          <w:tab w:val="left" w:pos="810"/>
          <w:tab w:val="left" w:pos="990"/>
        </w:tabs>
        <w:spacing w:after="0" w:line="360" w:lineRule="auto"/>
        <w:ind w:firstLine="540"/>
        <w:contextualSpacing/>
        <w:jc w:val="both"/>
        <w:rPr>
          <w:rFonts w:ascii="GHEA Grapalat" w:eastAsia="Calibri" w:hAnsi="GHEA Grapalat" w:cs="Sylfaen"/>
          <w:sz w:val="24"/>
          <w:szCs w:val="24"/>
          <w:lang w:val="hy-AM" w:eastAsia="ru-RU"/>
        </w:rPr>
      </w:pPr>
      <w:r>
        <w:rPr>
          <w:rFonts w:ascii="GHEA Grapalat" w:eastAsia="Calibri" w:hAnsi="GHEA Grapalat" w:cs="Sylfaen"/>
          <w:sz w:val="24"/>
          <w:szCs w:val="24"/>
          <w:lang w:val="hy-AM" w:eastAsia="ru-RU"/>
        </w:rPr>
        <w:t xml:space="preserve">Կենտրոնական բանկի տրամադրած տեղեկատվության համաձայն՝ 2024 թվականի հոկտեմբերի 1-ի դրությամբ անհուսալի վարկ ունեցող ֆիզիկական անձ վարկառուների թիվը կազմում է շուրջ 341,000, իսկ վերջիններիս ընդհանուր վարկային բեռը կազմում է շուրջ 642 մլրդ դրամ (2023թ. ապրիլ ամսին կազմել էր 525 մլրդ)։ Ընդ որում, նրանց մինչև 20%-ն է, որն ունի ֆորմալ զբաղվածություն, մնացածը կամ չունեն աշխատանք կամ գտնվում են ոչ ֆորմալ զբաղվածության մեջ՝ նաև վերոնշյալ պատճառներով, որոնց 76%-ի աշխատավարձը </w:t>
      </w:r>
      <w:r>
        <w:rPr>
          <w:rFonts w:ascii="GHEA Grapalat" w:eastAsia="Calibri" w:hAnsi="GHEA Grapalat" w:cs="Sylfaen"/>
          <w:sz w:val="24"/>
          <w:szCs w:val="24"/>
          <w:lang w:val="hy-AM" w:eastAsia="ru-RU"/>
        </w:rPr>
        <w:lastRenderedPageBreak/>
        <w:t>ամսական 150,000 դրամից ցածր է, իսկ 60%-ինը՝ նվազագույն աշխատավարձից ցածր, իսկ միջին աշխատավարձը՝ շուրջ 145,000։</w:t>
      </w:r>
    </w:p>
    <w:p>
      <w:pPr>
        <w:shd w:val="clear" w:color="auto" w:fill="FFFFFF"/>
        <w:tabs>
          <w:tab w:val="left" w:pos="0"/>
          <w:tab w:val="left" w:pos="810"/>
          <w:tab w:val="left" w:pos="990"/>
        </w:tabs>
        <w:spacing w:after="0" w:line="360" w:lineRule="auto"/>
        <w:ind w:firstLine="540"/>
        <w:contextualSpacing/>
        <w:jc w:val="both"/>
        <w:rPr>
          <w:rFonts w:ascii="GHEA Grapalat" w:eastAsia="Calibri" w:hAnsi="GHEA Grapalat" w:cs="Sylfaen"/>
          <w:sz w:val="24"/>
          <w:szCs w:val="24"/>
          <w:lang w:val="hy-AM" w:eastAsia="ru-RU"/>
        </w:rPr>
      </w:pPr>
      <w:r>
        <w:rPr>
          <w:rFonts w:ascii="GHEA Grapalat" w:eastAsia="Calibri" w:hAnsi="GHEA Grapalat" w:cs="Sylfaen"/>
          <w:sz w:val="24"/>
          <w:szCs w:val="24"/>
          <w:lang w:val="hy-AM" w:eastAsia="ru-RU"/>
        </w:rPr>
        <w:t>Անուսալի վարկառուների մեծ մասը գտնվում է ոչ ֆորմալ զբաղվածության մեջ, իսկ նրանց մի մասն էլ, որպես անապահով ընտանիք, հաշվառված է Անապահովության գնահատման համակարգում և պետությունից ստանում է նպաստ։</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 xml:space="preserve">1.2. Առկա խնդրի առաջարկվող լուծումը </w:t>
      </w:r>
    </w:p>
    <w:p>
      <w:pPr>
        <w:shd w:val="clear" w:color="auto" w:fill="FFFFFF"/>
        <w:tabs>
          <w:tab w:val="left" w:pos="0"/>
          <w:tab w:val="left" w:pos="810"/>
          <w:tab w:val="left" w:pos="990"/>
        </w:tabs>
        <w:spacing w:after="0" w:line="360" w:lineRule="auto"/>
        <w:ind w:firstLine="540"/>
        <w:contextualSpacing/>
        <w:jc w:val="both"/>
        <w:rPr>
          <w:rFonts w:ascii="GHEA Grapalat" w:hAnsi="GHEA Grapalat" w:cs="Sylfaen"/>
          <w:sz w:val="24"/>
          <w:szCs w:val="24"/>
          <w:lang w:val="hy-AM"/>
        </w:rPr>
      </w:pPr>
      <w:r>
        <w:rPr>
          <w:rFonts w:ascii="GHEA Grapalat" w:hAnsi="GHEA Grapalat" w:cs="Sylfaen"/>
          <w:sz w:val="24"/>
          <w:szCs w:val="24"/>
          <w:lang w:val="hy-AM"/>
        </w:rPr>
        <w:t>Հաշվի առնելով առկա իրավիճակը, դրա հետևանքով առաջացող սոցիալական խնդիրներն ու անհուսալի վարկեր ունեցող վարկառուներին ոչ ֆորմալ (ստվերային) զբաղվածությունից դուրս բերելու և նրանց տնտեսական ակտիվությունը վերականգնելու անհրաժեշտությունը՝ Նախագծով առաջարկվում է աջակցել այն վարկառու ֆիզիկական անձանց, որոնց բոլոր վարկերը 3 և ավելի տարի է դասակարգված է անհուսալի դասով, և, միևնույն ժամանակ, մայր գումարի գծով պարտավորությունը չի գերազանցում 1 մլն ՀՀ դրամը կամ դրան համարժեք արտարժույթը։</w:t>
      </w:r>
    </w:p>
    <w:p>
      <w:pPr>
        <w:shd w:val="clear" w:color="auto" w:fill="FFFFFF"/>
        <w:tabs>
          <w:tab w:val="left" w:pos="0"/>
          <w:tab w:val="left" w:pos="810"/>
          <w:tab w:val="left" w:pos="990"/>
        </w:tabs>
        <w:spacing w:after="0" w:line="360" w:lineRule="auto"/>
        <w:ind w:firstLine="540"/>
        <w:contextualSpacing/>
        <w:jc w:val="both"/>
        <w:rPr>
          <w:rFonts w:ascii="GHEA Grapalat" w:hAnsi="GHEA Grapalat" w:cs="Sylfaen"/>
          <w:sz w:val="24"/>
          <w:szCs w:val="24"/>
          <w:lang w:val="hy-AM"/>
        </w:rPr>
      </w:pPr>
      <w:r>
        <w:rPr>
          <w:rFonts w:ascii="GHEA Grapalat" w:hAnsi="GHEA Grapalat" w:cs="Sylfaen"/>
          <w:sz w:val="24"/>
          <w:szCs w:val="24"/>
          <w:lang w:val="hy-AM"/>
        </w:rPr>
        <w:t>Վերոնշյալ թիրախային խմբում ընդգրկված է շուրջ 218,000 անձ, որոնց 65%-ի տարիքը գտնվում է 26-ից 50 միջակայքում (աշխատունակության ամենաակտիվ տարիքային շրջան), իսկ մեկ անձի հաշվով միջին վարկային բեռը՝ 774 հազ. դրամ (այդ թվում՝ մայր գումարը, տոկոսագումարը, տույժերն ու տուգանքները)։ Ընդ որում, ակնկալվում է, որ ծրագրի գործարկման դեպքում վարկը տրամադրած ֆինանսական կազմակերպությունները կներեն շահառուների՝ վարկի գծով առաջացած տույժերն ու տուգանքները՝ 80%-ի չափով, ինչի հաշվառմամբ մեկ անձի գծով մարման ենթակա վարկային բեռը կկազմի 434,600 դրամ։ Նշված խմբի ճնշող մեծամասնությունը, ըստ էության, դուրս է մնացել տնտեսական ակտիվությունից, այդ թվում՝ չի կարողանում օգտվել ժամանակակից ֆինանսական գործիքներից (կատարել անկանխիկ գործարքներ, վարկ վերցնել, խնայողություններ կուտակել և այլն), իր աշխատանքից չի վճարում սոցիալական վճարներ և հարկեր, այդպիսով նաև զրկվում է կենսաթոշակային առավել բարենպաստ երաշխիքներից (չի կատարում կուտակումներ կուտակային կենսաթոշակային համակարգում), իսկ ավելի բարձր խմբերի դեպքում՝ նաև տեղի չի ունենում ստաժի կուտակում։</w:t>
      </w:r>
    </w:p>
    <w:p>
      <w:pPr>
        <w:shd w:val="clear" w:color="auto" w:fill="FFFFFF"/>
        <w:tabs>
          <w:tab w:val="left" w:pos="0"/>
          <w:tab w:val="left" w:pos="810"/>
          <w:tab w:val="left" w:pos="990"/>
        </w:tabs>
        <w:spacing w:after="0" w:line="360" w:lineRule="auto"/>
        <w:ind w:firstLine="540"/>
        <w:contextualSpacing/>
        <w:jc w:val="both"/>
        <w:rPr>
          <w:rFonts w:ascii="GHEA Grapalat" w:hAnsi="GHEA Grapalat" w:cs="Sylfaen"/>
          <w:sz w:val="24"/>
          <w:szCs w:val="24"/>
          <w:lang w:val="hy-AM"/>
        </w:rPr>
      </w:pPr>
      <w:r>
        <w:rPr>
          <w:rFonts w:ascii="GHEA Grapalat" w:hAnsi="GHEA Grapalat" w:cs="Sylfaen"/>
          <w:sz w:val="24"/>
          <w:szCs w:val="24"/>
          <w:lang w:val="hy-AM"/>
        </w:rPr>
        <w:t xml:space="preserve">Ելնելով վերոգրյալից, ինչպես նաև հաշվի առնելով բարեխիղճ վարկառուների վրա վարքագծային բացասական ազդեցություն չունենալու և սոցիալական անարդարության զգացում չհաղորդելու կարևորությունը՝ պոտենցիալ շահառուների թիրախ է առաջարկվում </w:t>
      </w:r>
      <w:r>
        <w:rPr>
          <w:rFonts w:ascii="GHEA Grapalat" w:hAnsi="GHEA Grapalat" w:cs="Sylfaen"/>
          <w:sz w:val="24"/>
          <w:szCs w:val="24"/>
          <w:lang w:val="hy-AM"/>
        </w:rPr>
        <w:lastRenderedPageBreak/>
        <w:t>դիտարկել այն վարկառու ֆիզիկական անձանց, որոնց բոլոր վարկերը 3 և ավելի տարի է դասակարգված է անհուսալի դասով, ովքեր, ըստ էության, տևական ժամանակ է չեն կարողանում դուրս գալ իրավիճակից և անհրաժեշտություն է առաջացել աջակցել վերջիններիս՝ վերականգնելու իրենց տնտեսական դերը սոցիալ-տնտեսական կյանքում։</w:t>
      </w:r>
    </w:p>
    <w:p>
      <w:pPr>
        <w:shd w:val="clear" w:color="auto" w:fill="FFFFFF"/>
        <w:tabs>
          <w:tab w:val="left" w:pos="0"/>
          <w:tab w:val="left" w:pos="810"/>
          <w:tab w:val="left" w:pos="990"/>
        </w:tabs>
        <w:spacing w:after="0" w:line="360" w:lineRule="auto"/>
        <w:ind w:firstLine="540"/>
        <w:contextualSpacing/>
        <w:jc w:val="both"/>
        <w:rPr>
          <w:rFonts w:ascii="GHEA Grapalat" w:hAnsi="GHEA Grapalat" w:cs="Sylfaen"/>
          <w:sz w:val="24"/>
          <w:szCs w:val="24"/>
          <w:lang w:val="hy-AM"/>
        </w:rPr>
      </w:pPr>
      <w:r>
        <w:rPr>
          <w:rFonts w:ascii="GHEA Grapalat" w:hAnsi="GHEA Grapalat" w:cs="Sylfaen"/>
          <w:sz w:val="24"/>
          <w:szCs w:val="24"/>
          <w:lang w:val="hy-AM"/>
        </w:rPr>
        <w:t>Նախագծով առաջարկվում է.</w:t>
      </w:r>
    </w:p>
    <w:p>
      <w:pPr>
        <w:pStyle w:val="ListParagraph"/>
        <w:numPr>
          <w:ilvl w:val="0"/>
          <w:numId w:val="2"/>
        </w:numPr>
        <w:shd w:val="clear" w:color="auto" w:fill="FFFFFF"/>
        <w:tabs>
          <w:tab w:val="left" w:pos="851"/>
        </w:tabs>
        <w:spacing w:after="0" w:line="360" w:lineRule="auto"/>
        <w:ind w:left="0" w:firstLine="567"/>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շահառուին տրամադրել ֆինանսական աջակցություն՝ շահառուի ձեռք բերվելիք ֆորմալ զբաղվածության արդյունքում ձևավորված աշխատավարձից և դրան հավասարեցված վճարումներից հաշվարկված եկամտային հարկի գումարի չափով, որը կուղղվի շահառուի անհուսալի վարկային պարտավորության մարմանը,</w:t>
      </w:r>
    </w:p>
    <w:p>
      <w:pPr>
        <w:pStyle w:val="ListParagraph"/>
        <w:numPr>
          <w:ilvl w:val="0"/>
          <w:numId w:val="2"/>
        </w:numPr>
        <w:shd w:val="clear" w:color="auto" w:fill="FFFFFF"/>
        <w:tabs>
          <w:tab w:val="left" w:pos="851"/>
        </w:tabs>
        <w:spacing w:after="0" w:line="360" w:lineRule="auto"/>
        <w:ind w:left="0" w:firstLine="567"/>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ֆինանսական աջակցությունը տրամադրել առավելագույնը 24 ամիս ժամկետով` սկսած շահառու դառնալուն հաջորդող ամսվա 1-ից,</w:t>
      </w:r>
    </w:p>
    <w:p>
      <w:pPr>
        <w:pStyle w:val="ListParagraph"/>
        <w:numPr>
          <w:ilvl w:val="0"/>
          <w:numId w:val="2"/>
        </w:numPr>
        <w:shd w:val="clear" w:color="auto" w:fill="FFFFFF"/>
        <w:tabs>
          <w:tab w:val="left" w:pos="851"/>
        </w:tabs>
        <w:spacing w:after="0" w:line="360" w:lineRule="auto"/>
        <w:ind w:left="0" w:firstLine="567"/>
        <w:jc w:val="both"/>
        <w:rPr>
          <w:rFonts w:ascii="GHEA Grapalat" w:hAnsi="GHEA Grapalat"/>
          <w:sz w:val="24"/>
          <w:szCs w:val="24"/>
          <w:lang w:val="hy-AM"/>
        </w:rPr>
      </w:pPr>
      <w:r>
        <w:rPr>
          <w:rFonts w:ascii="GHEA Grapalat" w:eastAsia="Calibri" w:hAnsi="GHEA Grapalat" w:cs="Calibri"/>
          <w:bCs/>
          <w:sz w:val="24"/>
          <w:szCs w:val="24"/>
          <w:lang w:val="hy-AM"/>
        </w:rPr>
        <w:t>շահառու ճանաչվելու դեպքում աշխատավարձից բռնագանձվող գումարի չափը սահմանել 20%՝ 24 ամիս ժամկետով։</w:t>
      </w:r>
    </w:p>
    <w:p>
      <w:pPr>
        <w:shd w:val="clear" w:color="auto" w:fill="FFFFFF"/>
        <w:tabs>
          <w:tab w:val="left" w:pos="0"/>
          <w:tab w:val="left" w:pos="810"/>
          <w:tab w:val="left" w:pos="990"/>
        </w:tabs>
        <w:spacing w:after="0" w:line="360" w:lineRule="auto"/>
        <w:ind w:firstLine="540"/>
        <w:contextualSpacing/>
        <w:jc w:val="both"/>
        <w:rPr>
          <w:rFonts w:ascii="GHEA Grapalat" w:eastAsia="Calibri" w:hAnsi="GHEA Grapalat" w:cs="Sylfaen"/>
          <w:sz w:val="24"/>
          <w:szCs w:val="24"/>
          <w:lang w:val="hy-AM" w:eastAsia="ru-RU"/>
        </w:rPr>
      </w:pPr>
      <w:r>
        <w:rPr>
          <w:rFonts w:ascii="GHEA Grapalat" w:eastAsia="Calibri" w:hAnsi="GHEA Grapalat" w:cs="Sylfaen"/>
          <w:sz w:val="24"/>
          <w:szCs w:val="24"/>
          <w:lang w:val="hy-AM" w:eastAsia="ru-RU"/>
        </w:rPr>
        <w:t>Նախագծի շրջանակում պոտենցիալ շահառուների դիմելու, դիմումների մշակման, որոշումների կայացման և վճարումների ձևավորման գործընթացները իրականացվելու են թվային լուծումների միջոցով՝ առանց ֆիզիկապես որևէ պետական մարմին ներկայանալու, ֆիզիկապես դիմումներ ստորագրելու և թղթային եղանակով փաստաթղթաշրջանառություն իրականացնելու։ Դիմումների պատասխանները տրվելու են անմիջապես՝ դիմողի բջջային հեռախոսին և էլեկտրոնային փոստին բովանդակային հաղորդագրություն ուղարկվելու միջոցով։</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2. Կարգավորման նպատակը և բնույթը</w:t>
      </w:r>
    </w:p>
    <w:p>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rPr>
      </w:pPr>
      <w:r>
        <w:rPr>
          <w:rFonts w:ascii="GHEA Grapalat" w:eastAsia="Calibri" w:hAnsi="GHEA Grapalat" w:cs="Times New Roman"/>
          <w:bCs/>
          <w:sz w:val="24"/>
          <w:szCs w:val="24"/>
          <w:shd w:val="clear" w:color="auto" w:fill="FFFFFF"/>
          <w:lang w:val="hy-AM"/>
        </w:rPr>
        <w:t>Ն</w:t>
      </w:r>
      <w:r>
        <w:rPr>
          <w:rFonts w:ascii="GHEA Grapalat" w:eastAsia="Times New Roman" w:hAnsi="GHEA Grapalat" w:cs="Times New Roman"/>
          <w:sz w:val="24"/>
          <w:szCs w:val="24"/>
          <w:lang w:val="hy-AM" w:eastAsia="ru-RU"/>
        </w:rPr>
        <w:t xml:space="preserve">ախագծի նպատակն է </w:t>
      </w:r>
      <w:r>
        <w:rPr>
          <w:rFonts w:ascii="GHEA Grapalat" w:eastAsia="Times New Roman" w:hAnsi="GHEA Grapalat" w:cs="Times New Roman"/>
          <w:sz w:val="24"/>
          <w:szCs w:val="24"/>
          <w:lang w:val="hy-AM"/>
        </w:rPr>
        <w:t>աջակցել մայր գումարի գծով 1 մլն դրամը չգերազանցող երեք տարվա վաղեմությամբ անհուսալի դասով դասակարգված վարկային պարտավորություն ունեցող անձանց՝ մարելու իրենց վարկային պարտավորությունները ֆորմալ զբաղվածություն ձեռք բերելու միջոցով։</w:t>
      </w:r>
    </w:p>
    <w:p>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վերջնանպատակն է միջոցառման պոտենցիալ շահառուների համար վերականգնել տնտեսական ակտիվությունը՝ ընձեռելով օրինական դաշտում աշխատելու հնարավորությունը, վերականգնել վարկունակությունն ու վարկարժանությունը։</w:t>
      </w:r>
    </w:p>
    <w:p>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Առաջարկվող կարգավորման բնույթն է. աջակցել անհուսալի վարկառուներին՝ իրենց միջոցներով և իրենց աշխատանքի արդյունքում առաջացած հարկերի 100%-ի չափով համաֆինանսավորմամբ մարել գոյացած անհուսալի վարկային պարտավորությունները։</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4. Ակնկալվող արդյունքը</w:t>
      </w:r>
    </w:p>
    <w:p>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Նախագծի ընդունմամբ ակնկալվում է, որ միջոցառման շրջանակում շահառու դառնալու համար դիմելու ժամանակահատվածում՝ մինչև 2026 թվականի հունվարի 31-ը ակնկալվում է, որ միջոցառման շահառու կդառնա թիրախային խմբի շուրջ 60%-ը (131,000 անձ)։ Ծրագրի շրջանակում ակնկալվում է, որ լրացուցիչ շուրջ 90,000 անձ ձեռք կբերի ֆորմալ զբաղվածություն (ներկայումս 218,000 պոտենցիալ շահառուներից ֆորմալ զբաղվածություն ունի մոտ 43,600-ը)։</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pPr>
        <w:pStyle w:val="NormalWeb"/>
        <w:tabs>
          <w:tab w:val="left" w:pos="810"/>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ՀՀ կառավարության 2021-2026 թթ. ծրագրի</w:t>
      </w:r>
      <w:r>
        <w:rPr>
          <w:rFonts w:ascii="GHEA Grapalat" w:hAnsi="GHEA Grapalat"/>
          <w:b/>
          <w:lang w:val="hy-AM"/>
        </w:rPr>
        <w:t xml:space="preserve"> </w:t>
      </w:r>
      <w:r>
        <w:rPr>
          <w:rFonts w:ascii="GHEA Grapalat" w:hAnsi="GHEA Grapalat"/>
          <w:lang w:val="hy-AM"/>
        </w:rPr>
        <w:t xml:space="preserve">«4.6 Աշխատանք և սոցիալական պաշտպանություն» բաժնում նախատեսված է, որ </w:t>
      </w:r>
      <w:r>
        <w:rPr>
          <w:rFonts w:ascii="GHEA Grapalat" w:hAnsi="GHEA Grapalat"/>
          <w:i/>
          <w:iCs/>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Pr>
          <w:rFonts w:ascii="GHEA Grapalat" w:hAnsi="GHEA Grapalat"/>
          <w:b/>
          <w:bCs/>
          <w:i/>
          <w:iCs/>
          <w:lang w:val="hy-AM"/>
        </w:rPr>
        <w:t>խրախուսելով անձի սոցիալ-տնտեսական ակտիվացումը</w:t>
      </w:r>
      <w:r>
        <w:rPr>
          <w:rFonts w:ascii="GHEA Grapalat" w:hAnsi="GHEA Grapalat"/>
          <w:i/>
          <w:iCs/>
          <w:lang w:val="hy-AM"/>
        </w:rPr>
        <w:t xml:space="preserve">։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Pr>
          <w:rFonts w:ascii="GHEA Grapalat" w:hAnsi="GHEA Grapalat"/>
          <w:b/>
          <w:bCs/>
          <w:i/>
          <w:iCs/>
          <w:lang w:val="hy-AM"/>
        </w:rPr>
        <w:t>ավելացնելով ինքնաբավ, արժանապատիվ և սեփական վաստակն ունեցող ընտանիքների թիվը՝ հետզհետե վերացնելով նրանց կախվածությունը պետական աջակցությունից</w:t>
      </w:r>
      <w:r>
        <w:rPr>
          <w:rFonts w:ascii="GHEA Grapalat" w:hAnsi="GHEA Grapalat"/>
          <w:i/>
          <w:iCs/>
          <w:lang w:val="hy-AM"/>
        </w:rPr>
        <w:t xml:space="preserve">: </w:t>
      </w:r>
      <w:r>
        <w:rPr>
          <w:rFonts w:ascii="GHEA Grapalat" w:hAnsi="GHEA Grapalat"/>
          <w:b/>
          <w:bCs/>
          <w:i/>
          <w:iCs/>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Pr>
          <w:rFonts w:ascii="GHEA Grapalat" w:hAnsi="GHEA Grapalat"/>
          <w:i/>
          <w:iCs/>
          <w:lang w:val="hy-AM"/>
        </w:rPr>
        <w:t>:»</w:t>
      </w:r>
      <w:r>
        <w:rPr>
          <w:rFonts w:ascii="GHEA Grapalat" w:hAnsi="GHEA Grapalat"/>
          <w:lang w:val="hy-AM"/>
        </w:rPr>
        <w:t>։</w:t>
      </w:r>
    </w:p>
    <w:p>
      <w:pPr>
        <w:tabs>
          <w:tab w:val="left" w:pos="270"/>
          <w:tab w:val="left" w:pos="9270"/>
        </w:tabs>
        <w:spacing w:before="240" w:after="0" w:line="360" w:lineRule="auto"/>
        <w:ind w:firstLine="567"/>
        <w:jc w:val="both"/>
        <w:rPr>
          <w:rFonts w:ascii="GHEA Grapalat" w:hAnsi="GHEA Grapalat"/>
          <w:b/>
          <w:sz w:val="24"/>
          <w:szCs w:val="24"/>
          <w:lang w:val="hy-AM"/>
        </w:rPr>
      </w:pPr>
      <w:r>
        <w:rPr>
          <w:rFonts w:ascii="GHEA Grapalat" w:hAnsi="GHEA Grapalat"/>
          <w:b/>
          <w:sz w:val="24"/>
          <w:szCs w:val="24"/>
          <w:lang w:val="hy-AM"/>
        </w:rPr>
        <w:t xml:space="preserve">6. Լրացուցիչ ֆինանսական միջոցների անհրաժեշտությունը և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w:t>
      </w:r>
      <w:r>
        <w:rPr>
          <w:rFonts w:ascii="GHEA Grapalat" w:eastAsia="Calibri" w:hAnsi="GHEA Grapalat"/>
          <w:b/>
          <w:bCs/>
          <w:sz w:val="24"/>
          <w:szCs w:val="24"/>
          <w:lang w:val="hy-AM"/>
        </w:rPr>
        <w:t>ւ</w:t>
      </w:r>
      <w:r>
        <w:rPr>
          <w:rFonts w:ascii="GHEA Grapalat" w:hAnsi="GHEA Grapalat" w:cs="Sylfaen"/>
          <w:b/>
          <w:sz w:val="24"/>
          <w:szCs w:val="24"/>
          <w:lang w:val="hy-AM"/>
        </w:rPr>
        <w:t>ջեի եկամո</w:t>
      </w:r>
      <w:r>
        <w:rPr>
          <w:rFonts w:ascii="GHEA Grapalat" w:eastAsia="Calibri" w:hAnsi="GHEA Grapalat"/>
          <w:b/>
          <w:bCs/>
          <w:sz w:val="24"/>
          <w:szCs w:val="24"/>
          <w:lang w:val="hy-AM"/>
        </w:rPr>
        <w:t>ւ</w:t>
      </w:r>
      <w:r>
        <w:rPr>
          <w:rFonts w:ascii="GHEA Grapalat" w:hAnsi="GHEA Grapalat" w:cs="Sylfaen"/>
          <w:b/>
          <w:sz w:val="24"/>
          <w:szCs w:val="24"/>
          <w:lang w:val="hy-AM"/>
        </w:rPr>
        <w:t xml:space="preserve">տներում և ծախսերում սպասվելիք փոփոխությունները </w:t>
      </w:r>
    </w:p>
    <w:p>
      <w:pPr>
        <w:spacing w:after="0" w:line="360" w:lineRule="auto"/>
        <w:ind w:firstLine="567"/>
        <w:jc w:val="both"/>
        <w:rPr>
          <w:rFonts w:ascii="Cambria Math" w:hAnsi="Cambria Math"/>
          <w:b/>
          <w:bCs/>
          <w:sz w:val="24"/>
          <w:szCs w:val="24"/>
          <w:lang w:val="hy-AM"/>
        </w:rPr>
      </w:pPr>
      <w:r>
        <w:rPr>
          <w:rFonts w:ascii="GHEA Grapalat" w:hAnsi="GHEA Grapalat"/>
          <w:b/>
          <w:bCs/>
          <w:sz w:val="24"/>
          <w:szCs w:val="24"/>
          <w:lang w:val="hy-AM"/>
        </w:rPr>
        <w:lastRenderedPageBreak/>
        <w:t>Նախագծի ընդունման պարագայում ակնկալվում է, որ ամսական միջինում 11,000 նոր անձ կդառնա միջոցառման շահառու, իսկ միջոցառման տևողությունը նախատեսվում է 12 ամիս։ Անհրաժեշտ ֆինանսական միջոցների չափը կկազմի  շուրջ 33 մլրդ 45 մլն դրամ, որը ձևավորվում է հետևյալ հաշվարկների արդյունքում</w:t>
      </w:r>
      <w:r>
        <w:rPr>
          <w:rFonts w:ascii="Cambria Math" w:hAnsi="Cambria Math"/>
          <w:b/>
          <w:bCs/>
          <w:sz w:val="24"/>
          <w:szCs w:val="24"/>
          <w:lang w:val="hy-AM"/>
        </w:rPr>
        <w:t>․</w:t>
      </w:r>
    </w:p>
    <w:p>
      <w:pPr>
        <w:spacing w:after="0" w:line="360" w:lineRule="auto"/>
        <w:ind w:firstLine="567"/>
        <w:jc w:val="both"/>
        <w:rPr>
          <w:rFonts w:ascii="GHEA Grapalat" w:hAnsi="GHEA Grapalat"/>
          <w:i/>
          <w:iCs/>
          <w:sz w:val="24"/>
          <w:szCs w:val="24"/>
          <w:lang w:val="hy-AM"/>
        </w:rPr>
      </w:pPr>
      <w:r>
        <w:rPr>
          <w:rFonts w:ascii="GHEA Grapalat" w:hAnsi="GHEA Grapalat"/>
          <w:i/>
          <w:iCs/>
          <w:sz w:val="24"/>
          <w:szCs w:val="24"/>
          <w:lang w:val="hy-AM"/>
        </w:rPr>
        <w:t>Հաշվարկի հիմքում դրվում է ենթադրությունը, որ շահառու թիրախային խումբը չունի բարձր մրցունակություն մասնագիտական աշխատաշուկայում, հետևաբար վերջիններիս ֆորմալ զբաղվածության արդյունքում միջին ամսական աշխատավարձը կլինի ավելի ցածր, քան ՀՀ-ում գրանցված միջին ամսական անվանական աշխատավարձի ցուցանիշն է (ըստ Վիճակագրական կոմիտեի վերջին հրապարակման՝ 2023թ. այն կազմել է 269,994 դրամ)։ Հաշվարկի շրջանակում առաջարկում ենք կիրառել 25% դիսկոնտի  չափը, և հետևաբար հաշվարկի հիմքում կիրառել 1 շահառուի գծով միջին ամսական անվանական աշխատավարձը 202,495 դրամ (269,994 - 25%) չափով։ Տվյալ ցուցանիշի գծով առաջացող եկամտային հարկը կկազմի  40,500 (202,248 * 20%)։</w:t>
      </w:r>
    </w:p>
    <w:p>
      <w:pPr>
        <w:spacing w:after="0" w:line="360" w:lineRule="auto"/>
        <w:ind w:firstLine="567"/>
        <w:jc w:val="both"/>
        <w:rPr>
          <w:rFonts w:ascii="GHEA Grapalat" w:hAnsi="GHEA Grapalat"/>
          <w:i/>
          <w:iCs/>
          <w:sz w:val="24"/>
          <w:szCs w:val="24"/>
          <w:lang w:val="hy-AM"/>
        </w:rPr>
      </w:pPr>
      <w:r>
        <w:rPr>
          <w:rFonts w:ascii="GHEA Grapalat" w:hAnsi="GHEA Grapalat"/>
          <w:i/>
          <w:iCs/>
          <w:sz w:val="24"/>
          <w:szCs w:val="24"/>
          <w:lang w:val="hy-AM"/>
        </w:rPr>
        <w:t>Քանի որ շահառուի կողմից վճարված եկամտային հարկի 100%-ը, ուղղվելու է վարկային պարավորության մարմանը, ապա 1 շահառուի գծով ամսական ֆինանսական աջակցության չափը կկազմի 40,500 դրամ։</w:t>
      </w:r>
    </w:p>
    <w:p>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Հաշվի առնելով նաև, որ նրանցից շուրջ 20%-ը ունի ֆորմալ զբաղվածություն և միջինում ստանում են ամսական շուրջ 145,000 դրամ, որից ձևավորվող եկամտային հարկը կազմում է ամսական 29,000 դրամ, 12 ամիսների համար հանրագումարային եկամտային հարկը կկազմի շուրջ </w:t>
      </w:r>
      <w:r>
        <w:rPr>
          <w:rFonts w:ascii="GHEA Grapalat" w:hAnsi="GHEA Grapalat"/>
          <w:b/>
          <w:bCs/>
          <w:sz w:val="24"/>
          <w:szCs w:val="24"/>
          <w:lang w:val="hy-AM"/>
        </w:rPr>
        <w:t>15 մլրդ 173 մլն (29,000 * 12 * 43,600 (անձ))</w:t>
      </w:r>
      <w:r>
        <w:rPr>
          <w:rFonts w:ascii="GHEA Grapalat" w:hAnsi="GHEA Grapalat"/>
          <w:sz w:val="24"/>
          <w:szCs w:val="24"/>
          <w:lang w:val="hy-AM"/>
        </w:rPr>
        <w:t>։</w:t>
      </w:r>
    </w:p>
    <w:p>
      <w:pPr>
        <w:spacing w:after="0" w:line="360" w:lineRule="auto"/>
        <w:ind w:firstLine="567"/>
        <w:jc w:val="both"/>
        <w:rPr>
          <w:rFonts w:ascii="GHEA Grapalat" w:hAnsi="GHEA Grapalat"/>
          <w:b/>
          <w:bCs/>
          <w:sz w:val="24"/>
          <w:szCs w:val="24"/>
          <w:lang w:val="hy-AM"/>
        </w:rPr>
      </w:pPr>
      <w:r>
        <w:rPr>
          <w:rFonts w:ascii="GHEA Grapalat" w:hAnsi="GHEA Grapalat"/>
          <w:b/>
          <w:bCs/>
          <w:sz w:val="24"/>
          <w:szCs w:val="24"/>
          <w:lang w:val="hy-AM"/>
        </w:rPr>
        <w:t xml:space="preserve">Քանի որ մեկ շահառուի գծով մարման ենթակա վարկային պարտավորությունը կազմում է շուրջ 434,600 դրամ, իսկ ակնկալվող 202,495 դրամ միջին ամսական աշխատավարձի առձեռն գումարը կկազմի 146,375, որի 20%-ը (29,275 դրամ) ԴԱՀԿ ծառայության միջոցով ուղղվելու վարկի մարմանը, ապա պետության աջակցության շնորհիվ վարկի մարմանն ուղղվող ամսական գումարը կկազմի 69,775 (29,275+40,500) դրամ, ինչը նշանակում է, որ վարկային պարտավորության ամբողջական մարումը կիրականացվի շուրջ 6 ամսվա ընթացքում։ Ստացվում է, որ 131,000 շահառուների գծով վարկային պարտավորությունները զրոյացնելու համար վերջիններիս կողմից վճարվող եկամտային հարկերից կուղղվի 33 մլրդ 45 մլն (131,000*40,500*6) դրամ։ Վարկային պարտավորությունները մարելուց հետո ևս 6 ամիս մնալով ֆորմալ զբաղվածության մեջ </w:t>
      </w:r>
      <w:r>
        <w:rPr>
          <w:rFonts w:ascii="GHEA Grapalat" w:hAnsi="GHEA Grapalat"/>
          <w:b/>
          <w:bCs/>
          <w:sz w:val="24"/>
          <w:szCs w:val="24"/>
          <w:lang w:val="hy-AM"/>
        </w:rPr>
        <w:lastRenderedPageBreak/>
        <w:t>նույն պայմաններով՝ վերջիններիս կողմից պետական բյուջե կվճարվի ևս 33 մլրդ 45 մլն դրամ։</w:t>
      </w:r>
    </w:p>
    <w:p>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Քանի որ շահառուներին տրվող ֆինանսական աջակցությունը ձևավորվում է վերջիններիս ֆորմալ զբաղվածության արդյունքում ստացվելիք աշխատավարձի գծով առաջացող եկամտային հարկից, հետևաբար միջոցառման շրջանակում տրամադրվող ֆինանսական աջակցությունը, ըստ վերոնշյալ հաշվարկների, չի բերի պետական բյուջեի ծանրաբեռնվածության ավելացմանը, այլ ընդհակառակը, հարկային մուտքերի ավելացմանը։</w:t>
      </w:r>
    </w:p>
    <w:p>
      <w:pPr>
        <w:spacing w:after="0" w:line="360" w:lineRule="auto"/>
        <w:ind w:firstLine="567"/>
        <w:jc w:val="both"/>
        <w:rPr>
          <w:rFonts w:ascii="GHEA Grapalat" w:hAnsi="GHEA Grapalat"/>
          <w:sz w:val="24"/>
          <w:szCs w:val="24"/>
          <w:lang w:val="hy-AM"/>
        </w:rPr>
      </w:pPr>
    </w:p>
    <w:p>
      <w:pPr>
        <w:spacing w:after="0" w:line="360" w:lineRule="auto"/>
        <w:ind w:firstLine="567"/>
        <w:jc w:val="both"/>
        <w:rPr>
          <w:rFonts w:ascii="GHEA Grapalat" w:hAnsi="GHEA Grapalat"/>
          <w:sz w:val="24"/>
          <w:szCs w:val="24"/>
          <w:lang w:val="hy-AM"/>
        </w:rPr>
      </w:pPr>
    </w:p>
    <w:p>
      <w:pPr>
        <w:rPr>
          <w:lang w:val="hy-AM"/>
        </w:rPr>
      </w:pPr>
    </w:p>
    <w:sectPr>
      <w:pgSz w:w="11907" w:h="16840"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BF2B76"/>
    <w:multiLevelType w:val="hybridMultilevel"/>
    <w:tmpl w:val="0B12F0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999953-F1FC-4EE4-B475-2756035A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2840">
      <w:bodyDiv w:val="1"/>
      <w:marLeft w:val="0"/>
      <w:marRight w:val="0"/>
      <w:marTop w:val="0"/>
      <w:marBottom w:val="0"/>
      <w:divBdr>
        <w:top w:val="none" w:sz="0" w:space="0" w:color="auto"/>
        <w:left w:val="none" w:sz="0" w:space="0" w:color="auto"/>
        <w:bottom w:val="none" w:sz="0" w:space="0" w:color="auto"/>
        <w:right w:val="none" w:sz="0" w:space="0" w:color="auto"/>
      </w:divBdr>
    </w:div>
    <w:div w:id="446197301">
      <w:bodyDiv w:val="1"/>
      <w:marLeft w:val="0"/>
      <w:marRight w:val="0"/>
      <w:marTop w:val="0"/>
      <w:marBottom w:val="0"/>
      <w:divBdr>
        <w:top w:val="none" w:sz="0" w:space="0" w:color="auto"/>
        <w:left w:val="none" w:sz="0" w:space="0" w:color="auto"/>
        <w:bottom w:val="none" w:sz="0" w:space="0" w:color="auto"/>
        <w:right w:val="none" w:sz="0" w:space="0" w:color="auto"/>
      </w:divBdr>
    </w:div>
    <w:div w:id="574783053">
      <w:bodyDiv w:val="1"/>
      <w:marLeft w:val="0"/>
      <w:marRight w:val="0"/>
      <w:marTop w:val="0"/>
      <w:marBottom w:val="0"/>
      <w:divBdr>
        <w:top w:val="none" w:sz="0" w:space="0" w:color="auto"/>
        <w:left w:val="none" w:sz="0" w:space="0" w:color="auto"/>
        <w:bottom w:val="none" w:sz="0" w:space="0" w:color="auto"/>
        <w:right w:val="none" w:sz="0" w:space="0" w:color="auto"/>
      </w:divBdr>
    </w:div>
    <w:div w:id="182361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1212</Words>
  <Characters>8868</Characters>
  <Application>Microsoft Office Word</Application>
  <DocSecurity>0</DocSecurity>
  <Lines>170</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https://mul2.gov.am/tasks/1080167/oneclick?token=23cc9fba2df4b565cecefcb6be9ffd7d</cp:keywords>
  <dc:description/>
  <cp:lastModifiedBy>Davit Khachatryan</cp:lastModifiedBy>
  <cp:revision>2</cp:revision>
  <dcterms:created xsi:type="dcterms:W3CDTF">2024-12-11T10:50:00Z</dcterms:created>
  <dcterms:modified xsi:type="dcterms:W3CDTF">2024-12-11T10:50:00Z</dcterms:modified>
</cp:coreProperties>
</file>