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360" w:lineRule="auto"/>
        <w:ind w:firstLine="540"/>
        <w:jc w:val="right"/>
        <w:rPr>
          <w:rFonts w:ascii="GHEA Grapalat" w:eastAsia="Times New Roman" w:hAnsi="GHEA Grapalat" w:cs="Times New Roman"/>
          <w:b/>
          <w:noProof/>
          <w:sz w:val="24"/>
          <w:szCs w:val="24"/>
          <w:lang w:val="hy-AM"/>
        </w:rPr>
      </w:pPr>
      <w:r>
        <w:rPr>
          <w:rFonts w:ascii="GHEA Grapalat" w:eastAsia="Times New Roman" w:hAnsi="GHEA Grapalat" w:cs="Times New Roman"/>
          <w:b/>
          <w:noProof/>
          <w:sz w:val="24"/>
          <w:szCs w:val="24"/>
          <w:lang w:val="hy-AM"/>
        </w:rPr>
        <w:t>ՆԱԽԱԳԻԾ</w:t>
      </w:r>
    </w:p>
    <w:p>
      <w:pPr>
        <w:spacing w:after="0" w:line="360" w:lineRule="auto"/>
        <w:ind w:firstLine="540"/>
        <w:jc w:val="right"/>
        <w:rPr>
          <w:rFonts w:ascii="GHEA Grapalat" w:eastAsia="Times New Roman" w:hAnsi="GHEA Grapalat" w:cs="Times New Roman"/>
          <w:noProof/>
          <w:sz w:val="24"/>
          <w:szCs w:val="24"/>
          <w:lang w:val="hy-AM"/>
        </w:rPr>
      </w:pPr>
    </w:p>
    <w:p>
      <w:pPr>
        <w:tabs>
          <w:tab w:val="left" w:pos="810"/>
        </w:tabs>
        <w:spacing w:after="0" w:line="360" w:lineRule="auto"/>
        <w:ind w:firstLine="540"/>
        <w:jc w:val="center"/>
        <w:rPr>
          <w:rFonts w:ascii="GHEA Grapalat" w:eastAsia="Times New Roman" w:hAnsi="GHEA Grapalat" w:cs="Arial Armenian"/>
          <w:b/>
          <w:sz w:val="24"/>
          <w:szCs w:val="24"/>
          <w:lang w:val="hy-AM" w:eastAsia="x-none"/>
        </w:rPr>
      </w:pPr>
      <w:r>
        <w:rPr>
          <w:rFonts w:ascii="GHEA Grapalat" w:eastAsia="Times New Roman" w:hAnsi="GHEA Grapalat" w:cs="Sylfaen"/>
          <w:b/>
          <w:sz w:val="24"/>
          <w:szCs w:val="24"/>
          <w:lang w:val="x-none" w:eastAsia="x-none"/>
        </w:rPr>
        <w:t>ՀԱՅԱՍՏԱՆԻ</w:t>
      </w:r>
      <w:r>
        <w:rPr>
          <w:rFonts w:ascii="GHEA Grapalat" w:eastAsia="Times New Roman" w:hAnsi="GHEA Grapalat" w:cs="Arial Armenian"/>
          <w:b/>
          <w:sz w:val="24"/>
          <w:szCs w:val="24"/>
          <w:lang w:val="x-none" w:eastAsia="x-none"/>
        </w:rPr>
        <w:t xml:space="preserve"> </w:t>
      </w:r>
      <w:r>
        <w:rPr>
          <w:rFonts w:ascii="GHEA Grapalat" w:eastAsia="Times New Roman" w:hAnsi="GHEA Grapalat" w:cs="Sylfaen"/>
          <w:b/>
          <w:sz w:val="24"/>
          <w:szCs w:val="24"/>
          <w:lang w:val="x-none" w:eastAsia="x-none"/>
        </w:rPr>
        <w:t>ՀԱՆՐԱՊԵՏՈՒԹՅԱՆ</w:t>
      </w:r>
      <w:r>
        <w:rPr>
          <w:rFonts w:ascii="GHEA Grapalat" w:eastAsia="Times New Roman" w:hAnsi="GHEA Grapalat" w:cs="Arial Armenian"/>
          <w:b/>
          <w:sz w:val="24"/>
          <w:szCs w:val="24"/>
          <w:lang w:val="x-none" w:eastAsia="x-none"/>
        </w:rPr>
        <w:t xml:space="preserve"> </w:t>
      </w:r>
      <w:r>
        <w:rPr>
          <w:rFonts w:ascii="GHEA Grapalat" w:eastAsia="Times New Roman" w:hAnsi="GHEA Grapalat" w:cs="Arial Armenian"/>
          <w:b/>
          <w:sz w:val="24"/>
          <w:szCs w:val="24"/>
          <w:lang w:val="hy-AM" w:eastAsia="x-none"/>
        </w:rPr>
        <w:t>ԿԱՌԱՎԱՐՈՒԹՅՈՒՆ</w:t>
      </w:r>
    </w:p>
    <w:p>
      <w:pPr>
        <w:tabs>
          <w:tab w:val="left" w:pos="810"/>
        </w:tabs>
        <w:spacing w:after="0" w:line="360" w:lineRule="auto"/>
        <w:ind w:firstLine="540"/>
        <w:jc w:val="center"/>
        <w:rPr>
          <w:rFonts w:ascii="GHEA Grapalat" w:eastAsia="Times New Roman" w:hAnsi="GHEA Grapalat" w:cs="Sylfaen"/>
          <w:b/>
          <w:sz w:val="24"/>
          <w:szCs w:val="24"/>
          <w:lang w:val="hy-AM" w:eastAsia="x-none"/>
        </w:rPr>
      </w:pP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Ր</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Շ</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Ո</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Ւ</w:t>
      </w:r>
      <w:r>
        <w:rPr>
          <w:rFonts w:ascii="GHEA Grapalat" w:eastAsia="Times New Roman" w:hAnsi="GHEA Grapalat" w:cs="Arial Armenian"/>
          <w:b/>
          <w:sz w:val="24"/>
          <w:szCs w:val="24"/>
          <w:lang w:val="hy-AM" w:eastAsia="x-none"/>
        </w:rPr>
        <w:t xml:space="preserve">  </w:t>
      </w:r>
      <w:r>
        <w:rPr>
          <w:rFonts w:ascii="GHEA Grapalat" w:eastAsia="Times New Roman" w:hAnsi="GHEA Grapalat" w:cs="Sylfaen"/>
          <w:b/>
          <w:sz w:val="24"/>
          <w:szCs w:val="24"/>
          <w:lang w:val="hy-AM" w:eastAsia="x-none"/>
        </w:rPr>
        <w:t>Մ</w:t>
      </w:r>
    </w:p>
    <w:p>
      <w:pPr>
        <w:tabs>
          <w:tab w:val="left" w:pos="810"/>
        </w:tabs>
        <w:spacing w:after="0" w:line="360" w:lineRule="auto"/>
        <w:ind w:firstLine="540"/>
        <w:jc w:val="center"/>
        <w:rPr>
          <w:rFonts w:ascii="GHEA Grapalat" w:eastAsia="Times New Roman" w:hAnsi="GHEA Grapalat" w:cs="Sylfaen"/>
          <w:b/>
          <w:sz w:val="24"/>
          <w:szCs w:val="24"/>
          <w:lang w:val="hy-AM" w:eastAsia="x-none"/>
        </w:rPr>
      </w:pPr>
    </w:p>
    <w:p>
      <w:pPr>
        <w:tabs>
          <w:tab w:val="left" w:pos="270"/>
          <w:tab w:val="left" w:pos="810"/>
          <w:tab w:val="left" w:pos="9072"/>
        </w:tabs>
        <w:spacing w:after="0" w:line="360" w:lineRule="auto"/>
        <w:ind w:firstLine="54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---------------- 2024  թվականի  N    - Լ</w:t>
      </w:r>
    </w:p>
    <w:p>
      <w:pPr>
        <w:spacing w:after="0" w:line="360" w:lineRule="auto"/>
        <w:jc w:val="center"/>
        <w:rPr>
          <w:rFonts w:ascii="GHEA Grapalat" w:eastAsia="Calibri" w:hAnsi="GHEA Grapalat" w:cs="Courier New"/>
          <w:b/>
          <w:sz w:val="24"/>
          <w:szCs w:val="24"/>
          <w:lang w:val="hy-AM" w:eastAsia="x-none"/>
        </w:rPr>
      </w:pPr>
    </w:p>
    <w:p>
      <w:pPr>
        <w:spacing w:after="0" w:line="360" w:lineRule="auto"/>
        <w:ind w:firstLine="375"/>
        <w:jc w:val="center"/>
        <w:rPr>
          <w:rFonts w:ascii="GHEA Grapalat" w:eastAsia="Times New Roman" w:hAnsi="GHEA Grapalat" w:cs="Arial"/>
          <w:b/>
          <w:sz w:val="24"/>
          <w:szCs w:val="24"/>
          <w:lang w:val="hy-AM"/>
        </w:rPr>
      </w:pPr>
      <w:bookmarkStart w:id="0" w:name="_Hlk155375749"/>
      <w:r>
        <w:rPr>
          <w:rFonts w:ascii="GHEA Grapalat" w:eastAsia="Calibri" w:hAnsi="GHEA Grapalat" w:cs="Times New Roman"/>
          <w:b/>
          <w:bCs/>
          <w:sz w:val="24"/>
          <w:szCs w:val="24"/>
          <w:shd w:val="clear" w:color="auto" w:fill="FFFFFF"/>
          <w:lang w:val="hy-AM"/>
        </w:rPr>
        <w:t>ԱՆՀՈՒՍԱԼԻ ՎԱՐԿԵՐ ՈՒՆԵՑՈՂ</w:t>
      </w:r>
      <w:r>
        <w:rPr>
          <w:rFonts w:ascii="GHEA Grapalat" w:hAnsi="GHEA Grapalat"/>
          <w:color w:val="000000"/>
          <w:sz w:val="21"/>
          <w:szCs w:val="24"/>
          <w:lang w:val="hy-AM"/>
        </w:rPr>
        <w:t xml:space="preserve"> </w:t>
      </w:r>
      <w:r>
        <w:rPr>
          <w:rFonts w:ascii="GHEA Grapalat" w:eastAsia="Calibri" w:hAnsi="GHEA Grapalat" w:cs="Times New Roman"/>
          <w:b/>
          <w:bCs/>
          <w:sz w:val="24"/>
          <w:szCs w:val="24"/>
          <w:shd w:val="clear" w:color="auto" w:fill="FFFFFF"/>
          <w:lang w:val="hy-AM"/>
        </w:rPr>
        <w:t>ԱՆՁԱՆՑ ՏՆՏԵՍԱԿԱՆ ԱԿՏԻՎՈՒԹՅԱՆ ԽԹԱՆՄԱՆ ՄԻՋՈՑԱՌՈՒՄԸ ԵՎ ԿԱՐԳԸ ՀԱՍՏԱՏԵԼՈՒ ՄԱՍԻՆ</w:t>
      </w:r>
      <w:bookmarkEnd w:id="0"/>
    </w:p>
    <w:p>
      <w:pPr>
        <w:spacing w:after="0" w:line="360" w:lineRule="auto"/>
        <w:ind w:firstLine="540"/>
        <w:jc w:val="center"/>
        <w:rPr>
          <w:rFonts w:ascii="GHEA Grapalat" w:eastAsia="Tahoma" w:hAnsi="GHEA Grapalat" w:cs="Times New Roman"/>
          <w:bCs/>
          <w:sz w:val="24"/>
          <w:szCs w:val="24"/>
          <w:lang w:val="hy-AM" w:eastAsia="x-none"/>
        </w:rPr>
      </w:pPr>
    </w:p>
    <w:p>
      <w:pPr>
        <w:tabs>
          <w:tab w:val="left" w:pos="810"/>
        </w:tabs>
        <w:spacing w:after="0" w:line="360" w:lineRule="auto"/>
        <w:ind w:firstLine="540"/>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 xml:space="preserve">Հիմք ընդունելով </w:t>
      </w:r>
      <w:r>
        <w:rPr>
          <w:rFonts w:ascii="GHEA Grapalat" w:hAnsi="GHEA Grapalat" w:cs="Arial"/>
          <w:sz w:val="24"/>
          <w:lang w:val="hy-AM"/>
        </w:rPr>
        <w:t>Հայաստանի Հանրապետության Սահմանադրության 83-րդ հոդվածը և 146-րդ հոդվածի 4-րդ մասը</w:t>
      </w:r>
      <w:r>
        <w:rPr>
          <w:rFonts w:ascii="GHEA Grapalat" w:eastAsia="Times New Roman" w:hAnsi="GHEA Grapalat" w:cs="Times New Roman"/>
          <w:sz w:val="24"/>
          <w:szCs w:val="24"/>
          <w:lang w:val="hy-AM" w:eastAsia="x-none"/>
        </w:rPr>
        <w:t xml:space="preserve">՝ </w:t>
      </w:r>
      <w:r>
        <w:rPr>
          <w:rFonts w:ascii="GHEA Grapalat" w:eastAsia="Times New Roman" w:hAnsi="GHEA Grapalat" w:cs="Sylfaen"/>
          <w:sz w:val="24"/>
          <w:szCs w:val="24"/>
          <w:lang w:val="hy-AM" w:eastAsia="x-none"/>
        </w:rPr>
        <w:t>Հայաստանի</w:t>
      </w:r>
      <w:r>
        <w:rPr>
          <w:rFonts w:ascii="GHEA Grapalat" w:eastAsia="Times New Roman" w:hAnsi="GHEA Grapalat" w:cs="Arial Armenian"/>
          <w:sz w:val="24"/>
          <w:szCs w:val="24"/>
          <w:lang w:val="hy-AM" w:eastAsia="x-none"/>
        </w:rPr>
        <w:t xml:space="preserve"> </w:t>
      </w:r>
      <w:r>
        <w:rPr>
          <w:rFonts w:ascii="GHEA Grapalat" w:eastAsia="Times New Roman" w:hAnsi="GHEA Grapalat" w:cs="Sylfaen"/>
          <w:sz w:val="24"/>
          <w:szCs w:val="24"/>
          <w:lang w:val="hy-AM" w:eastAsia="x-none"/>
        </w:rPr>
        <w:t>Հանրապետության</w:t>
      </w:r>
      <w:r>
        <w:rPr>
          <w:rFonts w:ascii="GHEA Grapalat" w:eastAsia="Times New Roman" w:hAnsi="GHEA Grapalat" w:cs="Arial Armenian"/>
          <w:sz w:val="24"/>
          <w:szCs w:val="24"/>
          <w:lang w:val="hy-AM" w:eastAsia="x-none"/>
        </w:rPr>
        <w:t xml:space="preserve"> </w:t>
      </w:r>
      <w:r>
        <w:rPr>
          <w:rFonts w:ascii="GHEA Grapalat" w:eastAsia="Times New Roman" w:hAnsi="GHEA Grapalat" w:cs="Sylfaen"/>
          <w:sz w:val="24"/>
          <w:szCs w:val="24"/>
          <w:lang w:val="hy-AM" w:eastAsia="x-none"/>
        </w:rPr>
        <w:t>կառավարությունը</w:t>
      </w:r>
      <w:r>
        <w:rPr>
          <w:rFonts w:ascii="GHEA Grapalat" w:eastAsia="Times New Roman" w:hAnsi="GHEA Grapalat" w:cs="Arial Armenian"/>
          <w:sz w:val="24"/>
          <w:szCs w:val="24"/>
          <w:lang w:val="hy-AM" w:eastAsia="x-none"/>
        </w:rPr>
        <w:t xml:space="preserve"> </w:t>
      </w:r>
      <w:r>
        <w:rPr>
          <w:rFonts w:ascii="GHEA Grapalat" w:eastAsia="Times New Roman" w:hAnsi="GHEA Grapalat" w:cs="Sylfaen"/>
          <w:sz w:val="24"/>
          <w:szCs w:val="24"/>
          <w:lang w:val="hy-AM" w:eastAsia="x-none"/>
        </w:rPr>
        <w:t>որոշում</w:t>
      </w:r>
      <w:r>
        <w:rPr>
          <w:rFonts w:ascii="GHEA Grapalat" w:eastAsia="Times New Roman" w:hAnsi="GHEA Grapalat" w:cs="Arial Armenian"/>
          <w:sz w:val="24"/>
          <w:szCs w:val="24"/>
          <w:lang w:val="hy-AM" w:eastAsia="x-none"/>
        </w:rPr>
        <w:t xml:space="preserve"> </w:t>
      </w:r>
      <w:r>
        <w:rPr>
          <w:rFonts w:ascii="GHEA Grapalat" w:eastAsia="Times New Roman" w:hAnsi="GHEA Grapalat" w:cs="Sylfaen"/>
          <w:sz w:val="24"/>
          <w:szCs w:val="24"/>
          <w:lang w:val="hy-AM" w:eastAsia="x-none"/>
        </w:rPr>
        <w:t>է</w:t>
      </w:r>
      <w:r>
        <w:rPr>
          <w:rFonts w:ascii="GHEA Grapalat" w:eastAsia="Times New Roman" w:hAnsi="GHEA Grapalat" w:cs="Arial Armenian"/>
          <w:sz w:val="24"/>
          <w:szCs w:val="24"/>
          <w:lang w:val="hy-AM" w:eastAsia="x-none"/>
        </w:rPr>
        <w:t>.</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հաստատել անհուսալի վարկեր ունեցող անձանց տնտեսական ակտիվության խթանման միջոցառումը՝ համաձայն հավելված 1-ի (այսուհետ՝ Միջոցառում)։</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հաստատել անհուսալի վարկեր ունեցող անձանց տնտեսական ակտիվության խթանման միջոցառման իրականացման կարգը՝ համաձայն հավելված 2-ի (այսուհետ՝ Կարգ)։</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Հայաստանի Հանրապետության աշխատանքի և սոցիալական հարցերի նախարարին՝</w:t>
      </w:r>
    </w:p>
    <w:p>
      <w:pPr>
        <w:pStyle w:val="a5"/>
        <w:numPr>
          <w:ilvl w:val="0"/>
          <w:numId w:val="3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Միջոցառման իրականացումը ֆինանսավորելու նպատակով մինչև 2025 թվականի փետրվարի 10-ը </w:t>
      </w:r>
      <w:r>
        <w:rPr>
          <w:rFonts w:ascii="GHEA Grapalat" w:eastAsia="Times New Roman" w:hAnsi="GHEA Grapalat" w:cs="Times New Roman"/>
          <w:color w:val="000000"/>
          <w:sz w:val="24"/>
          <w:szCs w:val="24"/>
          <w:lang w:val="hy-AM"/>
        </w:rPr>
        <w:t>Հայաստանի Հանրապետության կառավարություն ներկայացնել 2025 թվականի պետական բյուջեում փոփոխություններ կատարելու վերաբերյալ առաջարկություն՝ ավ</w:t>
      </w:r>
      <w:r>
        <w:rPr>
          <w:rFonts w:ascii="GHEA Grapalat" w:eastAsia="Times New Roman" w:hAnsi="GHEA Grapalat" w:cs="Times New Roman"/>
          <w:color w:val="000000"/>
          <w:sz w:val="24"/>
          <w:szCs w:val="24"/>
          <w:lang w:val="hy-AM"/>
        </w:rPr>
        <w:t>ելացնելով եկամուտները և ծախսերը</w:t>
      </w:r>
      <w:bookmarkStart w:id="1" w:name="_GoBack"/>
      <w:bookmarkEnd w:id="1"/>
      <w:r>
        <w:rPr>
          <w:rFonts w:ascii="GHEA Grapalat" w:eastAsia="Times New Roman" w:hAnsi="GHEA Grapalat" w:cs="Times New Roman"/>
          <w:color w:val="000000"/>
          <w:sz w:val="24"/>
          <w:szCs w:val="24"/>
          <w:lang w:val="hy-AM"/>
        </w:rPr>
        <w:t>,</w:t>
      </w:r>
    </w:p>
    <w:p>
      <w:pPr>
        <w:pStyle w:val="a5"/>
        <w:numPr>
          <w:ilvl w:val="0"/>
          <w:numId w:val="3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ապահովել Միջոցառման իրականացման համար անհրաժեշտ տեղեկատվական համակարգի (այսուհետ՝ Համակարգ) մշակումն ու ներդրումը ««Նորք» սոցիալական ծառայությունների տեխնոլոգիական և իրազեկման կենտրոն» հիմնադրամի միջոցով՝ մինչև 2025 թվականի հունվարի 25-ը,</w:t>
      </w:r>
    </w:p>
    <w:p>
      <w:pPr>
        <w:pStyle w:val="a5"/>
        <w:numPr>
          <w:ilvl w:val="0"/>
          <w:numId w:val="30"/>
        </w:numPr>
        <w:shd w:val="clear" w:color="auto" w:fill="FFFFFF"/>
        <w:spacing w:after="0" w:line="360" w:lineRule="auto"/>
        <w:ind w:left="0"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ապահովել Համակարգի շահագործումը Հայաստանի Հանրապետության աշխատանքի և սոցիալական հարցերի նախարարության միասնական սոցիալական ծառայության կողմից,</w:t>
      </w:r>
    </w:p>
    <w:p>
      <w:pPr>
        <w:pStyle w:val="a5"/>
        <w:numPr>
          <w:ilvl w:val="0"/>
          <w:numId w:val="30"/>
        </w:numPr>
        <w:shd w:val="clear" w:color="auto" w:fill="FFFFFF"/>
        <w:spacing w:after="0" w:line="360" w:lineRule="auto"/>
        <w:ind w:left="0"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մինչև 2025 թվականի հունվարի 25-ը ապահովել Հայաստանի Հանրապետության աշխատանքի և սոցիալական հարցերի նախարարության միասնական սոցիալական ծառայության կողմից սույն միջոցառման շրջանակում ֆինանսական միջոցների փոխանցման նպատակով Հայաստանի Հանրապետության տարածքում գործող բոլոր առևտրային բանկերի հետ համապատասխան պայմանագրերի կնքումը,</w:t>
      </w:r>
    </w:p>
    <w:p>
      <w:pPr>
        <w:pStyle w:val="a5"/>
        <w:numPr>
          <w:ilvl w:val="0"/>
          <w:numId w:val="30"/>
        </w:numPr>
        <w:shd w:val="clear" w:color="auto" w:fill="FFFFFF"/>
        <w:spacing w:after="0" w:line="360" w:lineRule="auto"/>
        <w:ind w:left="0"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Հայաստանի բանկերի միության հետ համագործակցելով՝ Կենտրոնական բանկի կողմից լիցենզավորված բանկերի և վարկային կազմակերպությունների և «ԱՔՌԱ Քրեդիտ Ռեփորթինգ» ՓԲԸ-ի հետ կնքել համաձայնագիր, որով կսահմանվեն Միջոցառումից բխող առանձնահատկությունները, այդ թվում՝ Միջոցառման շահառուների անհուսալի վարկերի գծով առաջացած տույժերի, տուգանքների և ժամկետանց տոկոսագումարների հնարավոր ներման դեպքերը, չափը, ժամկետներն ու կարգը։</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 xml:space="preserve">Գլխավոր հարկադիր կատարողին՝ ապահովել սույն միջոցառման շրջանակում շահառու ճանաչված անձանց նկատմամբ բանկի կամ վարկային կազմակերպության կողմից ներկայացված հարկադիր կատարման ենթակա ակտերի կատարման ընթացքում շահառուի (պարտապանի) աշխատավարձից և դրան հավասարեցված վճարումներից </w:t>
      </w:r>
      <w:r>
        <w:rPr>
          <w:rFonts w:ascii="GHEA Grapalat" w:hAnsi="GHEA Grapalat"/>
          <w:sz w:val="24"/>
          <w:szCs w:val="24"/>
          <w:lang w:val="hy-AM"/>
        </w:rPr>
        <w:t xml:space="preserve">(քաղաքացիաիրավական պայմանագրի շրջանակներում ստացված եկամտից) </w:t>
      </w:r>
      <w:r>
        <w:rPr>
          <w:rFonts w:ascii="GHEA Grapalat" w:eastAsia="Times New Roman" w:hAnsi="GHEA Grapalat" w:cs="Times New Roman"/>
          <w:sz w:val="24"/>
          <w:szCs w:val="24"/>
          <w:lang w:val="hy-AM" w:eastAsia="x-none"/>
        </w:rPr>
        <w:t>պահվող (բռնագանձվող) չափը 20% սահմանելը</w:t>
      </w:r>
      <w:r>
        <w:rPr>
          <w:rFonts w:ascii="GHEA Grapalat" w:hAnsi="GHEA Grapalat"/>
          <w:color w:val="000000" w:themeColor="text1"/>
          <w:sz w:val="24"/>
          <w:szCs w:val="24"/>
          <w:lang w:val="hy-AM"/>
        </w:rPr>
        <w:t>, եթե օրենքով կամ կատարման ենթակա ակտով բռնագանձման առավել նվազ չափ սահմանված չէ</w:t>
      </w:r>
      <w:r>
        <w:rPr>
          <w:rFonts w:ascii="GHEA Grapalat" w:eastAsia="Times New Roman" w:hAnsi="GHEA Grapalat" w:cs="Times New Roman"/>
          <w:sz w:val="24"/>
          <w:szCs w:val="24"/>
          <w:lang w:val="hy-AM" w:eastAsia="x-none"/>
        </w:rPr>
        <w:t>։</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Միջոցառման շրջանակում շահառու դառնալու համար դիմումների ընդունման ժամկետ սահմանել 2026 թվականի հունվարի 31-ը։</w:t>
      </w:r>
    </w:p>
    <w:p>
      <w:pPr>
        <w:pStyle w:val="a5"/>
        <w:numPr>
          <w:ilvl w:val="0"/>
          <w:numId w:val="28"/>
        </w:numPr>
        <w:spacing w:after="0" w:line="360" w:lineRule="auto"/>
        <w:ind w:left="0" w:firstLine="426"/>
        <w:jc w:val="both"/>
        <w:rPr>
          <w:rFonts w:ascii="GHEA Grapalat" w:eastAsia="Times New Roman" w:hAnsi="GHEA Grapalat" w:cs="Times New Roman"/>
          <w:sz w:val="24"/>
          <w:szCs w:val="24"/>
          <w:lang w:val="hy-AM" w:eastAsia="x-none"/>
        </w:rPr>
      </w:pPr>
      <w:r>
        <w:rPr>
          <w:rFonts w:ascii="GHEA Grapalat" w:eastAsia="Times New Roman" w:hAnsi="GHEA Grapalat" w:cs="Times New Roman"/>
          <w:sz w:val="24"/>
          <w:szCs w:val="24"/>
          <w:lang w:val="hy-AM" w:eastAsia="x-none"/>
        </w:rPr>
        <w:t>Սույն որոշումն ուժի մեջ է մտնում ստորագրման հաջորդ օրվանից, իսկ որոշման 1-ին և 2-րդ կետերը՝ 2025 թվականի փետրվարի 1-ից։</w:t>
      </w:r>
    </w:p>
    <w:p>
      <w:pPr>
        <w:shd w:val="clear" w:color="auto" w:fill="FFFFFF"/>
        <w:spacing w:after="0" w:line="360" w:lineRule="auto"/>
        <w:ind w:firstLine="375"/>
        <w:jc w:val="right"/>
        <w:rPr>
          <w:rFonts w:ascii="GHEA Grapalat" w:eastAsia="Times New Roman" w:hAnsi="GHEA Grapalat" w:cs="Calibri"/>
          <w:sz w:val="24"/>
          <w:szCs w:val="24"/>
          <w:lang w:val="hy-AM"/>
        </w:rPr>
      </w:pPr>
    </w:p>
    <w:p>
      <w:pPr>
        <w:shd w:val="clear" w:color="auto" w:fill="FFFFFF"/>
        <w:spacing w:after="0" w:line="360" w:lineRule="auto"/>
        <w:ind w:firstLine="375"/>
        <w:jc w:val="right"/>
        <w:rPr>
          <w:rFonts w:ascii="GHEA Grapalat" w:eastAsia="Times New Roman" w:hAnsi="GHEA Grapalat" w:cs="Calibri"/>
          <w:sz w:val="24"/>
          <w:szCs w:val="24"/>
          <w:lang w:val="hy-AM"/>
        </w:rPr>
      </w:pPr>
    </w:p>
    <w:p>
      <w:pPr>
        <w:shd w:val="clear" w:color="auto" w:fill="FFFFFF"/>
        <w:spacing w:after="0" w:line="360" w:lineRule="auto"/>
        <w:ind w:firstLine="375"/>
        <w:jc w:val="right"/>
        <w:rPr>
          <w:rFonts w:ascii="GHEA Grapalat" w:eastAsia="Times New Roman" w:hAnsi="GHEA Grapalat" w:cs="Calibri"/>
          <w:sz w:val="24"/>
          <w:szCs w:val="24"/>
          <w:lang w:val="hy-AM"/>
        </w:rPr>
      </w:pPr>
    </w:p>
    <w:p>
      <w:pPr>
        <w:rPr>
          <w:rFonts w:ascii="GHEA Grapalat" w:eastAsia="Times New Roman" w:hAnsi="GHEA Grapalat" w:cs="Calibri"/>
          <w:sz w:val="24"/>
          <w:szCs w:val="24"/>
          <w:lang w:val="hy-AM"/>
        </w:rPr>
      </w:pPr>
      <w:r>
        <w:rPr>
          <w:rFonts w:ascii="GHEA Grapalat" w:eastAsia="Times New Roman" w:hAnsi="GHEA Grapalat" w:cs="Calibri"/>
          <w:sz w:val="24"/>
          <w:szCs w:val="24"/>
          <w:lang w:val="hy-AM"/>
        </w:rPr>
        <w:br w:type="page"/>
      </w:r>
    </w:p>
    <w:p>
      <w:pPr>
        <w:shd w:val="clear" w:color="auto" w:fill="FFFFFF"/>
        <w:spacing w:after="0" w:line="360" w:lineRule="auto"/>
        <w:ind w:firstLine="375"/>
        <w:jc w:val="right"/>
        <w:rPr>
          <w:rFonts w:ascii="GHEA Grapalat" w:eastAsia="Times New Roman" w:hAnsi="GHEA Grapalat" w:cs="Times New Roman"/>
          <w:sz w:val="24"/>
          <w:szCs w:val="24"/>
          <w:shd w:val="clear" w:color="auto" w:fill="FFFFFF"/>
          <w:lang w:val="hy-AM"/>
        </w:rPr>
      </w:pPr>
      <w:r>
        <w:rPr>
          <w:rFonts w:ascii="GHEA Grapalat" w:eastAsia="Times New Roman" w:hAnsi="GHEA Grapalat" w:cs="Calibri"/>
          <w:sz w:val="24"/>
          <w:szCs w:val="24"/>
          <w:lang w:val="hy-AM"/>
        </w:rPr>
        <w:lastRenderedPageBreak/>
        <w:t>Հավելված</w:t>
      </w:r>
      <w:r>
        <w:rPr>
          <w:rFonts w:ascii="GHEA Grapalat" w:eastAsia="Times New Roman" w:hAnsi="GHEA Grapalat" w:cs="Times New Roman"/>
          <w:sz w:val="24"/>
          <w:szCs w:val="24"/>
          <w:shd w:val="clear" w:color="auto" w:fill="FFFFFF"/>
          <w:lang w:val="hy-AM"/>
        </w:rPr>
        <w:t xml:space="preserve"> 1</w:t>
      </w:r>
    </w:p>
    <w:p>
      <w:pPr>
        <w:shd w:val="clear" w:color="auto" w:fill="FFFFFF"/>
        <w:spacing w:after="0" w:line="360" w:lineRule="auto"/>
        <w:ind w:firstLine="375"/>
        <w:jc w:val="right"/>
        <w:rPr>
          <w:rFonts w:ascii="GHEA Grapalat" w:eastAsia="Times New Roman" w:hAnsi="GHEA Grapalat" w:cs="Calibri"/>
          <w:sz w:val="24"/>
          <w:szCs w:val="24"/>
          <w:lang w:val="hy-AM"/>
        </w:rPr>
      </w:pPr>
      <w:r>
        <w:rPr>
          <w:rFonts w:ascii="GHEA Grapalat" w:eastAsia="Times New Roman" w:hAnsi="GHEA Grapalat" w:cs="Calibri"/>
          <w:sz w:val="24"/>
          <w:szCs w:val="24"/>
          <w:lang w:val="hy-AM"/>
        </w:rPr>
        <w:t>ՀՀ կառավարության 2024 թվականի</w:t>
      </w:r>
    </w:p>
    <w:p>
      <w:pPr>
        <w:shd w:val="clear" w:color="auto" w:fill="FFFFFF"/>
        <w:spacing w:after="0" w:line="360" w:lineRule="auto"/>
        <w:ind w:firstLine="375"/>
        <w:jc w:val="right"/>
        <w:rPr>
          <w:rFonts w:ascii="GHEA Grapalat" w:eastAsia="Times New Roman" w:hAnsi="GHEA Grapalat" w:cs="Times New Roman"/>
          <w:sz w:val="24"/>
          <w:szCs w:val="24"/>
          <w:lang w:val="hy-AM"/>
        </w:rPr>
      </w:pPr>
      <w:r>
        <w:rPr>
          <w:rFonts w:ascii="GHEA Grapalat" w:eastAsia="Times New Roman" w:hAnsi="GHEA Grapalat" w:cs="Calibri"/>
          <w:sz w:val="24"/>
          <w:szCs w:val="24"/>
          <w:lang w:val="hy-AM"/>
        </w:rPr>
        <w:t xml:space="preserve">___________ ___-ի N ____ -Լ որոշման  </w:t>
      </w:r>
    </w:p>
    <w:p>
      <w:pPr>
        <w:spacing w:after="0" w:line="360" w:lineRule="auto"/>
        <w:jc w:val="center"/>
        <w:rPr>
          <w:rFonts w:ascii="GHEA Grapalat" w:eastAsia="Calibri" w:hAnsi="GHEA Grapalat" w:cs="Times New Roman"/>
          <w:b/>
          <w:bCs/>
          <w:sz w:val="24"/>
          <w:szCs w:val="24"/>
          <w:shd w:val="clear" w:color="auto" w:fill="FFFFFF"/>
          <w:lang w:val="hy-AM"/>
        </w:rPr>
      </w:pPr>
    </w:p>
    <w:p>
      <w:pPr>
        <w:spacing w:after="0" w:line="360" w:lineRule="auto"/>
        <w:jc w:val="center"/>
        <w:rPr>
          <w:rFonts w:ascii="GHEA Grapalat" w:eastAsia="Calibri" w:hAnsi="GHEA Grapalat" w:cs="Courier New"/>
          <w:b/>
          <w:sz w:val="24"/>
          <w:szCs w:val="24"/>
          <w:lang w:val="hy-AM" w:eastAsia="x-none"/>
        </w:rPr>
      </w:pPr>
    </w:p>
    <w:p>
      <w:pPr>
        <w:pStyle w:val="mechtex"/>
        <w:tabs>
          <w:tab w:val="left" w:pos="810"/>
        </w:tabs>
        <w:spacing w:after="240" w:line="360" w:lineRule="auto"/>
        <w:rPr>
          <w:rFonts w:ascii="GHEA Grapalat" w:eastAsia="Calibri" w:hAnsi="GHEA Grapalat"/>
          <w:b/>
          <w:bCs/>
          <w:sz w:val="24"/>
          <w:shd w:val="clear" w:color="auto" w:fill="FFFFFF"/>
          <w:lang w:val="hy-AM"/>
        </w:rPr>
      </w:pPr>
      <w:r>
        <w:rPr>
          <w:rFonts w:ascii="GHEA Grapalat" w:eastAsia="Calibri" w:hAnsi="GHEA Grapalat"/>
          <w:b/>
          <w:bCs/>
          <w:sz w:val="24"/>
          <w:shd w:val="clear" w:color="auto" w:fill="FFFFFF"/>
          <w:lang w:val="hy-AM"/>
        </w:rPr>
        <w:t xml:space="preserve">ՄԻՋՈՑԱՌՈՒՄ </w:t>
      </w:r>
    </w:p>
    <w:p>
      <w:pPr>
        <w:pStyle w:val="mechtex"/>
        <w:tabs>
          <w:tab w:val="left" w:pos="810"/>
        </w:tabs>
        <w:spacing w:after="240" w:line="360" w:lineRule="auto"/>
        <w:rPr>
          <w:rFonts w:ascii="GHEA Grapalat" w:eastAsia="Calibri" w:hAnsi="GHEA Grapalat"/>
          <w:b/>
          <w:bCs/>
          <w:sz w:val="24"/>
          <w:shd w:val="clear" w:color="auto" w:fill="FFFFFF"/>
          <w:lang w:val="hy-AM"/>
        </w:rPr>
      </w:pPr>
      <w:r>
        <w:rPr>
          <w:rFonts w:ascii="GHEA Grapalat" w:eastAsia="Calibri" w:hAnsi="GHEA Grapalat"/>
          <w:b/>
          <w:bCs/>
          <w:sz w:val="24"/>
          <w:shd w:val="clear" w:color="auto" w:fill="FFFFFF"/>
          <w:lang w:val="hy-AM"/>
        </w:rPr>
        <w:t xml:space="preserve">ԱՆՀՈՒՍԱԼԻ ՎԱՐԿԵՐ ՈՒՆԵՑՈՂ ԱՆՁԱՆՑ ՏՆՏԵՍԱԿԱՆ ԱԿՏԻՎՈՒԹՅԱՆ ԽԹԱՆՄԱՆ </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Սույն միջոցառման նպատակն է աջակցել </w:t>
      </w:r>
      <w:r>
        <w:rPr>
          <w:rFonts w:ascii="GHEA Grapalat" w:eastAsia="Times New Roman" w:hAnsi="GHEA Grapalat" w:cs="Times New Roman"/>
          <w:sz w:val="24"/>
          <w:szCs w:val="24"/>
          <w:lang w:val="hy-AM" w:eastAsia="ru-RU"/>
        </w:rPr>
        <w:t>աշխատաշուկայից (ֆորմալ զբաղվածությունից) դուրս մնացածներին կամ մասնակի ֆորմալ զբաղվածություն ունեցողներին, ովքեր ունեն</w:t>
      </w:r>
      <w:r>
        <w:rPr>
          <w:rFonts w:ascii="GHEA Grapalat" w:eastAsia="Calibri" w:hAnsi="GHEA Grapalat" w:cs="Calibri"/>
          <w:bCs/>
          <w:sz w:val="24"/>
          <w:szCs w:val="24"/>
          <w:lang w:val="hy-AM"/>
        </w:rPr>
        <w:t xml:space="preserve"> անհուսալի վարկային դասով դասակարգված վարկային պարտավորություն(ներ), վերականգնելու իրենց տնտեսական ակտիվությունը՝ աշխատաշուկա վերադառնալու միջոցով։</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Սույն միջոցառման մեջ կիրառվող հասկացություններն ու հապավումներն ունեն հետևյալ իմաստները.</w:t>
      </w:r>
    </w:p>
    <w:p>
      <w:pPr>
        <w:pStyle w:val="a5"/>
        <w:numPr>
          <w:ilvl w:val="0"/>
          <w:numId w:val="25"/>
        </w:numPr>
        <w:shd w:val="clear" w:color="auto" w:fill="FFFFFF"/>
        <w:spacing w:after="0" w:line="360" w:lineRule="auto"/>
        <w:ind w:left="0" w:firstLine="426"/>
        <w:jc w:val="both"/>
        <w:rPr>
          <w:rFonts w:ascii="GHEA Grapalat" w:eastAsia="Calibri" w:hAnsi="GHEA Grapalat" w:cs="Cambria Math"/>
          <w:bCs/>
          <w:sz w:val="24"/>
          <w:szCs w:val="24"/>
          <w:lang w:val="hy-AM"/>
        </w:rPr>
      </w:pPr>
      <w:r>
        <w:rPr>
          <w:rFonts w:ascii="GHEA Grapalat" w:eastAsia="Calibri" w:hAnsi="GHEA Grapalat" w:cs="Calibri"/>
          <w:b/>
          <w:bCs/>
          <w:sz w:val="24"/>
          <w:szCs w:val="24"/>
          <w:lang w:val="hy-AM"/>
        </w:rPr>
        <w:t>Անհուսալի վարկ՝</w:t>
      </w:r>
      <w:r>
        <w:rPr>
          <w:rFonts w:ascii="GHEA Grapalat" w:eastAsia="Calibri" w:hAnsi="GHEA Grapalat" w:cs="Calibri"/>
          <w:bCs/>
          <w:sz w:val="24"/>
          <w:szCs w:val="24"/>
          <w:lang w:val="hy-AM"/>
        </w:rPr>
        <w:t xml:space="preserve"> Հայաստանի Հանրապետության ֆինանսների նախարարի՝ 2021 թվականի հունիսի 16-ի թիվ 2-Ն և Հայաստանի Հանրապետության կենտրոնական բանկի խորհրդի՝ 2021 թվականի մարտի 30-ի թիվ 39-Ն </w:t>
      </w:r>
      <w:r>
        <w:rPr>
          <w:rFonts w:ascii="GHEA Grapalat" w:eastAsia="Calibri" w:hAnsi="GHEA Grapalat" w:cs="Calibri"/>
          <w:sz w:val="24"/>
          <w:szCs w:val="24"/>
          <w:lang w:val="hy-AM"/>
        </w:rPr>
        <w:t>համատեղ որոշման 1-ին կետով հաստատված «Հ</w:t>
      </w:r>
      <w:r>
        <w:rPr>
          <w:rFonts w:ascii="GHEA Grapalat" w:eastAsia="Calibri" w:hAnsi="GHEA Grapalat" w:cs="Calibri"/>
          <w:bCs/>
          <w:sz w:val="24"/>
          <w:szCs w:val="24"/>
          <w:lang w:val="hy-AM"/>
        </w:rPr>
        <w:t>այաստանի Հանրապետության տարածքում գործող բանկերի և վարկային կազմակերպությունների ֆինանսական ակտիվների դասակարգման և հնարավոր կորուստների պահուստների ձևավորման կարգի</w:t>
      </w:r>
      <w:r>
        <w:rPr>
          <w:rFonts w:ascii="GHEA Grapalat" w:eastAsia="Calibri" w:hAnsi="GHEA Grapalat" w:cs="Calibri"/>
          <w:sz w:val="24"/>
          <w:szCs w:val="24"/>
          <w:lang w:val="hy-AM"/>
        </w:rPr>
        <w:t>» համաձայն անհուսալի դասով դասակարգված վարկային պարտավորություն, որն ունի առնվազն 3 տարվա չընդհատվող վաղեմություն (առնվազն 3 տարի վարկային ակտիվը դասակարգած է անհուսալի դասով)։</w:t>
      </w:r>
    </w:p>
    <w:p>
      <w:pPr>
        <w:pStyle w:val="a5"/>
        <w:numPr>
          <w:ilvl w:val="0"/>
          <w:numId w:val="25"/>
        </w:numPr>
        <w:shd w:val="clear" w:color="auto" w:fill="FFFFFF"/>
        <w:spacing w:after="0" w:line="360" w:lineRule="auto"/>
        <w:ind w:left="0" w:firstLine="426"/>
        <w:jc w:val="both"/>
        <w:rPr>
          <w:rFonts w:ascii="GHEA Grapalat" w:eastAsia="Calibri" w:hAnsi="GHEA Grapalat" w:cs="Calibri"/>
          <w:b/>
          <w:bCs/>
          <w:sz w:val="24"/>
          <w:szCs w:val="24"/>
          <w:lang w:val="hy-AM"/>
        </w:rPr>
      </w:pPr>
      <w:r>
        <w:rPr>
          <w:rFonts w:ascii="GHEA Grapalat" w:eastAsia="Calibri" w:hAnsi="GHEA Grapalat" w:cs="Calibri"/>
          <w:b/>
          <w:bCs/>
          <w:sz w:val="24"/>
          <w:szCs w:val="24"/>
          <w:lang w:val="hy-AM"/>
        </w:rPr>
        <w:t>Աշխատող՝</w:t>
      </w:r>
      <w:r>
        <w:rPr>
          <w:rFonts w:ascii="GHEA Grapalat" w:eastAsia="Calibri" w:hAnsi="GHEA Grapalat" w:cs="Calibri"/>
          <w:bCs/>
          <w:sz w:val="24"/>
          <w:szCs w:val="24"/>
          <w:lang w:val="hy-AM"/>
        </w:rPr>
        <w:t xml:space="preserve"> աշխատանքային (ծառայությունների մատուցման) պայմանագրի շրջանակներում աշխատանք կատարող (ծառայություններ մատուցող) ֆիզիկական անձ, </w:t>
      </w:r>
    </w:p>
    <w:p>
      <w:pPr>
        <w:pStyle w:val="a5"/>
        <w:numPr>
          <w:ilvl w:val="0"/>
          <w:numId w:val="25"/>
        </w:numPr>
        <w:shd w:val="clear" w:color="auto" w:fill="FFFFFF"/>
        <w:spacing w:after="0" w:line="360" w:lineRule="auto"/>
        <w:ind w:left="0" w:firstLine="426"/>
        <w:jc w:val="both"/>
        <w:rPr>
          <w:rFonts w:ascii="GHEA Grapalat" w:eastAsia="Calibri" w:hAnsi="GHEA Grapalat" w:cs="Cambria Math"/>
          <w:bCs/>
          <w:sz w:val="24"/>
          <w:szCs w:val="24"/>
          <w:lang w:val="hy-AM"/>
        </w:rPr>
      </w:pPr>
      <w:r>
        <w:rPr>
          <w:rFonts w:ascii="GHEA Grapalat" w:eastAsia="Calibri" w:hAnsi="GHEA Grapalat" w:cs="Calibri"/>
          <w:b/>
          <w:bCs/>
          <w:sz w:val="24"/>
          <w:szCs w:val="24"/>
          <w:lang w:val="hy-AM"/>
        </w:rPr>
        <w:t xml:space="preserve">Շահառու՝ </w:t>
      </w:r>
      <w:r>
        <w:rPr>
          <w:rFonts w:ascii="GHEA Grapalat" w:eastAsia="Calibri" w:hAnsi="GHEA Grapalat" w:cs="Calibri"/>
          <w:bCs/>
          <w:sz w:val="24"/>
          <w:szCs w:val="24"/>
          <w:lang w:val="hy-AM"/>
        </w:rPr>
        <w:t>Հայաստանի Հանրապետության քաղաքացի կամ Հայաստանի Հանրապետությունում ժամանակավոր պաշտպանության կարգավիճակ ունեցող անձ, ով.</w:t>
      </w:r>
    </w:p>
    <w:p>
      <w:pPr>
        <w:shd w:val="clear" w:color="auto" w:fill="FFFFFF"/>
        <w:spacing w:after="0" w:line="360" w:lineRule="auto"/>
        <w:ind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lastRenderedPageBreak/>
        <w:t>ա)</w:t>
      </w:r>
      <w:r>
        <w:rPr>
          <w:rFonts w:ascii="GHEA Grapalat" w:eastAsia="Calibri" w:hAnsi="GHEA Grapalat" w:cs="Calibri"/>
          <w:bCs/>
          <w:sz w:val="24"/>
          <w:szCs w:val="24"/>
          <w:lang w:val="hy-AM"/>
        </w:rPr>
        <w:tab/>
        <w:t>սույն միջոցառման շահառու ճանաչվելու համար սահմանված կարգով ներկայացրել է դիմում.</w:t>
      </w:r>
    </w:p>
    <w:p>
      <w:pPr>
        <w:shd w:val="clear" w:color="auto" w:fill="FFFFFF"/>
        <w:spacing w:after="0" w:line="360" w:lineRule="auto"/>
        <w:ind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բ)</w:t>
      </w:r>
      <w:r>
        <w:rPr>
          <w:rFonts w:ascii="GHEA Grapalat" w:eastAsia="Calibri" w:hAnsi="GHEA Grapalat" w:cs="Calibri"/>
          <w:bCs/>
          <w:sz w:val="24"/>
          <w:szCs w:val="24"/>
          <w:lang w:val="hy-AM"/>
        </w:rPr>
        <w:tab/>
        <w:t>2025 թվականի փետրվարի 1-ի դրությամբ Հայաստանի Հանրապետության կենտրոնական բանկի կողմից լիցենզավորված առևտրային բանկ(եր)ում կամ վարկային կազմակերպություն(ներ)ում որպես վարկառու ունեցած որևէ վարկ անհուսալի է, որի (որոնց) հանրագումարը (միայն վարկ(երի)ի մայր գումար(ներ)ը) դիմելու օրվա դրությամբ չի գերազանցում 1,000,000 ՀՀ դրամը (համարժեք արտարժույթը),</w:t>
      </w:r>
    </w:p>
    <w:p>
      <w:pPr>
        <w:shd w:val="clear" w:color="auto" w:fill="FFFFFF"/>
        <w:spacing w:after="0" w:line="360" w:lineRule="auto"/>
        <w:ind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գ)</w:t>
      </w:r>
      <w:r>
        <w:rPr>
          <w:rFonts w:ascii="GHEA Grapalat" w:eastAsia="Calibri" w:hAnsi="GHEA Grapalat" w:cs="Calibri"/>
          <w:bCs/>
          <w:sz w:val="24"/>
          <w:szCs w:val="24"/>
          <w:lang w:val="hy-AM"/>
        </w:rPr>
        <w:tab/>
        <w:t>սույն միջոցառման շահառու դառնալու համար դիմում ներկայացնելու օրվա դրությամբ հանդիսանում է Աշխատող՝ ըստ «Եկամտային հարկի, շահութահարկի և սոցիալական վճարի անձնավորված հաշվառման համակարգում» առկա տեղեկատվության։</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 xml:space="preserve">Վարկային բյուրո՝ </w:t>
      </w:r>
      <w:r>
        <w:rPr>
          <w:rFonts w:ascii="GHEA Grapalat" w:eastAsia="Calibri" w:hAnsi="GHEA Grapalat" w:cs="Calibri"/>
          <w:bCs/>
          <w:sz w:val="24"/>
          <w:szCs w:val="24"/>
          <w:lang w:val="hy-AM"/>
        </w:rPr>
        <w:t>«ԱՔՌԱ Քրեդիտ Ռեփորթինգ» փակ բաժնետիրական ընկերություն,</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Վարկավորող՝</w:t>
      </w:r>
      <w:r>
        <w:rPr>
          <w:rFonts w:ascii="GHEA Grapalat" w:eastAsia="Calibri" w:hAnsi="GHEA Grapalat" w:cs="Calibri"/>
          <w:bCs/>
          <w:sz w:val="24"/>
          <w:szCs w:val="24"/>
          <w:lang w:val="hy-AM"/>
        </w:rPr>
        <w:t xml:space="preserve"> Հայաստանի Հանրապետության կենտրոնական բանկի կողմից լիցենզավորված առևտրային բանկ կամ վարկային կազմակերպություն, որը տրամադրել է Շահառուի վարկը,</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Անձնավորված հաշվառման համակարգ՝</w:t>
      </w:r>
      <w:r>
        <w:rPr>
          <w:rFonts w:ascii="GHEA Grapalat" w:eastAsia="Calibri" w:hAnsi="GHEA Grapalat" w:cs="Calibri"/>
          <w:bCs/>
          <w:sz w:val="24"/>
          <w:szCs w:val="24"/>
          <w:lang w:val="hy-AM"/>
        </w:rPr>
        <w:t xml:space="preserve"> Հայաստանի Հանրապետության պետական եկամուտների կոմիտեի կողմից վարվող «Եկամտային հարկի, շահութահարկի և սոցիալական վճարի անձնավորված հաշվառման համակարգ»,</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ՀԾՀ՝</w:t>
      </w:r>
      <w:r>
        <w:rPr>
          <w:rFonts w:ascii="GHEA Grapalat" w:eastAsia="Calibri" w:hAnsi="GHEA Grapalat" w:cs="Calibri"/>
          <w:bCs/>
          <w:sz w:val="24"/>
          <w:szCs w:val="24"/>
          <w:lang w:val="hy-AM"/>
        </w:rPr>
        <w:t xml:space="preserve"> հանրային ծառայության համարանիշ կամ հանրային ծառայությունների համարանիշ չստանալու վերաբերյալ տեղեկանքի համար,</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 xml:space="preserve">ՀԿԱ ծառայություն՝ </w:t>
      </w:r>
      <w:r>
        <w:rPr>
          <w:rFonts w:ascii="GHEA Grapalat" w:eastAsia="Calibri" w:hAnsi="GHEA Grapalat" w:cs="Calibri"/>
          <w:bCs/>
          <w:sz w:val="24"/>
          <w:szCs w:val="24"/>
          <w:lang w:val="hy-AM"/>
        </w:rPr>
        <w:t>Հայաստանի Հանրապետության արդարադատության նախարարության հարկադիր կատարումն ապահովող ծառայություն,</w:t>
      </w:r>
    </w:p>
    <w:p>
      <w:pPr>
        <w:pStyle w:val="a5"/>
        <w:numPr>
          <w:ilvl w:val="0"/>
          <w:numId w:val="25"/>
        </w:numPr>
        <w:shd w:val="clear" w:color="auto" w:fill="FFFFFF"/>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 xml:space="preserve">ՄՍ ծառայություն՝ </w:t>
      </w:r>
      <w:r>
        <w:rPr>
          <w:rFonts w:ascii="GHEA Grapalat" w:eastAsia="Calibri" w:hAnsi="GHEA Grapalat" w:cs="Calibri"/>
          <w:bCs/>
          <w:sz w:val="24"/>
          <w:szCs w:val="24"/>
          <w:lang w:val="hy-AM"/>
        </w:rPr>
        <w:t>Հայաստանի Հանրապետության միասնական սոցիալական ծառայություն։</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Միջոցառման շրջանակում </w:t>
      </w:r>
      <w:bookmarkStart w:id="2" w:name="_Hlk155443715"/>
      <w:r>
        <w:rPr>
          <w:rFonts w:ascii="GHEA Grapalat" w:eastAsia="Calibri" w:hAnsi="GHEA Grapalat" w:cs="Calibri"/>
          <w:bCs/>
          <w:sz w:val="24"/>
          <w:szCs w:val="24"/>
          <w:lang w:val="hy-AM"/>
        </w:rPr>
        <w:t xml:space="preserve">շահառուին տրվում է ֆինանսական աջակցություն՝ Շահառուի աշխատավարձից և դրան հավասարեցված վճարումներից </w:t>
      </w:r>
      <w:r>
        <w:rPr>
          <w:rFonts w:ascii="GHEA Grapalat" w:hAnsi="GHEA Grapalat"/>
          <w:sz w:val="24"/>
          <w:szCs w:val="24"/>
          <w:lang w:val="hy-AM"/>
        </w:rPr>
        <w:t xml:space="preserve">(քաղաքացիաիրավական պայմանագրի շրջանակներում ստացված եկամտից) </w:t>
      </w:r>
      <w:r>
        <w:rPr>
          <w:rFonts w:ascii="GHEA Grapalat" w:eastAsia="Calibri" w:hAnsi="GHEA Grapalat" w:cs="Calibri"/>
          <w:bCs/>
          <w:sz w:val="24"/>
          <w:szCs w:val="24"/>
          <w:lang w:val="hy-AM"/>
        </w:rPr>
        <w:t xml:space="preserve">հաշվարկված եկամտային հարկի գումարի 100%-ի չափով, որն ուղղվում է անհուսալի վարկային պարտավորության մարմանը։ </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lastRenderedPageBreak/>
        <w:t xml:space="preserve">Աջակցությունը տրամադրվում է առավելագույնը 24 ամիս ժամկետով՝ սկսած շահառու ճանաչվելուն հաջորդող ամսվա 1-ից, բայց ոչ ավել, քան անհուսալի վարկի ամբողջական մարումը, աջակցության՝ </w:t>
      </w:r>
      <w:r>
        <w:rPr>
          <w:rFonts w:ascii="GHEA Grapalat" w:hAnsi="GHEA Grapalat"/>
          <w:color w:val="000000" w:themeColor="text1"/>
          <w:sz w:val="24"/>
          <w:szCs w:val="24"/>
          <w:lang w:val="hy-AM"/>
        </w:rPr>
        <w:t>սույն որոշմամբ սահմանված հիմքով դադարեցվելը</w:t>
      </w:r>
      <w:r>
        <w:rPr>
          <w:rFonts w:ascii="GHEA Grapalat" w:eastAsia="Calibri" w:hAnsi="GHEA Grapalat" w:cs="Calibri"/>
          <w:bCs/>
          <w:sz w:val="24"/>
          <w:szCs w:val="24"/>
          <w:lang w:val="hy-AM"/>
        </w:rPr>
        <w:t xml:space="preserve"> </w:t>
      </w:r>
      <w:r>
        <w:rPr>
          <w:rFonts w:ascii="GHEA Grapalat" w:hAnsi="GHEA Grapalat"/>
          <w:color w:val="000000" w:themeColor="text1"/>
          <w:sz w:val="24"/>
          <w:szCs w:val="24"/>
          <w:lang w:val="hy-AM"/>
        </w:rPr>
        <w:t>կամ պարտավորության օրենքով սահմանված հիմքով դադարելը</w:t>
      </w:r>
      <w:r>
        <w:rPr>
          <w:rFonts w:ascii="GHEA Grapalat" w:eastAsia="Calibri" w:hAnsi="GHEA Grapalat" w:cs="Calibri"/>
          <w:bCs/>
          <w:sz w:val="24"/>
          <w:szCs w:val="24"/>
          <w:lang w:val="hy-AM"/>
        </w:rPr>
        <w:t>։</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Շահառու ճանաչվելու դեպքում Հայաստանի Հանրապետության արդարադատության նախարարության ՀԿԱ ծառայության կողմից </w:t>
      </w:r>
      <w:r>
        <w:rPr>
          <w:rFonts w:ascii="GHEA Grapalat" w:hAnsi="GHEA Grapalat"/>
          <w:sz w:val="24"/>
          <w:szCs w:val="24"/>
          <w:lang w:val="hy-AM"/>
        </w:rPr>
        <w:t xml:space="preserve">Շահառու նկատմամբ բանկի կամ վարկային կազմակերպության կողմից ներկայացված </w:t>
      </w:r>
      <w:r>
        <w:rPr>
          <w:rFonts w:ascii="GHEA Grapalat" w:eastAsia="Times New Roman" w:hAnsi="GHEA Grapalat" w:cs="Times New Roman"/>
          <w:sz w:val="24"/>
          <w:szCs w:val="24"/>
          <w:lang w:val="hy-AM" w:eastAsia="x-none"/>
        </w:rPr>
        <w:t xml:space="preserve">հարկադիր կատարման ենթակա ակտերի </w:t>
      </w:r>
      <w:r>
        <w:rPr>
          <w:rFonts w:ascii="GHEA Grapalat" w:hAnsi="GHEA Grapalat"/>
          <w:sz w:val="24"/>
          <w:szCs w:val="24"/>
          <w:lang w:val="hy-AM"/>
        </w:rPr>
        <w:t xml:space="preserve"> կատարման ընթացքում</w:t>
      </w:r>
      <w:r>
        <w:rPr>
          <w:rFonts w:ascii="GHEA Grapalat" w:eastAsia="Calibri" w:hAnsi="GHEA Grapalat" w:cs="Calibri"/>
          <w:bCs/>
          <w:sz w:val="24"/>
          <w:szCs w:val="24"/>
          <w:lang w:val="hy-AM"/>
        </w:rPr>
        <w:t xml:space="preserve"> Շահառուի աշխատավարձից </w:t>
      </w:r>
      <w:r>
        <w:rPr>
          <w:rFonts w:ascii="GHEA Grapalat" w:hAnsi="GHEA Grapalat"/>
          <w:sz w:val="24"/>
          <w:szCs w:val="24"/>
          <w:lang w:val="hy-AM"/>
        </w:rPr>
        <w:t>(քաղաքացիաիրավական պայմանագրի շրջանակներում ստացված եկամտից)</w:t>
      </w:r>
      <w:r>
        <w:rPr>
          <w:rFonts w:ascii="GHEA Grapalat" w:eastAsia="Calibri" w:hAnsi="GHEA Grapalat" w:cs="Calibri"/>
          <w:bCs/>
          <w:sz w:val="24"/>
          <w:szCs w:val="24"/>
          <w:lang w:val="hy-AM"/>
        </w:rPr>
        <w:t xml:space="preserve"> բռնագանձվող գումարի չափը սահմանվում է 20% (</w:t>
      </w:r>
      <w:r>
        <w:rPr>
          <w:rFonts w:ascii="GHEA Grapalat" w:hAnsi="GHEA Grapalat"/>
          <w:color w:val="000000" w:themeColor="text1"/>
          <w:sz w:val="24"/>
          <w:szCs w:val="24"/>
          <w:lang w:val="hy-AM"/>
        </w:rPr>
        <w:t>եթե օրենքով կամ կատարման ենթակա ակտով բռնագանձման առավել նվազ չափ սահմանված չէ)</w:t>
      </w:r>
      <w:r>
        <w:rPr>
          <w:rFonts w:ascii="GHEA Grapalat" w:eastAsia="Calibri" w:hAnsi="GHEA Grapalat" w:cs="Calibri"/>
          <w:bCs/>
          <w:sz w:val="24"/>
          <w:szCs w:val="24"/>
          <w:lang w:val="hy-AM"/>
        </w:rPr>
        <w:t>՝ 24 ամիս ժամկետով, սկսած շահառու ճանաչվելու վերաբերյալ տեղեկատվությունը ստանալուն հաջորդող ամսվա 1-ից։</w:t>
      </w:r>
      <w:bookmarkEnd w:id="2"/>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Սույն Միջոցառման շրջանակում անձը կարող է ճանաչվել Շահառու միայն մեկ անգամ և չի կարող կրկին դիմել Միջոցառման Շահառու դառնալու համար։</w:t>
      </w:r>
    </w:p>
    <w:p>
      <w:pPr>
        <w:pStyle w:val="a5"/>
        <w:numPr>
          <w:ilvl w:val="0"/>
          <w:numId w:val="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Շահառուի աջակցությունը դադարում է, եթե Շահառու դառնալուց հետո 24 ամսվա ընթացքում, մինչև անհուսալի վարկի ամբողջական մարումը, 3 ամիս անընդմեջ դադարում է լինել (չի հանդիսանում) Աշխատող։ Տվյալ դեպքում Վարկավորողը կարող է վերականգնել սույն Ծրագրի շրջանակում ներված պարտավորությունները, եթե այդպիսիք եղել են։</w:t>
      </w:r>
    </w:p>
    <w:p>
      <w:pPr>
        <w:ind w:firstLine="426"/>
        <w:rPr>
          <w:rFonts w:ascii="GHEA Grapalat" w:eastAsia="Times New Roman" w:hAnsi="GHEA Grapalat" w:cs="Calibri"/>
          <w:sz w:val="24"/>
          <w:szCs w:val="24"/>
          <w:lang w:val="hy-AM"/>
        </w:rPr>
      </w:pPr>
      <w:r>
        <w:rPr>
          <w:rFonts w:ascii="GHEA Grapalat" w:eastAsia="Times New Roman" w:hAnsi="GHEA Grapalat" w:cs="Calibri"/>
          <w:sz w:val="24"/>
          <w:szCs w:val="24"/>
          <w:lang w:val="hy-AM"/>
        </w:rPr>
        <w:br w:type="page"/>
      </w:r>
    </w:p>
    <w:p>
      <w:pPr>
        <w:jc w:val="right"/>
        <w:rPr>
          <w:rFonts w:ascii="GHEA Grapalat" w:eastAsia="Times New Roman" w:hAnsi="GHEA Grapalat" w:cs="Times New Roman"/>
          <w:sz w:val="24"/>
          <w:szCs w:val="24"/>
          <w:shd w:val="clear" w:color="auto" w:fill="FFFFFF"/>
          <w:lang w:val="hy-AM"/>
        </w:rPr>
      </w:pPr>
      <w:r>
        <w:rPr>
          <w:rFonts w:ascii="GHEA Grapalat" w:eastAsia="Times New Roman" w:hAnsi="GHEA Grapalat" w:cs="Calibri"/>
          <w:sz w:val="24"/>
          <w:szCs w:val="24"/>
          <w:lang w:val="hy-AM"/>
        </w:rPr>
        <w:lastRenderedPageBreak/>
        <w:t>Հավելված</w:t>
      </w:r>
      <w:r>
        <w:rPr>
          <w:rFonts w:ascii="GHEA Grapalat" w:eastAsia="Times New Roman" w:hAnsi="GHEA Grapalat" w:cs="Times New Roman"/>
          <w:sz w:val="24"/>
          <w:szCs w:val="24"/>
          <w:shd w:val="clear" w:color="auto" w:fill="FFFFFF"/>
          <w:lang w:val="hy-AM"/>
        </w:rPr>
        <w:t xml:space="preserve"> 2</w:t>
      </w:r>
    </w:p>
    <w:p>
      <w:pPr>
        <w:shd w:val="clear" w:color="auto" w:fill="FFFFFF"/>
        <w:spacing w:after="0" w:line="360" w:lineRule="auto"/>
        <w:ind w:firstLine="375"/>
        <w:jc w:val="right"/>
        <w:rPr>
          <w:rFonts w:ascii="GHEA Grapalat" w:eastAsia="Times New Roman" w:hAnsi="GHEA Grapalat" w:cs="Calibri"/>
          <w:sz w:val="24"/>
          <w:szCs w:val="24"/>
          <w:lang w:val="hy-AM"/>
        </w:rPr>
      </w:pPr>
      <w:r>
        <w:rPr>
          <w:rFonts w:ascii="GHEA Grapalat" w:eastAsia="Times New Roman" w:hAnsi="GHEA Grapalat" w:cs="Calibri"/>
          <w:sz w:val="24"/>
          <w:szCs w:val="24"/>
          <w:lang w:val="hy-AM"/>
        </w:rPr>
        <w:t>ՀՀ կառավարության 2024 թվականի</w:t>
      </w:r>
    </w:p>
    <w:p>
      <w:pPr>
        <w:pStyle w:val="mechtex"/>
        <w:tabs>
          <w:tab w:val="left" w:pos="810"/>
        </w:tabs>
        <w:spacing w:line="360" w:lineRule="auto"/>
        <w:ind w:left="1440"/>
        <w:jc w:val="right"/>
        <w:rPr>
          <w:rFonts w:ascii="GHEA Grapalat" w:hAnsi="GHEA Grapalat" w:cs="Calibri"/>
          <w:sz w:val="24"/>
          <w:lang w:val="hy-AM"/>
        </w:rPr>
      </w:pPr>
      <w:r>
        <w:rPr>
          <w:rFonts w:ascii="GHEA Grapalat" w:hAnsi="GHEA Grapalat" w:cs="Calibri"/>
          <w:sz w:val="24"/>
          <w:lang w:val="hy-AM"/>
        </w:rPr>
        <w:t xml:space="preserve">___________ ___-ի N ____ -Լ որոշման  </w:t>
      </w:r>
    </w:p>
    <w:p>
      <w:pPr>
        <w:pStyle w:val="mechtex"/>
        <w:tabs>
          <w:tab w:val="left" w:pos="810"/>
        </w:tabs>
        <w:spacing w:line="360" w:lineRule="auto"/>
        <w:ind w:left="1440"/>
        <w:jc w:val="left"/>
        <w:rPr>
          <w:rFonts w:ascii="GHEA Grapalat" w:eastAsia="Tahoma" w:hAnsi="GHEA Grapalat"/>
          <w:b/>
          <w:bCs/>
          <w:sz w:val="24"/>
          <w:lang w:val="hy-AM"/>
        </w:rPr>
      </w:pPr>
    </w:p>
    <w:p>
      <w:pPr>
        <w:pStyle w:val="mechtex"/>
        <w:tabs>
          <w:tab w:val="left" w:pos="810"/>
        </w:tabs>
        <w:spacing w:after="240" w:line="360" w:lineRule="auto"/>
        <w:rPr>
          <w:rFonts w:ascii="GHEA Grapalat" w:eastAsia="Calibri" w:hAnsi="GHEA Grapalat"/>
          <w:b/>
          <w:bCs/>
          <w:sz w:val="24"/>
          <w:shd w:val="clear" w:color="auto" w:fill="FFFFFF"/>
          <w:lang w:val="hy-AM"/>
        </w:rPr>
      </w:pPr>
      <w:r>
        <w:rPr>
          <w:rFonts w:ascii="GHEA Grapalat" w:eastAsia="Calibri" w:hAnsi="GHEA Grapalat"/>
          <w:b/>
          <w:bCs/>
          <w:sz w:val="24"/>
          <w:shd w:val="clear" w:color="auto" w:fill="FFFFFF"/>
          <w:lang w:val="hy-AM"/>
        </w:rPr>
        <w:t>ԿԱՐԳ</w:t>
      </w:r>
    </w:p>
    <w:p>
      <w:pPr>
        <w:pStyle w:val="mechtex"/>
        <w:tabs>
          <w:tab w:val="left" w:pos="810"/>
        </w:tabs>
        <w:spacing w:after="240" w:line="360" w:lineRule="auto"/>
        <w:rPr>
          <w:rFonts w:ascii="GHEA Grapalat" w:eastAsia="Tahoma" w:hAnsi="GHEA Grapalat"/>
          <w:b/>
          <w:bCs/>
          <w:sz w:val="24"/>
          <w:lang w:val="hy-AM"/>
        </w:rPr>
      </w:pPr>
      <w:r>
        <w:rPr>
          <w:rFonts w:ascii="GHEA Grapalat" w:eastAsia="Calibri" w:hAnsi="GHEA Grapalat"/>
          <w:b/>
          <w:bCs/>
          <w:sz w:val="24"/>
          <w:shd w:val="clear" w:color="auto" w:fill="FFFFFF"/>
          <w:lang w:val="hy-AM"/>
        </w:rPr>
        <w:t>ԱՆՀՈՒՍԱԼԻ ՎԱՐԿԵՐ ՈՒՆԵՑՈՂ</w:t>
      </w:r>
      <w:r>
        <w:rPr>
          <w:rFonts w:ascii="GHEA Grapalat" w:hAnsi="GHEA Grapalat"/>
          <w:color w:val="000000"/>
          <w:sz w:val="21"/>
          <w:lang w:val="hy-AM"/>
        </w:rPr>
        <w:t xml:space="preserve"> </w:t>
      </w:r>
      <w:r>
        <w:rPr>
          <w:rFonts w:ascii="GHEA Grapalat" w:eastAsia="Calibri" w:hAnsi="GHEA Grapalat"/>
          <w:b/>
          <w:bCs/>
          <w:sz w:val="24"/>
          <w:shd w:val="clear" w:color="auto" w:fill="FFFFFF"/>
          <w:lang w:val="hy-AM"/>
        </w:rPr>
        <w:t>ԱՆՁԱՆՑ ՏՆՏԵՍԱԿԱՆ ԱԿՏԻՎՈՒԹՅԱՆ ԽԹԱՆՄԱՆ ՄԻՋՈՑԱՌՄԱՆ ԻՐԱԿԱՆԱՑՄԱՆ</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Սույն կարգով կարգավորվում են Շահառուներին Միջոցառման շրջանակում աջակցություն տրամադրելու հետ կապված հարաբերությունները:</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Սույն կարգում օգտագործվող հասկացություններն ու հապավումներն ունեն Միջոցառման մեջ տրված իմաստները։</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Միջոցառման շրջանակում աջակցություն ստանալու նպատակով անձը.</w:t>
      </w:r>
    </w:p>
    <w:p>
      <w:pPr>
        <w:pStyle w:val="a5"/>
        <w:numPr>
          <w:ilvl w:val="0"/>
          <w:numId w:val="34"/>
        </w:numPr>
        <w:shd w:val="clear" w:color="auto" w:fill="FFFFFF"/>
        <w:tabs>
          <w:tab w:val="left" w:pos="709"/>
        </w:tabs>
        <w:spacing w:after="0" w:line="360" w:lineRule="auto"/>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առցանց եղանակով դիմում ներկայացնելու դեպքում</w:t>
      </w:r>
      <w:r>
        <w:rPr>
          <w:rFonts w:ascii="GHEA Grapalat" w:eastAsia="Calibri" w:hAnsi="GHEA Grapalat" w:cs="Calibri"/>
          <w:bCs/>
          <w:sz w:val="24"/>
          <w:szCs w:val="24"/>
          <w:lang w:val="hy-AM"/>
        </w:rPr>
        <w:t xml:space="preserve">. մուտք է գործում </w:t>
      </w:r>
      <w:hyperlink r:id="rId8" w:history="1">
        <w:r>
          <w:rPr>
            <w:rStyle w:val="af"/>
            <w:rFonts w:ascii="GHEA Grapalat" w:eastAsia="Calibri" w:hAnsi="GHEA Grapalat" w:cs="Calibri"/>
            <w:bCs/>
            <w:sz w:val="24"/>
            <w:szCs w:val="24"/>
            <w:lang w:val="hy-AM"/>
          </w:rPr>
          <w:t>www.e-social.am</w:t>
        </w:r>
      </w:hyperlink>
      <w:r>
        <w:rPr>
          <w:rFonts w:ascii="GHEA Grapalat" w:eastAsia="Calibri" w:hAnsi="GHEA Grapalat" w:cs="Calibri"/>
          <w:bCs/>
          <w:sz w:val="24"/>
          <w:szCs w:val="24"/>
          <w:lang w:val="hy-AM"/>
        </w:rPr>
        <w:t xml:space="preserve"> կայքէջ, որտեղ ներկայացնում է դիմում՝ համապատասխան դաշտերում լրացնելով իր անունը, ազգանունը, հանրային ծառայության համարանիշը, տեղական բջջային հեռախոսահամարը և էլեկտրոնային փոստի հասցեն, ինչպես նաև նշում է կատարում Միջոցառման շահառու դառնալու համար իր տվյալները մշակելու, օգտագործելու և փոխանցելու վերաբերյալ համաձայնություն տալու մասին,</w:t>
      </w:r>
    </w:p>
    <w:p>
      <w:pPr>
        <w:pStyle w:val="a5"/>
        <w:numPr>
          <w:ilvl w:val="0"/>
          <w:numId w:val="34"/>
        </w:numPr>
        <w:shd w:val="clear" w:color="auto" w:fill="FFFFFF"/>
        <w:tabs>
          <w:tab w:val="left" w:pos="709"/>
        </w:tabs>
        <w:spacing w:after="0" w:line="360" w:lineRule="auto"/>
        <w:jc w:val="both"/>
        <w:rPr>
          <w:rFonts w:ascii="GHEA Grapalat" w:eastAsia="Calibri" w:hAnsi="GHEA Grapalat" w:cs="Calibri"/>
          <w:bCs/>
          <w:sz w:val="24"/>
          <w:szCs w:val="24"/>
          <w:lang w:val="hy-AM"/>
        </w:rPr>
      </w:pPr>
      <w:r>
        <w:rPr>
          <w:rFonts w:ascii="GHEA Grapalat" w:eastAsia="Calibri" w:hAnsi="GHEA Grapalat" w:cs="Calibri"/>
          <w:b/>
          <w:sz w:val="24"/>
          <w:szCs w:val="24"/>
          <w:lang w:val="hy-AM"/>
        </w:rPr>
        <w:t>ՄՍ ծառայությունում դիմում ներկայացնելու դեպքում</w:t>
      </w:r>
      <w:r>
        <w:rPr>
          <w:rFonts w:ascii="GHEA Grapalat" w:eastAsia="Calibri" w:hAnsi="GHEA Grapalat" w:cs="Calibri"/>
          <w:bCs/>
          <w:sz w:val="24"/>
          <w:szCs w:val="24"/>
          <w:lang w:val="hy-AM"/>
        </w:rPr>
        <w:t>. ՄՍ ծառայության ցանկացած տարածքային ստորաբաժանումում ներկայացնում է գրավոր համաձայնություն՝ իր վերաբերյալ սույն կետի 1-ին ենթակետում նշված տվյալները մշակելու համար։</w:t>
      </w:r>
    </w:p>
    <w:p>
      <w:pPr>
        <w:shd w:val="clear" w:color="auto" w:fill="FFFFFF"/>
        <w:tabs>
          <w:tab w:val="left" w:pos="709"/>
        </w:tabs>
        <w:spacing w:after="0" w:line="360" w:lineRule="auto"/>
        <w:ind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Առցանց եղանակով ներկայացված դիմումը հաստատվում է դիմումատուի բջջային հեռախոսահամարի և սարքի կիրառմամբ՝ «Ես Եմ» նույնականացման հարթակի միջոցով, իսկ առձեռն դիմումը՝ դիմումատուի ստորագրությամբ։</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ՄՍ ծառայությունում դիմում ներկայացվելու դեպքում ՄՍ ծառայության աշխատակիցը սույն ծրագրի համար իրեն տրված օգտանվան և գաղտնաբառի կիրառմամբ դիմողի՝ սույն </w:t>
      </w:r>
      <w:r>
        <w:rPr>
          <w:rFonts w:ascii="GHEA Grapalat" w:eastAsia="Calibri" w:hAnsi="GHEA Grapalat" w:cs="Calibri"/>
          <w:bCs/>
          <w:sz w:val="24"/>
          <w:szCs w:val="24"/>
          <w:lang w:val="hy-AM"/>
        </w:rPr>
        <w:lastRenderedPageBreak/>
        <w:t>կարգի 3-րդ կետի 1-ին ենթակետում նշված տվյալները մուտքագրում և նույն կետի 2-րդ ենթակետով նախատեսված համաձայնության ստորագրված տարբերակը լուսապատճենում և կցում է ծրագրային համակարգ։ Դիմումն ընդունվելուց հետո համակարգն ինքնաշխատ եղանակով տվյալների շտեմարանների փոխգործելիության միջոցով իրականացնում է դիմումատուի կողմից ներկայացված տվյալների ստուգում՝ հետևյալ ուղղություններով և հաջորդականությամբ. ինքնաշխատ հարցմամբ՝</w:t>
      </w:r>
    </w:p>
    <w:p>
      <w:pPr>
        <w:pStyle w:val="a5"/>
        <w:numPr>
          <w:ilvl w:val="0"/>
          <w:numId w:val="2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բնակչության պետական ռեգիստրից ստուգվում է դիմումատուի անվան, ազգանվան և ՀԾՀ-ի համապատասխանությունը, դիմումատուի՝ Հայաստանի Հանրապետության քաղաքացի լինելու կամ Հայաստանի Հանրապետության ժամանակավոր պաշտպանության կարգավիճակ ունենալու հանգամանքը,</w:t>
      </w:r>
    </w:p>
    <w:p>
      <w:pPr>
        <w:pStyle w:val="a5"/>
        <w:numPr>
          <w:ilvl w:val="0"/>
          <w:numId w:val="2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Անձնավորված հաշվառման համակարգից ստուգվում է դիմումատուի՝ դիմումը ներկայացնելու օրվա դրությամբ Աշխատող լինելու հանգամանքը,</w:t>
      </w:r>
    </w:p>
    <w:p>
      <w:pPr>
        <w:pStyle w:val="a5"/>
        <w:numPr>
          <w:ilvl w:val="0"/>
          <w:numId w:val="29"/>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Վարկային բյուրոյից ստացվում են դիմումատուի անհուսալի վարկերի վերաբերյալ տեղեկատվությունը, մասնավորապես.</w:t>
      </w:r>
    </w:p>
    <w:p>
      <w:pPr>
        <w:pStyle w:val="a5"/>
        <w:shd w:val="clear" w:color="auto" w:fill="FFFFFF"/>
        <w:tabs>
          <w:tab w:val="left" w:pos="709"/>
        </w:tabs>
        <w:spacing w:after="0" w:line="360" w:lineRule="auto"/>
        <w:ind w:left="78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 միայն անհուսալի վարկ(եր) ունենալու մասին փաստը,</w:t>
      </w:r>
    </w:p>
    <w:p>
      <w:pPr>
        <w:pStyle w:val="a5"/>
        <w:shd w:val="clear" w:color="auto" w:fill="FFFFFF"/>
        <w:tabs>
          <w:tab w:val="left" w:pos="709"/>
        </w:tabs>
        <w:spacing w:after="0" w:line="360" w:lineRule="auto"/>
        <w:ind w:left="78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բ. վարկատու կազմակերպություն(ներ)ը, </w:t>
      </w:r>
    </w:p>
    <w:p>
      <w:pPr>
        <w:pStyle w:val="a5"/>
        <w:shd w:val="clear" w:color="auto" w:fill="FFFFFF"/>
        <w:tabs>
          <w:tab w:val="left" w:pos="709"/>
        </w:tabs>
        <w:spacing w:after="0" w:line="360" w:lineRule="auto"/>
        <w:ind w:left="78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գ. անհուսալի վարկերի քանակը, </w:t>
      </w:r>
    </w:p>
    <w:p>
      <w:pPr>
        <w:pStyle w:val="a5"/>
        <w:shd w:val="clear" w:color="auto" w:fill="FFFFFF"/>
        <w:tabs>
          <w:tab w:val="left" w:pos="709"/>
        </w:tabs>
        <w:spacing w:after="0" w:line="360" w:lineRule="auto"/>
        <w:ind w:left="78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դ. անհուսալի վարկ(եր)ի հանրագումարը,</w:t>
      </w:r>
    </w:p>
    <w:p>
      <w:pPr>
        <w:pStyle w:val="a5"/>
        <w:shd w:val="clear" w:color="auto" w:fill="FFFFFF"/>
        <w:tabs>
          <w:tab w:val="left" w:pos="709"/>
        </w:tabs>
        <w:spacing w:after="0" w:line="360" w:lineRule="auto"/>
        <w:ind w:left="78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ե. յուրաքանչյուր անհուսալի վարկի նույնականացման կոդը։</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Սույն կարգի 4-րդ կետով նախատեսված հաջորդականությամբ ստուգման արդյունքում անհամապատասխա</w:t>
      </w:r>
      <w:r>
        <w:rPr>
          <w:rFonts w:ascii="GHEA Grapalat" w:eastAsia="Calibri" w:hAnsi="GHEA Grapalat" w:cs="Calibri"/>
          <w:bCs/>
          <w:sz w:val="24"/>
          <w:szCs w:val="24"/>
          <w:lang w:val="hy-AM"/>
        </w:rPr>
        <w:softHyphen/>
        <w:t>նություն հայտնաբերվելու դեպքում դադարեցվում է հաջորդող ստուգումների իրականացումը և համարվում է դիմումը մերժված։ Դիմումը մերժվում է նաև, եթե դիմումատուն արդեն հանդիսանում է Շահառու։ Դիմումի մերժման և դրա պատճառների մասին դիմումատուի էլեկտրոնային փոստին և բջջային հեռախոսահամարին ուղարկվում է ինքնաշխատ ծանուցում։</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Սույն կարգի 4-րդ կետով նախատեսված ինքնաշխատ ստուգումների արդյունքում անհամապատասխանություններ չհայտնաբերվելու դեպքում (այդ թվում, եթե դիմումատուն </w:t>
      </w:r>
      <w:r>
        <w:rPr>
          <w:rFonts w:ascii="GHEA Grapalat" w:eastAsia="Calibri" w:hAnsi="GHEA Grapalat" w:cs="Calibri"/>
          <w:bCs/>
          <w:sz w:val="24"/>
          <w:szCs w:val="24"/>
          <w:lang w:val="hy-AM"/>
        </w:rPr>
        <w:lastRenderedPageBreak/>
        <w:t>դիմել էր ավելի վաղ և չէր ճանաչվել Շահառու)՝ դիմումի բավարարման և Շահառու ճանաչվելու մասին դիմումատուի էլեկտրոնային փոստին և բջջային հեռախոսահամարին ուղարկվում է ինքնաշխատ ծանուցում։</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bookmarkStart w:id="3" w:name="_Hlk175153420"/>
      <w:r>
        <w:rPr>
          <w:rFonts w:ascii="GHEA Grapalat" w:eastAsia="Calibri" w:hAnsi="GHEA Grapalat" w:cs="Calibri"/>
          <w:bCs/>
          <w:sz w:val="24"/>
          <w:szCs w:val="24"/>
          <w:lang w:val="hy-AM"/>
        </w:rPr>
        <w:t>Միջոցառումն ուժի մեջ մտնելուց հետո 5-րդ աշխատանքային օրվանից յուրաքանչյուր օր  Համակարգի միջոցով ՄՍ ծառայության կողմից ձևավորվում է Շահառուների ցուցակը, որը յուրաքանչյուր օր «Microsoﬅ Excel» ծրագրի ձևաչափով փոխադարձ համաձայնությամբ էլեկտրոնային որևէ եղանակով ուղարկվում է ՀԿԱ ծառայությանը, որի հիման վրա ՀԿԱ ծառայությունը Շահառուների ցուցակը ստանալուց հետո 3 աշխատանքային օրվա ընթացքում Վարկավորողի կողմից ներկայացված հարկադիր կատարման ենթակա ակտերի կատարման ընթացքում Շահառուի (պարտապանի) աշխատավարձից և դրան հավասարեցված վճարումներից (քաղաքացիաիրավական պայմանագրի շրջանակներում ստացված եկամտից) պահվող (բռնագանձվող) չափը սահմանում է 20%, եթե օրենքով կամ կատարման ենթակա ակտով բռնագանձման առավել նվազ չափ սահմանված չէ։ Սահմանված բռնագանձման նոր չափը Շահառուների մասով կիրառվում է ՀԿԱ ծառայության կողմից Շահառուների ցուցակը ստանալուն հաջորդող ամսվա 1-ից և գործում է 24 ամիս ժամկետով։</w:t>
      </w:r>
    </w:p>
    <w:bookmarkEnd w:id="3"/>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Միասնական սոցիալական ծառայությունը յուրաքանչյուր ամսվա 25-ին Համակարգի միջոցով իրականացնում է Շահառուների՝ աշխատավարձի և դրան հավասարեցված այլ վճարումների (քաղաքացիաիրավական պայմանագրի շրջանակներում ստացված եկամտի) գծով նախորդ ամսվա համար հաշվարկված եկամտային հարկի գումարի հարցում, իսկ արդյունքները ինքնաշխատ պահպանվում են Համակարգում՝ Շահառուների շտեմարանում։ Ընդ որում, նշված գործողության հետ մեկտեղ Համակարգն ինքնաշխատ իրականացնում է շտեմարանում առկա Շահառուների տվյալների թարմացում, և, եթե ըստ թարմացված տվյալների Շահառուն այլևս չունի անհուսալի վարկ (ամբողջությամբ մարվել է անհուսալի վարկը կամ օրենքով սահմանված հիմքով պարտավորությունը դադարել է), ապա Շահառուն շտեմարանում ստանում է «Ավարտվածի» կարգավիճակ, և այդ պահից դադարում է Շահառուի գծով աջակցության տրամադրումը։ «Ավարտված» կարգավիճակով Շահառուների մասով Համակարգում հետագա հարցումներ և թարմացումներ չեն իրականացվում։</w:t>
      </w:r>
    </w:p>
    <w:p>
      <w:pPr>
        <w:pStyle w:val="a5"/>
        <w:numPr>
          <w:ilvl w:val="0"/>
          <w:numId w:val="27"/>
        </w:numPr>
        <w:shd w:val="clear" w:color="auto" w:fill="FFFFFF"/>
        <w:tabs>
          <w:tab w:val="left" w:pos="709"/>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lastRenderedPageBreak/>
        <w:t>Սույն կարգի 8-րդ կետում նախատեսված գործողությունը կատարելուց հետո 1 աշխատանքային օրվա ընթացքում ՄՍ ծառայությունը Համակարգում ինքնաշխատ եղանակով ձևավորում է աջակցություն ստացող Շահառուների ցուցակը։ Շահառուների ցուցակը կազմվում է «Microsoﬅ Excel» ծրագրի ձևաչափով, որում ներառվում են հետևյալ տվյալները.</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 xml:space="preserve">Շահառուի անունը, ազգանունը (հայրանունը), </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ծննդյան օրը, ամիսը, տարին,</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հանրային ծառայությունների համարանիշը կամ հանրային ծառայությունների համարանիշ չստանալու վերաբերյալ տեղեկանքի համարը,</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Վարկավորող յուրաքանչյուր կազմակերպության անվանումը, որտեղ Շահառուն ունի անհուսալի վարկ,</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Յուրաքանչյուր անհուսալի վարկի վարկային կոդը,</w:t>
      </w:r>
    </w:p>
    <w:p>
      <w:pPr>
        <w:pStyle w:val="a5"/>
        <w:numPr>
          <w:ilvl w:val="0"/>
          <w:numId w:val="31"/>
        </w:numPr>
        <w:shd w:val="clear" w:color="auto" w:fill="FFFFFF"/>
        <w:tabs>
          <w:tab w:val="left" w:pos="450"/>
        </w:tabs>
        <w:spacing w:after="0" w:line="360" w:lineRule="auto"/>
        <w:ind w:left="0" w:firstLine="450"/>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անհուսալի վարկի մարմանն ուղղվող աջակցության գումարի չափը (հաշվարկված եկամտային հարկի գումարի 100%-ը):</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Շահառուների աջակցության ցուցակը 3 աշխատանքային օրվա ընթացքում էլեկտրոնային տարբերակով Հայաստանի Հանրապետության կենտրոնական բանկի կողմից սահմանած միջոցներով (Սի-Բի-Էյ-Նեթ ֆինանսական տեղեկատվության փոխանակման համակարգ) ուղարկում է համապատասխան բանկերին և վարկային կազմակերպություններին, որից հետո նույն աշխատանքային օրվա ընթացքում իրականացնում է աջակցության գումարների փոխանցումը բանկերի և վարկային կազմակերպությունների բանկային հաշիվներին։ Ընդ որում, համաձայն Համակարգի շտեմարանի տվյալների, եթե նույն Շահառուն ունի անհուսալի վարկեր մեկից ավել Վարկավորողի մոտ, ապա շտեմարանում տվյալ Շահառուի մասով ձևավորվող ցուցակում տվյալներն ինքնաշխատ գրանցվում են՝ ըստ Վարկավորողի։</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Շահառուին տրվող աջակցության գումարը Վարկավորողի կողմից ուղղվում է Շահառուի համապատասխան վարկային հաշվին, իսկ եթե նույն Վարկավորողի մոտ Շահառուն ունի անհուսալի մի քանի վարկ, ապա բանկը աջակցության գումարը ուղղել իր հայեցողությամբ ընտրված անհուսալի վարկի մարմանը:</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lastRenderedPageBreak/>
        <w:t>Մեկից ավել Վարկավորողի մոտ անհուսալի վարկեր ունենալու դեպքում՝ աջակցության գումարները վճարման ցուցակներում ինքնաշխատ բաշխվում են համամասնական չափերով` ըստ յուրաքանչյուր Վարկավորողի մոտ ունեցած մասնաբաժնի՝ ընդհանուր վարկային բեռի մեջ։</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Յուրաքանչյուր վարկի մարմանն ուղղվող աջակցության գումարը Վարկավորողի կողմից ուղղվում է անհուսալի վարկի մարմանը՝ մինչև աջակցության գումարի ստացմանը հաջորդող աշխատանքային օրվա ավարտը։</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Եթե անհուսալի վարկի մարմանն ուղղվող աջակցության գումարը գերազանցում է անհուսալի վարկի ամբողջական մարման համար անհրաժեշտ մեծությունը կամ անհուսալի վարկն ամբողջությամբ մարված է կամ օրենքով սահմանված հիմքով պարտավորությունը դադարել է կամ որևէ պատճառով (տեխնիկական կամ այլ) վարկավորողի կողմից հնարավոր չէ գումարը փոխանցել Շահառուի վարկային հաշվին, ապա վարկավորողը ավել փոխանցված գումարը հետ է վերադարձնում Հայաստանի Հանրապետության պետական բյուջե՝ նույն եղանակով, ինչպես որ ստացել է ՄՍ ծառայության կողմից ։</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Աջակցության տրամադրումը դադարեցվում է, եթե ամբողջությամբ կատարվել է անհուսալի վարկային պարտավորությունը, լրացել է աջակցության տրամադրման ժամկետը, Շահառու դառնալուց հետո 24 ամսվա ընթացքում, մինչև անհուսալի վարկի ամբողջական մարումը, Շահառուն 3 ամիս անդադար դադարել է լինել (չի հանդիսացել) Աշխատող կամ օրենքով սահմանված հիմքով պարտավորությունը դադարել է։ Աջակցության դադարեցման մասին ՀԿԱ ծառայությունը փոխադարձ համաձայնությամբ էլեկտրոնային որևէ եղանակով 1 օրվա ընթացքում ստանում է տեղեկատվություն՝ «Microsoﬅ Excel» ծրագրի ձևաչափով։</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Աջակցության դադարեցմանը հաջորդող ամսվա 1-ից ՀԿԱ ծառայությունը վերացնում է Շահառուի համար սույն կարգի 7-րդ կետով նախատեսված բռնագանձման չափի կիրառումը և սահմանում է բռնագանձման ընդհանուր կարգով նախատեսված չափը։</w:t>
      </w:r>
    </w:p>
    <w:p>
      <w:pPr>
        <w:pStyle w:val="a5"/>
        <w:numPr>
          <w:ilvl w:val="0"/>
          <w:numId w:val="27"/>
        </w:numPr>
        <w:shd w:val="clear" w:color="auto" w:fill="FFFFFF"/>
        <w:tabs>
          <w:tab w:val="left" w:pos="851"/>
        </w:tabs>
        <w:spacing w:after="0" w:line="360" w:lineRule="auto"/>
        <w:ind w:left="0" w:firstLine="426"/>
        <w:jc w:val="both"/>
        <w:rPr>
          <w:rFonts w:ascii="GHEA Grapalat" w:eastAsia="Calibri" w:hAnsi="GHEA Grapalat" w:cs="Calibri"/>
          <w:bCs/>
          <w:sz w:val="24"/>
          <w:szCs w:val="24"/>
          <w:lang w:val="hy-AM"/>
        </w:rPr>
      </w:pPr>
      <w:r>
        <w:rPr>
          <w:rFonts w:ascii="GHEA Grapalat" w:eastAsia="Calibri" w:hAnsi="GHEA Grapalat" w:cs="Calibri"/>
          <w:bCs/>
          <w:sz w:val="24"/>
          <w:szCs w:val="24"/>
          <w:lang w:val="hy-AM"/>
        </w:rPr>
        <w:t>Միջոցառման շրջանակում ավել վճարված դրամական աջակցությունը ենթակա է հետգանձման օրենսդրությամբ սահմանված կարգով, եթե անձը ինքը չի վերականգնում այդ գումարը պետական բյուջե և վճարման վերաբերյալ համապատասխան հիմքերը ներկայացնում ՄՍ ծառայություն:</w:t>
      </w:r>
    </w:p>
    <w:sectPr>
      <w:pgSz w:w="12240" w:h="15840"/>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12C7"/>
    <w:multiLevelType w:val="hybridMultilevel"/>
    <w:tmpl w:val="5AC22C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14A57"/>
    <w:multiLevelType w:val="hybridMultilevel"/>
    <w:tmpl w:val="4734F5FE"/>
    <w:lvl w:ilvl="0" w:tplc="4AC6ED5A">
      <w:start w:val="1"/>
      <w:numFmt w:val="decimal"/>
      <w:lvlText w:val="%1)"/>
      <w:lvlJc w:val="left"/>
      <w:pPr>
        <w:ind w:left="1287" w:hanging="360"/>
      </w:pPr>
      <w:rPr>
        <w:rFonts w:ascii="GHEA Grapalat" w:hAnsi="GHEA Grapalat" w:cs="Calibri"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5EF62B1"/>
    <w:multiLevelType w:val="hybridMultilevel"/>
    <w:tmpl w:val="5704B0B4"/>
    <w:lvl w:ilvl="0" w:tplc="7414975E">
      <w:start w:val="3"/>
      <w:numFmt w:val="decimal"/>
      <w:lvlText w:val="%1."/>
      <w:lvlJc w:val="left"/>
      <w:pPr>
        <w:ind w:left="720" w:hanging="360"/>
      </w:pPr>
      <w:rPr>
        <w:rFonts w:cs="IRTE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B46FB"/>
    <w:multiLevelType w:val="hybridMultilevel"/>
    <w:tmpl w:val="3D44CD6A"/>
    <w:lvl w:ilvl="0" w:tplc="FCE45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773D24"/>
    <w:multiLevelType w:val="hybridMultilevel"/>
    <w:tmpl w:val="954276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970AF3"/>
    <w:multiLevelType w:val="hybridMultilevel"/>
    <w:tmpl w:val="7FB26D6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0CDF780F"/>
    <w:multiLevelType w:val="hybridMultilevel"/>
    <w:tmpl w:val="0690FAFE"/>
    <w:lvl w:ilvl="0" w:tplc="3868739E">
      <w:start w:val="3"/>
      <w:numFmt w:val="bullet"/>
      <w:lvlText w:val="-"/>
      <w:lvlJc w:val="left"/>
      <w:pPr>
        <w:ind w:left="786" w:hanging="360"/>
      </w:pPr>
      <w:rPr>
        <w:rFonts w:ascii="GHEA Grapalat" w:eastAsia="Calibri" w:hAnsi="GHEA Grapalat" w:cs="Calibr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197088C"/>
    <w:multiLevelType w:val="hybridMultilevel"/>
    <w:tmpl w:val="20085E40"/>
    <w:lvl w:ilvl="0" w:tplc="04090001">
      <w:start w:val="1"/>
      <w:numFmt w:val="bullet"/>
      <w:lvlText w:val=""/>
      <w:lvlJc w:val="left"/>
      <w:pPr>
        <w:ind w:left="735" w:hanging="360"/>
      </w:pPr>
      <w:rPr>
        <w:rFonts w:ascii="Symbol" w:hAnsi="Symbol" w:hint="default"/>
      </w:rPr>
    </w:lvl>
    <w:lvl w:ilvl="1" w:tplc="04090003">
      <w:start w:val="1"/>
      <w:numFmt w:val="bullet"/>
      <w:lvlText w:val="o"/>
      <w:lvlJc w:val="left"/>
      <w:pPr>
        <w:ind w:left="1455" w:hanging="360"/>
      </w:pPr>
      <w:rPr>
        <w:rFonts w:ascii="Courier New" w:hAnsi="Courier New" w:cs="Courier New" w:hint="default"/>
      </w:rPr>
    </w:lvl>
    <w:lvl w:ilvl="2" w:tplc="04090005">
      <w:start w:val="1"/>
      <w:numFmt w:val="bullet"/>
      <w:lvlText w:val=""/>
      <w:lvlJc w:val="left"/>
      <w:pPr>
        <w:ind w:left="2175" w:hanging="360"/>
      </w:pPr>
      <w:rPr>
        <w:rFonts w:ascii="Wingdings" w:hAnsi="Wingdings" w:hint="default"/>
      </w:rPr>
    </w:lvl>
    <w:lvl w:ilvl="3" w:tplc="04090001">
      <w:start w:val="1"/>
      <w:numFmt w:val="bullet"/>
      <w:lvlText w:val=""/>
      <w:lvlJc w:val="left"/>
      <w:pPr>
        <w:ind w:left="2895" w:hanging="360"/>
      </w:pPr>
      <w:rPr>
        <w:rFonts w:ascii="Symbol" w:hAnsi="Symbol" w:hint="default"/>
      </w:rPr>
    </w:lvl>
    <w:lvl w:ilvl="4" w:tplc="04090003">
      <w:start w:val="1"/>
      <w:numFmt w:val="bullet"/>
      <w:lvlText w:val="o"/>
      <w:lvlJc w:val="left"/>
      <w:pPr>
        <w:ind w:left="3615" w:hanging="360"/>
      </w:pPr>
      <w:rPr>
        <w:rFonts w:ascii="Courier New" w:hAnsi="Courier New" w:cs="Courier New" w:hint="default"/>
      </w:rPr>
    </w:lvl>
    <w:lvl w:ilvl="5" w:tplc="04090005">
      <w:start w:val="1"/>
      <w:numFmt w:val="bullet"/>
      <w:lvlText w:val=""/>
      <w:lvlJc w:val="left"/>
      <w:pPr>
        <w:ind w:left="4335" w:hanging="360"/>
      </w:pPr>
      <w:rPr>
        <w:rFonts w:ascii="Wingdings" w:hAnsi="Wingdings" w:hint="default"/>
      </w:rPr>
    </w:lvl>
    <w:lvl w:ilvl="6" w:tplc="04090001">
      <w:start w:val="1"/>
      <w:numFmt w:val="bullet"/>
      <w:lvlText w:val=""/>
      <w:lvlJc w:val="left"/>
      <w:pPr>
        <w:ind w:left="5055" w:hanging="360"/>
      </w:pPr>
      <w:rPr>
        <w:rFonts w:ascii="Symbol" w:hAnsi="Symbol" w:hint="default"/>
      </w:rPr>
    </w:lvl>
    <w:lvl w:ilvl="7" w:tplc="04090003">
      <w:start w:val="1"/>
      <w:numFmt w:val="bullet"/>
      <w:lvlText w:val="o"/>
      <w:lvlJc w:val="left"/>
      <w:pPr>
        <w:ind w:left="5775" w:hanging="360"/>
      </w:pPr>
      <w:rPr>
        <w:rFonts w:ascii="Courier New" w:hAnsi="Courier New" w:cs="Courier New" w:hint="default"/>
      </w:rPr>
    </w:lvl>
    <w:lvl w:ilvl="8" w:tplc="04090005">
      <w:start w:val="1"/>
      <w:numFmt w:val="bullet"/>
      <w:lvlText w:val=""/>
      <w:lvlJc w:val="left"/>
      <w:pPr>
        <w:ind w:left="6495" w:hanging="360"/>
      </w:pPr>
      <w:rPr>
        <w:rFonts w:ascii="Wingdings" w:hAnsi="Wingdings" w:hint="default"/>
      </w:rPr>
    </w:lvl>
  </w:abstractNum>
  <w:abstractNum w:abstractNumId="8" w15:restartNumberingAfterBreak="0">
    <w:nsid w:val="17997944"/>
    <w:multiLevelType w:val="hybridMultilevel"/>
    <w:tmpl w:val="15EC4E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B263F2E"/>
    <w:multiLevelType w:val="hybridMultilevel"/>
    <w:tmpl w:val="40AA0456"/>
    <w:lvl w:ilvl="0" w:tplc="95FA369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25E33A6F"/>
    <w:multiLevelType w:val="hybridMultilevel"/>
    <w:tmpl w:val="EB12AA42"/>
    <w:lvl w:ilvl="0" w:tplc="0409000F">
      <w:start w:val="2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3C5DCB"/>
    <w:multiLevelType w:val="hybridMultilevel"/>
    <w:tmpl w:val="8B26C3A8"/>
    <w:lvl w:ilvl="0" w:tplc="69A8DC5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48C0CA4"/>
    <w:multiLevelType w:val="hybridMultilevel"/>
    <w:tmpl w:val="00BC6F02"/>
    <w:lvl w:ilvl="0" w:tplc="01D80812">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378C45CF"/>
    <w:multiLevelType w:val="hybridMultilevel"/>
    <w:tmpl w:val="927ADD30"/>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C5C4C06"/>
    <w:multiLevelType w:val="hybridMultilevel"/>
    <w:tmpl w:val="C7A0CB0A"/>
    <w:lvl w:ilvl="0" w:tplc="03E0FDF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40967264"/>
    <w:multiLevelType w:val="hybridMultilevel"/>
    <w:tmpl w:val="0B12F09A"/>
    <w:lvl w:ilvl="0" w:tplc="0409000F">
      <w:start w:val="1"/>
      <w:numFmt w:val="decimal"/>
      <w:lvlText w:val="%1."/>
      <w:lvlJc w:val="left"/>
      <w:pPr>
        <w:ind w:left="90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755517D"/>
    <w:multiLevelType w:val="hybridMultilevel"/>
    <w:tmpl w:val="0B12F0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50D17B0"/>
    <w:multiLevelType w:val="hybridMultilevel"/>
    <w:tmpl w:val="D4EC2330"/>
    <w:lvl w:ilvl="0" w:tplc="2ABCB8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566E03B9"/>
    <w:multiLevelType w:val="hybridMultilevel"/>
    <w:tmpl w:val="0576EDF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7F76F81"/>
    <w:multiLevelType w:val="hybridMultilevel"/>
    <w:tmpl w:val="E760D4E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89A62A3"/>
    <w:multiLevelType w:val="hybridMultilevel"/>
    <w:tmpl w:val="0B12F0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A635A21"/>
    <w:multiLevelType w:val="hybridMultilevel"/>
    <w:tmpl w:val="E3E2EC3A"/>
    <w:lvl w:ilvl="0" w:tplc="3112F1E0">
      <w:start w:val="27"/>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ABF2B76"/>
    <w:multiLevelType w:val="hybridMultilevel"/>
    <w:tmpl w:val="0B12F09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AE54AF6"/>
    <w:multiLevelType w:val="hybridMultilevel"/>
    <w:tmpl w:val="FC3089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B824535"/>
    <w:multiLevelType w:val="hybridMultilevel"/>
    <w:tmpl w:val="CE0E7B4C"/>
    <w:lvl w:ilvl="0" w:tplc="F10C1C66">
      <w:numFmt w:val="bullet"/>
      <w:lvlText w:val="-"/>
      <w:lvlJc w:val="left"/>
      <w:pPr>
        <w:ind w:left="375" w:hanging="360"/>
      </w:pPr>
      <w:rPr>
        <w:rFonts w:ascii="GHEA Grapalat" w:eastAsiaTheme="minorHAnsi" w:hAnsi="GHEA Grapalat" w:cstheme="minorBidi" w:hint="default"/>
      </w:rPr>
    </w:lvl>
    <w:lvl w:ilvl="1" w:tplc="04090003">
      <w:start w:val="1"/>
      <w:numFmt w:val="bullet"/>
      <w:lvlText w:val="o"/>
      <w:lvlJc w:val="left"/>
      <w:pPr>
        <w:ind w:left="1095" w:hanging="360"/>
      </w:pPr>
      <w:rPr>
        <w:rFonts w:ascii="Courier New" w:hAnsi="Courier New" w:cs="Courier New" w:hint="default"/>
      </w:rPr>
    </w:lvl>
    <w:lvl w:ilvl="2" w:tplc="04090005">
      <w:start w:val="1"/>
      <w:numFmt w:val="bullet"/>
      <w:lvlText w:val=""/>
      <w:lvlJc w:val="left"/>
      <w:pPr>
        <w:ind w:left="1815" w:hanging="360"/>
      </w:pPr>
      <w:rPr>
        <w:rFonts w:ascii="Wingdings" w:hAnsi="Wingdings" w:hint="default"/>
      </w:rPr>
    </w:lvl>
    <w:lvl w:ilvl="3" w:tplc="04090001">
      <w:start w:val="1"/>
      <w:numFmt w:val="bullet"/>
      <w:lvlText w:val=""/>
      <w:lvlJc w:val="left"/>
      <w:pPr>
        <w:ind w:left="2535" w:hanging="360"/>
      </w:pPr>
      <w:rPr>
        <w:rFonts w:ascii="Symbol" w:hAnsi="Symbol" w:hint="default"/>
      </w:rPr>
    </w:lvl>
    <w:lvl w:ilvl="4" w:tplc="04090003">
      <w:start w:val="1"/>
      <w:numFmt w:val="bullet"/>
      <w:lvlText w:val="o"/>
      <w:lvlJc w:val="left"/>
      <w:pPr>
        <w:ind w:left="3255" w:hanging="360"/>
      </w:pPr>
      <w:rPr>
        <w:rFonts w:ascii="Courier New" w:hAnsi="Courier New" w:cs="Courier New" w:hint="default"/>
      </w:rPr>
    </w:lvl>
    <w:lvl w:ilvl="5" w:tplc="04090005">
      <w:start w:val="1"/>
      <w:numFmt w:val="bullet"/>
      <w:lvlText w:val=""/>
      <w:lvlJc w:val="left"/>
      <w:pPr>
        <w:ind w:left="3975" w:hanging="360"/>
      </w:pPr>
      <w:rPr>
        <w:rFonts w:ascii="Wingdings" w:hAnsi="Wingdings" w:hint="default"/>
      </w:rPr>
    </w:lvl>
    <w:lvl w:ilvl="6" w:tplc="04090001">
      <w:start w:val="1"/>
      <w:numFmt w:val="bullet"/>
      <w:lvlText w:val=""/>
      <w:lvlJc w:val="left"/>
      <w:pPr>
        <w:ind w:left="4695" w:hanging="360"/>
      </w:pPr>
      <w:rPr>
        <w:rFonts w:ascii="Symbol" w:hAnsi="Symbol" w:hint="default"/>
      </w:rPr>
    </w:lvl>
    <w:lvl w:ilvl="7" w:tplc="04090003">
      <w:start w:val="1"/>
      <w:numFmt w:val="bullet"/>
      <w:lvlText w:val="o"/>
      <w:lvlJc w:val="left"/>
      <w:pPr>
        <w:ind w:left="5415" w:hanging="360"/>
      </w:pPr>
      <w:rPr>
        <w:rFonts w:ascii="Courier New" w:hAnsi="Courier New" w:cs="Courier New" w:hint="default"/>
      </w:rPr>
    </w:lvl>
    <w:lvl w:ilvl="8" w:tplc="04090005">
      <w:start w:val="1"/>
      <w:numFmt w:val="bullet"/>
      <w:lvlText w:val=""/>
      <w:lvlJc w:val="left"/>
      <w:pPr>
        <w:ind w:left="6135" w:hanging="360"/>
      </w:pPr>
      <w:rPr>
        <w:rFonts w:ascii="Wingdings" w:hAnsi="Wingdings" w:hint="default"/>
      </w:rPr>
    </w:lvl>
  </w:abstractNum>
  <w:abstractNum w:abstractNumId="25" w15:restartNumberingAfterBreak="0">
    <w:nsid w:val="5D1944B5"/>
    <w:multiLevelType w:val="hybridMultilevel"/>
    <w:tmpl w:val="094264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FD5EF0"/>
    <w:multiLevelType w:val="hybridMultilevel"/>
    <w:tmpl w:val="AA70279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64B0034F"/>
    <w:multiLevelType w:val="hybridMultilevel"/>
    <w:tmpl w:val="5E5081B6"/>
    <w:lvl w:ilvl="0" w:tplc="C994E63E">
      <w:start w:val="1"/>
      <w:numFmt w:val="decimal"/>
      <w:lvlText w:val="%1."/>
      <w:lvlJc w:val="left"/>
      <w:pPr>
        <w:ind w:left="720" w:hanging="360"/>
      </w:pPr>
    </w:lvl>
    <w:lvl w:ilvl="1" w:tplc="8D6AB090">
      <w:start w:val="1"/>
      <w:numFmt w:val="decimal"/>
      <w:lvlText w:val="%2."/>
      <w:lvlJc w:val="left"/>
      <w:pPr>
        <w:ind w:left="720" w:hanging="360"/>
      </w:pPr>
    </w:lvl>
    <w:lvl w:ilvl="2" w:tplc="1476696A">
      <w:start w:val="1"/>
      <w:numFmt w:val="decimal"/>
      <w:lvlText w:val="%3."/>
      <w:lvlJc w:val="left"/>
      <w:pPr>
        <w:ind w:left="720" w:hanging="360"/>
      </w:pPr>
    </w:lvl>
    <w:lvl w:ilvl="3" w:tplc="87B81D9E">
      <w:start w:val="1"/>
      <w:numFmt w:val="decimal"/>
      <w:lvlText w:val="%4."/>
      <w:lvlJc w:val="left"/>
      <w:pPr>
        <w:ind w:left="720" w:hanging="360"/>
      </w:pPr>
    </w:lvl>
    <w:lvl w:ilvl="4" w:tplc="95D805E2">
      <w:start w:val="1"/>
      <w:numFmt w:val="decimal"/>
      <w:lvlText w:val="%5."/>
      <w:lvlJc w:val="left"/>
      <w:pPr>
        <w:ind w:left="720" w:hanging="360"/>
      </w:pPr>
    </w:lvl>
    <w:lvl w:ilvl="5" w:tplc="2F264522">
      <w:start w:val="1"/>
      <w:numFmt w:val="decimal"/>
      <w:lvlText w:val="%6."/>
      <w:lvlJc w:val="left"/>
      <w:pPr>
        <w:ind w:left="720" w:hanging="360"/>
      </w:pPr>
    </w:lvl>
    <w:lvl w:ilvl="6" w:tplc="745A0112">
      <w:start w:val="1"/>
      <w:numFmt w:val="decimal"/>
      <w:lvlText w:val="%7."/>
      <w:lvlJc w:val="left"/>
      <w:pPr>
        <w:ind w:left="720" w:hanging="360"/>
      </w:pPr>
    </w:lvl>
    <w:lvl w:ilvl="7" w:tplc="88B8605E">
      <w:start w:val="1"/>
      <w:numFmt w:val="decimal"/>
      <w:lvlText w:val="%8."/>
      <w:lvlJc w:val="left"/>
      <w:pPr>
        <w:ind w:left="720" w:hanging="360"/>
      </w:pPr>
    </w:lvl>
    <w:lvl w:ilvl="8" w:tplc="847C32B2">
      <w:start w:val="1"/>
      <w:numFmt w:val="decimal"/>
      <w:lvlText w:val="%9."/>
      <w:lvlJc w:val="left"/>
      <w:pPr>
        <w:ind w:left="720" w:hanging="360"/>
      </w:pPr>
    </w:lvl>
  </w:abstractNum>
  <w:abstractNum w:abstractNumId="28"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9" w15:restartNumberingAfterBreak="0">
    <w:nsid w:val="71872624"/>
    <w:multiLevelType w:val="hybridMultilevel"/>
    <w:tmpl w:val="A314AA70"/>
    <w:lvl w:ilvl="0" w:tplc="954648DC">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0" w15:restartNumberingAfterBreak="0">
    <w:nsid w:val="74B9279E"/>
    <w:multiLevelType w:val="hybridMultilevel"/>
    <w:tmpl w:val="0E10C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046A37"/>
    <w:multiLevelType w:val="hybridMultilevel"/>
    <w:tmpl w:val="0CA42C16"/>
    <w:lvl w:ilvl="0" w:tplc="F00CA1D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3"/>
  </w:num>
  <w:num w:numId="5">
    <w:abstractNumId w:val="12"/>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2"/>
  </w:num>
  <w:num w:numId="10">
    <w:abstractNumId w:val="7"/>
  </w:num>
  <w:num w:numId="11">
    <w:abstractNumId w:val="7"/>
  </w:num>
  <w:num w:numId="12">
    <w:abstractNumId w:val="0"/>
  </w:num>
  <w:num w:numId="13">
    <w:abstractNumId w:val="16"/>
  </w:num>
  <w:num w:numId="14">
    <w:abstractNumId w:val="19"/>
  </w:num>
  <w:num w:numId="15">
    <w:abstractNumId w:val="30"/>
  </w:num>
  <w:num w:numId="16">
    <w:abstractNumId w:val="8"/>
  </w:num>
  <w:num w:numId="17">
    <w:abstractNumId w:val="4"/>
  </w:num>
  <w:num w:numId="18">
    <w:abstractNumId w:val="25"/>
  </w:num>
  <w:num w:numId="19">
    <w:abstractNumId w:val="28"/>
  </w:num>
  <w:num w:numId="20">
    <w:abstractNumId w:val="13"/>
  </w:num>
  <w:num w:numId="21">
    <w:abstractNumId w:val="24"/>
  </w:num>
  <w:num w:numId="22">
    <w:abstractNumId w:val="18"/>
  </w:num>
  <w:num w:numId="23">
    <w:abstractNumId w:val="3"/>
  </w:num>
  <w:num w:numId="24">
    <w:abstractNumId w:val="5"/>
  </w:num>
  <w:num w:numId="25">
    <w:abstractNumId w:val="1"/>
  </w:num>
  <w:num w:numId="26">
    <w:abstractNumId w:val="20"/>
  </w:num>
  <w:num w:numId="27">
    <w:abstractNumId w:val="15"/>
  </w:num>
  <w:num w:numId="28">
    <w:abstractNumId w:val="17"/>
  </w:num>
  <w:num w:numId="29">
    <w:abstractNumId w:val="14"/>
  </w:num>
  <w:num w:numId="30">
    <w:abstractNumId w:val="31"/>
  </w:num>
  <w:num w:numId="31">
    <w:abstractNumId w:val="11"/>
  </w:num>
  <w:num w:numId="32">
    <w:abstractNumId w:val="6"/>
  </w:num>
  <w:num w:numId="33">
    <w:abstractNumId w:val="27"/>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9FCA0D-85F6-419E-93A2-3D1465B77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4"/>
    <w:uiPriority w:val="99"/>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3"/>
    <w:uiPriority w:val="99"/>
    <w:locked/>
    <w:rPr>
      <w:rFonts w:ascii="Times New Roman" w:eastAsia="Times New Roman" w:hAnsi="Times New Roman" w:cs="Times New Roman"/>
      <w:sz w:val="24"/>
      <w:szCs w:val="24"/>
      <w:lang w:val="ru-RU" w:eastAsia="ru-RU"/>
    </w:rPr>
  </w:style>
  <w:style w:type="paragraph" w:styleId="a5">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a"/>
    <w:link w:val="a6"/>
    <w:uiPriority w:val="34"/>
    <w:qFormat/>
    <w:pPr>
      <w:ind w:left="720"/>
      <w:contextualSpacing/>
    </w:pPr>
  </w:style>
  <w:style w:type="paragraph" w:styleId="a7">
    <w:name w:val="Balloon Text"/>
    <w:basedOn w:val="a"/>
    <w:link w:val="a8"/>
    <w:uiPriority w:val="99"/>
    <w:semiHidden/>
    <w:unhideWhenUse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Pr>
      <w:rFonts w:ascii="Segoe UI" w:hAnsi="Segoe UI" w:cs="Segoe UI"/>
      <w:sz w:val="18"/>
      <w:szCs w:val="18"/>
    </w:rPr>
  </w:style>
  <w:style w:type="character" w:customStyle="1" w:styleId="a6">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basedOn w:val="a0"/>
    <w:link w:val="a5"/>
    <w:uiPriority w:val="34"/>
    <w:locked/>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unhideWhenUsed/>
    <w:pPr>
      <w:spacing w:line="240" w:lineRule="auto"/>
    </w:pPr>
    <w:rPr>
      <w:sz w:val="20"/>
      <w:szCs w:val="20"/>
    </w:rPr>
  </w:style>
  <w:style w:type="character" w:customStyle="1" w:styleId="ab">
    <w:name w:val="Текст примечания Знак"/>
    <w:basedOn w:val="a0"/>
    <w:link w:val="aa"/>
    <w:uiPriority w:val="99"/>
    <w:rPr>
      <w:sz w:val="20"/>
      <w:szCs w:val="20"/>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b/>
      <w:bCs/>
      <w:sz w:val="20"/>
      <w:szCs w:val="20"/>
    </w:rPr>
  </w:style>
  <w:style w:type="paragraph" w:customStyle="1" w:styleId="mechtex">
    <w:name w:val="mechtex"/>
    <w:basedOn w:val="a"/>
    <w:link w:val="mechtexChar"/>
    <w:uiPriority w:val="99"/>
    <w:qFormat/>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uiPriority w:val="99"/>
    <w:locked/>
    <w:rPr>
      <w:rFonts w:ascii="Arial Armenian" w:eastAsia="Times New Roman" w:hAnsi="Arial Armenian" w:cs="Times New Roman"/>
      <w:szCs w:val="24"/>
      <w:lang w:val="x-none" w:eastAsia="x-none"/>
    </w:rPr>
  </w:style>
  <w:style w:type="character" w:styleId="ae">
    <w:name w:val="Strong"/>
    <w:basedOn w:val="a0"/>
    <w:uiPriority w:val="22"/>
    <w:qFormat/>
    <w:rPr>
      <w:b/>
      <w:bCs/>
    </w:rPr>
  </w:style>
  <w:style w:type="character" w:styleId="af">
    <w:name w:val="Hyperlink"/>
    <w:basedOn w:val="a0"/>
    <w:uiPriority w:val="99"/>
    <w:unhideWhenUsed/>
    <w:rPr>
      <w:color w:val="0563C1" w:themeColor="hyperlink"/>
      <w:u w:val="single"/>
    </w:rPr>
  </w:style>
  <w:style w:type="character" w:customStyle="1" w:styleId="UnresolvedMention1">
    <w:name w:val="Unresolved Mention1"/>
    <w:basedOn w:val="a0"/>
    <w:uiPriority w:val="99"/>
    <w:semiHidden/>
    <w:unhideWhenUsed/>
    <w:rPr>
      <w:color w:val="605E5C"/>
      <w:shd w:val="clear" w:color="auto" w:fill="E1DFDD"/>
    </w:rPr>
  </w:style>
  <w:style w:type="character" w:styleId="af0">
    <w:name w:val="Emphasis"/>
    <w:basedOn w:val="a0"/>
    <w:uiPriority w:val="20"/>
    <w:qFormat/>
    <w:rPr>
      <w:i/>
      <w:iCs/>
    </w:rPr>
  </w:style>
  <w:style w:type="paragraph" w:styleId="af1">
    <w:name w:val="header"/>
    <w:basedOn w:val="a"/>
    <w:link w:val="af2"/>
    <w:uiPriority w:val="99"/>
    <w:unhideWhenUsed/>
    <w:pPr>
      <w:tabs>
        <w:tab w:val="center" w:pos="4680"/>
        <w:tab w:val="right" w:pos="9360"/>
      </w:tabs>
      <w:spacing w:after="0" w:line="240" w:lineRule="auto"/>
    </w:pPr>
  </w:style>
  <w:style w:type="character" w:customStyle="1" w:styleId="af2">
    <w:name w:val="Верхний колонтитул Знак"/>
    <w:basedOn w:val="a0"/>
    <w:link w:val="af1"/>
    <w:uiPriority w:val="99"/>
  </w:style>
  <w:style w:type="paragraph" w:styleId="af3">
    <w:name w:val="footer"/>
    <w:basedOn w:val="a"/>
    <w:link w:val="af4"/>
    <w:uiPriority w:val="99"/>
    <w:unhideWhenUsed/>
    <w:pPr>
      <w:tabs>
        <w:tab w:val="center" w:pos="4680"/>
        <w:tab w:val="right" w:pos="9360"/>
      </w:tabs>
      <w:spacing w:after="0" w:line="240" w:lineRule="auto"/>
    </w:pPr>
  </w:style>
  <w:style w:type="character" w:customStyle="1" w:styleId="af4">
    <w:name w:val="Нижний колонтитул Знак"/>
    <w:basedOn w:val="a0"/>
    <w:link w:val="af3"/>
    <w:uiPriority w:val="99"/>
  </w:style>
  <w:style w:type="paragraph" w:styleId="af5">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74458">
      <w:bodyDiv w:val="1"/>
      <w:marLeft w:val="0"/>
      <w:marRight w:val="0"/>
      <w:marTop w:val="0"/>
      <w:marBottom w:val="0"/>
      <w:divBdr>
        <w:top w:val="none" w:sz="0" w:space="0" w:color="auto"/>
        <w:left w:val="none" w:sz="0" w:space="0" w:color="auto"/>
        <w:bottom w:val="none" w:sz="0" w:space="0" w:color="auto"/>
        <w:right w:val="none" w:sz="0" w:space="0" w:color="auto"/>
      </w:divBdr>
    </w:div>
    <w:div w:id="520824995">
      <w:bodyDiv w:val="1"/>
      <w:marLeft w:val="0"/>
      <w:marRight w:val="0"/>
      <w:marTop w:val="0"/>
      <w:marBottom w:val="0"/>
      <w:divBdr>
        <w:top w:val="none" w:sz="0" w:space="0" w:color="auto"/>
        <w:left w:val="none" w:sz="0" w:space="0" w:color="auto"/>
        <w:bottom w:val="none" w:sz="0" w:space="0" w:color="auto"/>
        <w:right w:val="none" w:sz="0" w:space="0" w:color="auto"/>
      </w:divBdr>
    </w:div>
    <w:div w:id="554704772">
      <w:bodyDiv w:val="1"/>
      <w:marLeft w:val="0"/>
      <w:marRight w:val="0"/>
      <w:marTop w:val="0"/>
      <w:marBottom w:val="0"/>
      <w:divBdr>
        <w:top w:val="none" w:sz="0" w:space="0" w:color="auto"/>
        <w:left w:val="none" w:sz="0" w:space="0" w:color="auto"/>
        <w:bottom w:val="none" w:sz="0" w:space="0" w:color="auto"/>
        <w:right w:val="none" w:sz="0" w:space="0" w:color="auto"/>
      </w:divBdr>
    </w:div>
    <w:div w:id="801581314">
      <w:bodyDiv w:val="1"/>
      <w:marLeft w:val="0"/>
      <w:marRight w:val="0"/>
      <w:marTop w:val="0"/>
      <w:marBottom w:val="0"/>
      <w:divBdr>
        <w:top w:val="none" w:sz="0" w:space="0" w:color="auto"/>
        <w:left w:val="none" w:sz="0" w:space="0" w:color="auto"/>
        <w:bottom w:val="none" w:sz="0" w:space="0" w:color="auto"/>
        <w:right w:val="none" w:sz="0" w:space="0" w:color="auto"/>
      </w:divBdr>
    </w:div>
    <w:div w:id="953515953">
      <w:bodyDiv w:val="1"/>
      <w:marLeft w:val="0"/>
      <w:marRight w:val="0"/>
      <w:marTop w:val="0"/>
      <w:marBottom w:val="0"/>
      <w:divBdr>
        <w:top w:val="none" w:sz="0" w:space="0" w:color="auto"/>
        <w:left w:val="none" w:sz="0" w:space="0" w:color="auto"/>
        <w:bottom w:val="none" w:sz="0" w:space="0" w:color="auto"/>
        <w:right w:val="none" w:sz="0" w:space="0" w:color="auto"/>
      </w:divBdr>
    </w:div>
    <w:div w:id="965701344">
      <w:bodyDiv w:val="1"/>
      <w:marLeft w:val="0"/>
      <w:marRight w:val="0"/>
      <w:marTop w:val="0"/>
      <w:marBottom w:val="0"/>
      <w:divBdr>
        <w:top w:val="none" w:sz="0" w:space="0" w:color="auto"/>
        <w:left w:val="none" w:sz="0" w:space="0" w:color="auto"/>
        <w:bottom w:val="none" w:sz="0" w:space="0" w:color="auto"/>
        <w:right w:val="none" w:sz="0" w:space="0" w:color="auto"/>
      </w:divBdr>
    </w:div>
    <w:div w:id="1087658028">
      <w:bodyDiv w:val="1"/>
      <w:marLeft w:val="0"/>
      <w:marRight w:val="0"/>
      <w:marTop w:val="0"/>
      <w:marBottom w:val="0"/>
      <w:divBdr>
        <w:top w:val="none" w:sz="0" w:space="0" w:color="auto"/>
        <w:left w:val="none" w:sz="0" w:space="0" w:color="auto"/>
        <w:bottom w:val="none" w:sz="0" w:space="0" w:color="auto"/>
        <w:right w:val="none" w:sz="0" w:space="0" w:color="auto"/>
      </w:divBdr>
    </w:div>
    <w:div w:id="1151213574">
      <w:bodyDiv w:val="1"/>
      <w:marLeft w:val="0"/>
      <w:marRight w:val="0"/>
      <w:marTop w:val="0"/>
      <w:marBottom w:val="0"/>
      <w:divBdr>
        <w:top w:val="none" w:sz="0" w:space="0" w:color="auto"/>
        <w:left w:val="none" w:sz="0" w:space="0" w:color="auto"/>
        <w:bottom w:val="none" w:sz="0" w:space="0" w:color="auto"/>
        <w:right w:val="none" w:sz="0" w:space="0" w:color="auto"/>
      </w:divBdr>
    </w:div>
    <w:div w:id="1279141832">
      <w:bodyDiv w:val="1"/>
      <w:marLeft w:val="0"/>
      <w:marRight w:val="0"/>
      <w:marTop w:val="0"/>
      <w:marBottom w:val="0"/>
      <w:divBdr>
        <w:top w:val="none" w:sz="0" w:space="0" w:color="auto"/>
        <w:left w:val="none" w:sz="0" w:space="0" w:color="auto"/>
        <w:bottom w:val="none" w:sz="0" w:space="0" w:color="auto"/>
        <w:right w:val="none" w:sz="0" w:space="0" w:color="auto"/>
      </w:divBdr>
    </w:div>
    <w:div w:id="1355570749">
      <w:bodyDiv w:val="1"/>
      <w:marLeft w:val="0"/>
      <w:marRight w:val="0"/>
      <w:marTop w:val="0"/>
      <w:marBottom w:val="0"/>
      <w:divBdr>
        <w:top w:val="none" w:sz="0" w:space="0" w:color="auto"/>
        <w:left w:val="none" w:sz="0" w:space="0" w:color="auto"/>
        <w:bottom w:val="none" w:sz="0" w:space="0" w:color="auto"/>
        <w:right w:val="none" w:sz="0" w:space="0" w:color="auto"/>
      </w:divBdr>
    </w:div>
    <w:div w:id="1442842321">
      <w:bodyDiv w:val="1"/>
      <w:marLeft w:val="0"/>
      <w:marRight w:val="0"/>
      <w:marTop w:val="0"/>
      <w:marBottom w:val="0"/>
      <w:divBdr>
        <w:top w:val="none" w:sz="0" w:space="0" w:color="auto"/>
        <w:left w:val="none" w:sz="0" w:space="0" w:color="auto"/>
        <w:bottom w:val="none" w:sz="0" w:space="0" w:color="auto"/>
        <w:right w:val="none" w:sz="0" w:space="0" w:color="auto"/>
      </w:divBdr>
    </w:div>
    <w:div w:id="1522822158">
      <w:bodyDiv w:val="1"/>
      <w:marLeft w:val="0"/>
      <w:marRight w:val="0"/>
      <w:marTop w:val="0"/>
      <w:marBottom w:val="0"/>
      <w:divBdr>
        <w:top w:val="none" w:sz="0" w:space="0" w:color="auto"/>
        <w:left w:val="none" w:sz="0" w:space="0" w:color="auto"/>
        <w:bottom w:val="none" w:sz="0" w:space="0" w:color="auto"/>
        <w:right w:val="none" w:sz="0" w:space="0" w:color="auto"/>
      </w:divBdr>
    </w:div>
    <w:div w:id="1528370194">
      <w:bodyDiv w:val="1"/>
      <w:marLeft w:val="0"/>
      <w:marRight w:val="0"/>
      <w:marTop w:val="0"/>
      <w:marBottom w:val="0"/>
      <w:divBdr>
        <w:top w:val="none" w:sz="0" w:space="0" w:color="auto"/>
        <w:left w:val="none" w:sz="0" w:space="0" w:color="auto"/>
        <w:bottom w:val="none" w:sz="0" w:space="0" w:color="auto"/>
        <w:right w:val="none" w:sz="0" w:space="0" w:color="auto"/>
      </w:divBdr>
    </w:div>
    <w:div w:id="1555308857">
      <w:bodyDiv w:val="1"/>
      <w:marLeft w:val="0"/>
      <w:marRight w:val="0"/>
      <w:marTop w:val="0"/>
      <w:marBottom w:val="0"/>
      <w:divBdr>
        <w:top w:val="none" w:sz="0" w:space="0" w:color="auto"/>
        <w:left w:val="none" w:sz="0" w:space="0" w:color="auto"/>
        <w:bottom w:val="none" w:sz="0" w:space="0" w:color="auto"/>
        <w:right w:val="none" w:sz="0" w:space="0" w:color="auto"/>
      </w:divBdr>
    </w:div>
    <w:div w:id="1593467077">
      <w:bodyDiv w:val="1"/>
      <w:marLeft w:val="0"/>
      <w:marRight w:val="0"/>
      <w:marTop w:val="0"/>
      <w:marBottom w:val="0"/>
      <w:divBdr>
        <w:top w:val="none" w:sz="0" w:space="0" w:color="auto"/>
        <w:left w:val="none" w:sz="0" w:space="0" w:color="auto"/>
        <w:bottom w:val="none" w:sz="0" w:space="0" w:color="auto"/>
        <w:right w:val="none" w:sz="0" w:space="0" w:color="auto"/>
      </w:divBdr>
    </w:div>
    <w:div w:id="1740134406">
      <w:bodyDiv w:val="1"/>
      <w:marLeft w:val="0"/>
      <w:marRight w:val="0"/>
      <w:marTop w:val="0"/>
      <w:marBottom w:val="0"/>
      <w:divBdr>
        <w:top w:val="none" w:sz="0" w:space="0" w:color="auto"/>
        <w:left w:val="none" w:sz="0" w:space="0" w:color="auto"/>
        <w:bottom w:val="none" w:sz="0" w:space="0" w:color="auto"/>
        <w:right w:val="none" w:sz="0" w:space="0" w:color="auto"/>
      </w:divBdr>
    </w:div>
    <w:div w:id="1829596496">
      <w:bodyDiv w:val="1"/>
      <w:marLeft w:val="0"/>
      <w:marRight w:val="0"/>
      <w:marTop w:val="0"/>
      <w:marBottom w:val="0"/>
      <w:divBdr>
        <w:top w:val="none" w:sz="0" w:space="0" w:color="auto"/>
        <w:left w:val="none" w:sz="0" w:space="0" w:color="auto"/>
        <w:bottom w:val="none" w:sz="0" w:space="0" w:color="auto"/>
        <w:right w:val="none" w:sz="0" w:space="0" w:color="auto"/>
      </w:divBdr>
    </w:div>
    <w:div w:id="213883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ocial.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CC79A-4282-4510-B08F-4FD9454C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Pages>
  <Words>1861</Words>
  <Characters>13857</Characters>
  <Application>Microsoft Office Word</Application>
  <DocSecurity>0</DocSecurity>
  <Lines>257</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Khachatrian</dc:creator>
  <cp:keywords>https://mul2.gov.am/tasks/1080167/oneclick?token=523a3fed71a65b8d9fb81a52797ba87f</cp:keywords>
  <dc:description/>
  <cp:lastModifiedBy>Laura.Harutyunyan</cp:lastModifiedBy>
  <cp:revision>7</cp:revision>
  <cp:lastPrinted>2022-07-18T07:59:00Z</cp:lastPrinted>
  <dcterms:created xsi:type="dcterms:W3CDTF">2024-12-10T14:24:00Z</dcterms:created>
  <dcterms:modified xsi:type="dcterms:W3CDTF">2024-12-12T05:36:00Z</dcterms:modified>
</cp:coreProperties>
</file>