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ind w:hanging="0" w:end="270"/>
        <w:jc w:val="end"/>
        <w:rPr>
          <w:rFonts w:ascii="GHEA Grapalat" w:hAnsi="GHEA Grapalat"/>
          <w:b/>
          <w:bCs/>
          <w:sz w:val="24"/>
          <w:szCs w:val="24"/>
        </w:rPr>
      </w:pPr>
      <w:r>
        <w:rPr>
          <w:rFonts w:ascii="GHEA Grapalat" w:hAnsi="GHEA Grapalat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ind w:hanging="0" w:end="270"/>
        <w:jc w:val="center"/>
        <w:rPr>
          <w:rFonts w:ascii="GHEA Grapalat" w:hAnsi="GHEA Grapalat"/>
          <w:b/>
          <w:bCs/>
          <w:sz w:val="24"/>
          <w:szCs w:val="24"/>
        </w:rPr>
      </w:pPr>
      <w:r>
        <w:rPr>
          <w:rFonts w:ascii="GHEA Grapalat" w:hAnsi="GHEA Grapalat"/>
          <w:b/>
          <w:bCs/>
          <w:sz w:val="24"/>
          <w:szCs w:val="24"/>
        </w:rPr>
      </w:r>
    </w:p>
    <w:p>
      <w:pPr>
        <w:pStyle w:val="Normal"/>
        <w:spacing w:lineRule="auto" w:line="276" w:before="0" w:after="0"/>
        <w:ind w:hanging="0" w:end="27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cs="Sylfaen" w:ascii="GHEA Grapalat" w:hAnsi="GHEA Grapalat"/>
          <w:b/>
          <w:bCs/>
          <w:sz w:val="24"/>
          <w:szCs w:val="24"/>
          <w:lang w:val="hy-AM"/>
        </w:rPr>
        <w:t>ԱՄՓՈՓԱԹԵՐԹ</w:t>
      </w:r>
    </w:p>
    <w:p>
      <w:pPr>
        <w:pStyle w:val="Normal"/>
        <w:spacing w:lineRule="auto" w:line="276" w:before="0" w:after="0"/>
        <w:jc w:val="center"/>
        <w:rPr>
          <w:rFonts w:ascii="GHEA Grapalat" w:hAnsi="GHEA Grapalat"/>
          <w:sz w:val="24"/>
          <w:szCs w:val="24"/>
        </w:rPr>
      </w:pPr>
      <w:r>
        <w:rPr>
          <w:rFonts w:eastAsia="Times New Roman" w:cs="Times New Roman" w:ascii="GHEA Grapalat" w:hAnsi="GHEA Grapalat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lang w:val="hy-AM"/>
        </w:rPr>
        <w:t>«</w:t>
      </w:r>
      <w:r>
        <w:rPr>
          <w:rStyle w:val="Strong"/>
          <w:rFonts w:eastAsia="Times New Roman" w:cs="Sylfaen" w:ascii="GHEA Grapalat" w:hAnsi="GHEA Grapalat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lang w:val="hy-AM"/>
        </w:rPr>
        <w:t>ՀԱՅԱՍՏԱՆԻ ՀԱՆՐԱՊԵՏՈՒԹՅԱՆ ԿԱՌԱՎԱՐՈՒԹՅԱՆ 2012 ԹՎԱԿԱՆԻ ԴԵԿՏԵՄԲԵՐԻ 27֊Ի N 1691֊ն ՈՐՈՇՄԱՆ ՄԵՋ ՓՈՓՈԽՈՒԹՅՈՒՆ ԵՎ ԼՐԱՑՈՒՄՆԵՐ ԿԱՏԱՐԵԼՈՒ ՄԱՍԻՆ» ՀՀ ԿԱՌԱՎԱՐՈՒԹՅԱՆ ՈՐՈՇՄԱՆ</w:t>
      </w:r>
      <w:r>
        <w:rPr>
          <w:rFonts w:cs="Sylfaen" w:ascii="GHEA Grapalat" w:hAnsi="GHEA Grapalat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lang w:val="hy-AM"/>
        </w:rPr>
        <w:t xml:space="preserve">  ՆԱԽԱԳԾԻ ՎԵՐԱԲԵՐՅԱԼ</w:t>
      </w:r>
    </w:p>
    <w:p>
      <w:pPr>
        <w:pStyle w:val="Normal"/>
        <w:spacing w:lineRule="auto" w:line="276"/>
        <w:jc w:val="center"/>
        <w:rPr>
          <w:rFonts w:ascii="GHEA Grapalat" w:hAnsi="GHEA Grapalat"/>
          <w:b/>
          <w:bCs/>
          <w:sz w:val="24"/>
          <w:szCs w:val="24"/>
        </w:rPr>
      </w:pPr>
      <w:r>
        <w:rPr>
          <w:rFonts w:ascii="GHEA Grapalat" w:hAnsi="GHEA Grapalat"/>
          <w:b/>
          <w:bCs/>
          <w:sz w:val="24"/>
          <w:szCs w:val="24"/>
        </w:rPr>
      </w:r>
    </w:p>
    <w:tbl>
      <w:tblPr>
        <w:tblpPr w:vertAnchor="text" w:horzAnchor="text" w:leftFromText="180" w:rightFromText="180" w:tblpX="270" w:tblpY="549"/>
        <w:tblW w:w="14675" w:type="dxa"/>
        <w:jc w:val="start"/>
        <w:tblInd w:w="-5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8913"/>
        <w:gridCol w:w="5761"/>
      </w:tblGrid>
      <w:tr>
        <w:trPr/>
        <w:tc>
          <w:tcPr>
            <w:tcW w:w="8913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E8CB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eastAsia="Calibri" w:ascii="GHEA Grapalat" w:hAnsi="GHEA Grapalat"/>
                <w:b/>
                <w:kern w:val="0"/>
                <w:sz w:val="24"/>
                <w:szCs w:val="24"/>
                <w:lang w:val="hy-AM" w:eastAsia="en-US" w:bidi="ar-SA"/>
              </w:rPr>
              <w:t>1․ ՀՀ  աշխատանքի և սոցիալական հարցերի նախարարություն</w:t>
            </w:r>
          </w:p>
        </w:tc>
        <w:tc>
          <w:tcPr>
            <w:tcW w:w="576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E8CB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07.11.2024</w:t>
            </w:r>
          </w:p>
        </w:tc>
      </w:tr>
      <w:tr>
        <w:trPr/>
        <w:tc>
          <w:tcPr>
            <w:tcW w:w="8913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E8CB" w:val="clear"/>
          </w:tcPr>
          <w:p>
            <w:pPr>
              <w:pStyle w:val="Normal"/>
              <w:widowControl/>
              <w:suppressAutoHyphens w:val="true"/>
              <w:bidi w:val="0"/>
              <w:spacing w:lineRule="auto" w:line="360" w:before="0" w:after="160"/>
              <w:jc w:val="start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</w:r>
          </w:p>
        </w:tc>
        <w:tc>
          <w:tcPr>
            <w:tcW w:w="576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E8CB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N 271/2024</w:t>
            </w:r>
          </w:p>
        </w:tc>
      </w:tr>
      <w:tr>
        <w:trPr/>
        <w:tc>
          <w:tcPr>
            <w:tcW w:w="891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b w:val="false"/>
                <w:bCs w:val="false"/>
                <w:sz w:val="24"/>
                <w:szCs w:val="24"/>
              </w:rPr>
              <w:t>Դիտողություն և առաջարկություններ չկան</w:t>
            </w:r>
          </w:p>
        </w:tc>
        <w:tc>
          <w:tcPr>
            <w:tcW w:w="576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start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 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775" w:leader="none"/>
              </w:tabs>
              <w:suppressAutoHyphens w:val="true"/>
              <w:spacing w:lineRule="auto" w:line="360" w:before="0" w:after="0"/>
              <w:jc w:val="center"/>
              <w:rPr>
                <w:rFonts w:ascii="GHEA Grapalat" w:hAnsi="GHEA Grapalat" w:eastAsia="Times New Roman" w:cs="Times New Roman"/>
                <w:b/>
                <w:bCs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hy-AM"/>
              </w:rPr>
            </w:pPr>
            <w:r>
              <w:rPr>
                <w:rFonts w:eastAsia="Times New Roman" w:cs="Times New Roman" w:ascii="GHEA Grapalat" w:hAnsi="GHEA Grapalat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hy-AM"/>
              </w:rPr>
            </w:r>
          </w:p>
        </w:tc>
      </w:tr>
      <w:tr>
        <w:trPr/>
        <w:tc>
          <w:tcPr>
            <w:tcW w:w="8913" w:type="dxa"/>
            <w:vMerge w:val="restart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E8CB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eastAsia="Calibri" w:ascii="GHEA Grapalat" w:hAnsi="GHEA Grapalat"/>
                <w:b/>
                <w:bCs w:val="false"/>
                <w:kern w:val="0"/>
                <w:sz w:val="24"/>
                <w:szCs w:val="24"/>
                <w:lang w:val="hy-AM" w:eastAsia="en-US" w:bidi="ar-SA"/>
              </w:rPr>
              <w:t>2․ ՀՀ  արդարադատության նախարարություն</w:t>
            </w:r>
          </w:p>
        </w:tc>
        <w:tc>
          <w:tcPr>
            <w:tcW w:w="576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E8CB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08.11.2024</w:t>
            </w:r>
          </w:p>
        </w:tc>
      </w:tr>
      <w:tr>
        <w:trPr/>
        <w:tc>
          <w:tcPr>
            <w:tcW w:w="8913" w:type="dxa"/>
            <w:vMerge w:val="continue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E8CB" w:val="clear"/>
          </w:tcPr>
          <w:p>
            <w:pPr>
              <w:pStyle w:val="Normal"/>
              <w:widowControl/>
              <w:suppressAutoHyphens w:val="true"/>
              <w:bidi w:val="0"/>
              <w:spacing w:lineRule="auto" w:line="360" w:before="0" w:after="160"/>
              <w:jc w:val="start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</w:r>
          </w:p>
        </w:tc>
        <w:tc>
          <w:tcPr>
            <w:tcW w:w="576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E8CB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N /27․3/45324֊2024</w:t>
            </w:r>
          </w:p>
        </w:tc>
      </w:tr>
      <w:tr>
        <w:trPr/>
        <w:tc>
          <w:tcPr>
            <w:tcW w:w="8913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Փորձագիտական եզրակացություն</w:t>
            </w:r>
          </w:p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b w:val="false"/>
                <w:bCs w:val="false"/>
                <w:sz w:val="24"/>
                <w:szCs w:val="24"/>
              </w:rPr>
              <w:t>Նախագծի  վերաբերյալ առարկություններ և դիտողություններ չկան։</w:t>
            </w:r>
          </w:p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b w:val="false"/>
                <w:bCs w:val="false"/>
                <w:sz w:val="24"/>
                <w:szCs w:val="24"/>
              </w:rPr>
              <w:t>Միաժամանակ, առաջարկվել է Նախագիծը համաձայնեցնել ՀՀ աշխատանքի և սոցիալական հարցերի նախարարության հետ։</w:t>
            </w:r>
          </w:p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rFonts w:ascii="GHEA Grapalat" w:hAnsi="GHEA Grapalat"/>
                <w:b w:val="false"/>
                <w:bCs w:val="false"/>
                <w:sz w:val="24"/>
                <w:szCs w:val="24"/>
              </w:rPr>
            </w:pPr>
            <w:r>
              <w:rPr>
                <w:rFonts w:ascii="GHEA Grapalat" w:hAnsi="GHEA Grapalat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576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eastAsia="Calibri" w:cs="Noto Sans Arabic" w:ascii="GHEA Grapalat" w:hAnsi="GHEA Grapalat"/>
                <w:b w:val="false"/>
                <w:bCs w:val="false"/>
                <w:color w:val="auto"/>
                <w:kern w:val="0"/>
                <w:sz w:val="24"/>
                <w:szCs w:val="24"/>
                <w:lang w:val="en-US" w:eastAsia="en-US" w:bidi="ar-SA"/>
              </w:rPr>
              <w:t xml:space="preserve">Նախագիծը համաձայնեցվել է </w:t>
            </w:r>
            <w:r>
              <w:rPr>
                <w:rFonts w:ascii="GHEA Grapalat" w:hAnsi="GHEA Grapalat"/>
                <w:b w:val="false"/>
                <w:bCs w:val="false"/>
                <w:sz w:val="24"/>
                <w:szCs w:val="24"/>
              </w:rPr>
              <w:t>ՀՀ աշխատանքի և սոցիալական հարցերի նախարարության հետ։</w:t>
            </w:r>
          </w:p>
        </w:tc>
      </w:tr>
      <w:tr>
        <w:trPr/>
        <w:tc>
          <w:tcPr>
            <w:tcW w:w="8913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fill="DDE8CB" w:val="clear"/>
          </w:tcPr>
          <w:p>
            <w:pPr>
              <w:pStyle w:val="Normal"/>
              <w:spacing w:lineRule="auto" w:line="360" w:before="0" w:after="160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3. ՀՀ ֆինանսների նախարարություն</w:t>
            </w:r>
          </w:p>
        </w:tc>
        <w:tc>
          <w:tcPr>
            <w:tcW w:w="576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E8CB" w:val="clear"/>
          </w:tcPr>
          <w:p>
            <w:pPr>
              <w:pStyle w:val="Normal"/>
              <w:spacing w:lineRule="auto" w:line="360" w:before="0" w:after="160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28․11․2024</w:t>
            </w:r>
          </w:p>
        </w:tc>
      </w:tr>
      <w:tr>
        <w:trPr>
          <w:trHeight w:val="483" w:hRule="atLeast"/>
        </w:trPr>
        <w:tc>
          <w:tcPr>
            <w:tcW w:w="8913" w:type="dxa"/>
            <w:vMerge w:val="continue"/>
            <w:tcBorders>
              <w:start w:val="single" w:sz="4" w:space="0" w:color="000000"/>
              <w:bottom w:val="single" w:sz="4" w:space="0" w:color="000000"/>
            </w:tcBorders>
            <w:shd w:fill="DDE8CB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</w:r>
          </w:p>
        </w:tc>
        <w:tc>
          <w:tcPr>
            <w:tcW w:w="576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E8CB" w:val="clear"/>
          </w:tcPr>
          <w:p>
            <w:pPr>
              <w:pStyle w:val="Normal"/>
              <w:spacing w:lineRule="auto" w:line="360" w:before="0" w:after="160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N 01/34․1/25184֊2024</w:t>
            </w:r>
          </w:p>
        </w:tc>
      </w:tr>
      <w:tr>
        <w:trPr/>
        <w:tc>
          <w:tcPr>
            <w:tcW w:w="891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eastAsia="Calibri" w:cs="Noto Sans Arabic" w:ascii="GHEA Grapalat" w:hAnsi="GHEA Grapalat"/>
                <w:b w:val="false"/>
                <w:bCs w:val="false"/>
                <w:color w:val="auto"/>
                <w:kern w:val="0"/>
                <w:sz w:val="24"/>
                <w:szCs w:val="24"/>
                <w:lang w:val="en-US" w:eastAsia="en-US" w:bidi="ar-SA"/>
              </w:rPr>
              <w:t> </w:t>
            </w:r>
            <w:r>
              <w:rPr>
                <w:rFonts w:eastAsia="Calibri" w:cs="Noto Sans Arabic" w:ascii="GHEA Grapalat" w:hAnsi="GHEA Grapalat"/>
                <w:b w:val="false"/>
                <w:bCs w:val="false"/>
                <w:color w:val="auto"/>
                <w:kern w:val="0"/>
                <w:sz w:val="24"/>
                <w:szCs w:val="24"/>
                <w:lang w:val="en-US" w:eastAsia="en-US" w:bidi="ar-SA"/>
              </w:rPr>
              <w:t>Նախագծի ընդունմամբ ՀՀ կառավարության 2012 թվականի դեկտեմբերի 27-ի «Սոցիալական փաթեթի հատկացման կարգը և փաթեթի մեջ մտնող ծառայությունների բովանդակությունը հաստատելու, Հայաստանի Հանրապետության կառավարության 2011 թվականի դեկ</w:t>
            </w:r>
            <w:r>
              <w:rPr>
                <w:rFonts w:ascii="GHEA Grapalat" w:hAnsi="GHEA Grapalat"/>
                <w:b w:val="false"/>
                <w:bCs w:val="false"/>
                <w:sz w:val="24"/>
                <w:szCs w:val="24"/>
              </w:rPr>
              <w:t>տեմբերի 29-ի N 1917-Ն և N 1923-Ն, ինչպես նաև 2012 թվականի ապրիլի 19-ի N 594-Ն որոշումներն ուժը կորցրած ճանաչելու մասին» N 1691-Ն որոշմամբ (այսուհետ՝ Որոշում) սահմանված կարգավորումները չեն տարածվի ՀՀ արտաքին հետախուզության ծառայության (այսուհետ՝ Ծառայություն) ծառայողների վրա, ինչը պայմանավորված է Ծառայության ծառայողների գաղտնիությունը ապահովելու և սոցիալական երաշխիքների տրամադրման հարաբերությունների կարգավորմանն ուղղված օրենսդրական առանձին փաթեթի մշակման անհրաժեշտությամբ:</w:t>
            </w:r>
          </w:p>
          <w:p>
            <w:pPr>
              <w:pStyle w:val="Normal"/>
              <w:widowControl w:val="false"/>
              <w:spacing w:lineRule="auto" w:line="360" w:before="0" w:after="0"/>
              <w:jc w:val="both"/>
              <w:rPr>
                <w:rFonts w:ascii="GHEA Grapalat" w:hAnsi="GHEA Grapalat"/>
                <w:b w:val="false"/>
                <w:bCs w:val="false"/>
                <w:sz w:val="24"/>
                <w:szCs w:val="24"/>
              </w:rPr>
            </w:pPr>
            <w:r>
              <w:rPr>
                <w:rFonts w:ascii="GHEA Grapalat" w:hAnsi="GHEA Grapalat"/>
                <w:b w:val="false"/>
                <w:bCs w:val="false"/>
                <w:sz w:val="24"/>
                <w:szCs w:val="24"/>
              </w:rPr>
              <w:t> </w:t>
            </w:r>
            <w:r>
              <w:rPr>
                <w:rFonts w:ascii="GHEA Grapalat" w:hAnsi="GHEA Grapalat"/>
                <w:b w:val="false"/>
                <w:bCs w:val="false"/>
                <w:sz w:val="24"/>
                <w:szCs w:val="24"/>
              </w:rPr>
              <w:t>Այդ կապակցությամբ հարկ է նշել, որ գաղտնի գործունեության տեսակետից Ծառայությունը համադրելի է ուժային մյուս կառույցների հետ, ուստի լրացուցիչ պարզաբանման կարիք ունի Որոշմամբ սահմանված սոցիալական փաթեթի ընդհանուր կարգավորումները Ծառայության ծառայողների վրա չտարածելու և սոցիալական երաշխիքների տրամադրման հարաբերությունների կարգավորմանն ուղղված օրենսդրական առանձին փաթեթի մշակելու նպատակահարմարության հարցը:</w:t>
            </w:r>
          </w:p>
        </w:tc>
        <w:tc>
          <w:tcPr>
            <w:tcW w:w="576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Ընդունվել է ի գիտություն</w:t>
            </w:r>
          </w:p>
          <w:p>
            <w:pPr>
              <w:pStyle w:val="Normal"/>
              <w:widowControl w:val="false"/>
              <w:spacing w:lineRule="auto" w:line="360" w:before="0" w:after="0"/>
              <w:jc w:val="both"/>
              <w:rPr>
                <w:rFonts w:ascii="GHEA Grapalat" w:hAnsi="GHEA Grapalat"/>
                <w:b w:val="false"/>
                <w:bCs w:val="false"/>
                <w:sz w:val="24"/>
                <w:szCs w:val="24"/>
              </w:rPr>
            </w:pPr>
            <w:r>
              <w:rPr>
                <w:rFonts w:ascii="GHEA Grapalat" w:hAnsi="GHEA Grapalat"/>
                <w:b w:val="false"/>
                <w:bCs w:val="false"/>
                <w:sz w:val="24"/>
                <w:szCs w:val="24"/>
              </w:rPr>
              <w:t>Հայտնում ենք, որ գաղտնի գործունեության տեսակետից Ծառայությունը համադրելի չէ ուժային մյուս կառույցների հետ, մասնավորապես՝</w:t>
            </w:r>
          </w:p>
          <w:p>
            <w:pPr>
              <w:pStyle w:val="Normal"/>
              <w:widowControl w:val="false"/>
              <w:spacing w:lineRule="auto" w:line="360" w:before="0" w:after="0"/>
              <w:jc w:val="both"/>
              <w:rPr>
                <w:rFonts w:ascii="GHEA Grapalat" w:hAnsi="GHEA Grapalat"/>
                <w:b w:val="false"/>
                <w:bCs w:val="false"/>
                <w:sz w:val="24"/>
                <w:szCs w:val="24"/>
              </w:rPr>
            </w:pPr>
            <w:r>
              <w:rPr>
                <w:rFonts w:ascii="GHEA Grapalat" w:hAnsi="GHEA Grapalat"/>
                <w:b w:val="false"/>
                <w:bCs w:val="false"/>
                <w:sz w:val="24"/>
                <w:szCs w:val="24"/>
              </w:rPr>
              <w:t>1․ Ծառայությունում իրականացվող ծառայությունը զինվորական ծառայություն չէ, և որպես պետական ծառայության առանձին տեսակ, Ծառայությունն ինքնին ունի կառուցվածքային և ֆունկցիոնալ առանձնահատկություններ, ինչպես նաև ծառայողներին ներկայացվող լրացուցիչ պահանջներ, որոնք բնորոշ չեն այլ մարմիններին,</w:t>
            </w:r>
          </w:p>
          <w:p>
            <w:pPr>
              <w:pStyle w:val="Normal"/>
              <w:widowControl w:val="false"/>
              <w:spacing w:lineRule="auto" w:line="360" w:before="0" w:after="0"/>
              <w:jc w:val="both"/>
              <w:rPr/>
            </w:pPr>
            <w:r>
              <w:rPr>
                <w:rFonts w:ascii="GHEA Grapalat" w:hAnsi="GHEA Grapalat"/>
                <w:b w:val="false"/>
                <w:bCs w:val="false"/>
                <w:sz w:val="24"/>
                <w:szCs w:val="24"/>
              </w:rPr>
              <w:t>2․ ի տարբերություն մնացյալ մարմինների՝ Ծառայության դեպքում առկա է գաղտնիության հստակ կարգավորում, մասնավորապես՝ «Արտաքին հետախուզական գործունեության և ար</w:t>
            </w:r>
            <w:r>
              <w:rPr>
                <w:rFonts w:eastAsia="Calibri" w:cs="Noto Sans Arabic" w:ascii="GHEA Grapalat" w:hAnsi="GHEA Grapalat"/>
                <w:b w:val="false"/>
                <w:bCs w:val="false"/>
                <w:color w:val="auto"/>
                <w:kern w:val="0"/>
                <w:sz w:val="24"/>
                <w:szCs w:val="24"/>
                <w:lang w:val="en-US" w:eastAsia="en-US" w:bidi="ar-SA"/>
              </w:rPr>
              <w:t>տաքին հետախուզության ծառայության մասին» օրենքի 14֊րդ հոդվածի 2֊րդ մասի համաձայն՝ Ծառայության կառուցվածքի, անձնակազմի քանակի, հաստիքացուցակի և անվանացանկի վերաբերյալ տեղեկատվությունը հանդիսանում է պ</w:t>
            </w:r>
            <w:r>
              <w:rPr/>
              <w:t>ետական գաղտնիք:</w:t>
            </w:r>
            <w:r>
              <w:rPr>
                <w:rFonts w:ascii="GHEA Grapalat" w:hAnsi="GHEA Grapalat"/>
                <w:b w:val="false"/>
                <w:bCs w:val="false"/>
                <w:sz w:val="24"/>
                <w:szCs w:val="24"/>
              </w:rPr>
              <w:t xml:space="preserve"> Իսկ ՀՀ կառավարության 2012 թվականի դեկտեմբերի 27֊ի N 1691֊Ն որոշմամբ նկարագրված գործընթացը, այդ թվում՝ սոցիալական փաթեթի ծառայություններից օգտվելու ընթացակարգը ծառայողների գաղտնիությունը բացահայտող լուրջ ռիսկեր է պարունակում։</w:t>
            </w:r>
          </w:p>
        </w:tc>
      </w:tr>
      <w:tr>
        <w:trPr>
          <w:trHeight w:val="981" w:hRule="atLeast"/>
        </w:trPr>
        <w:tc>
          <w:tcPr>
            <w:tcW w:w="891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suppressAutoHyphens w:val="true"/>
              <w:spacing w:lineRule="auto" w:line="360" w:before="0" w:after="0"/>
              <w:jc w:val="both"/>
              <w:rPr>
                <w:rFonts w:ascii="GHEA Grapalat" w:hAnsi="GHEA Grapalat"/>
                <w:b w:val="false"/>
                <w:bCs w:val="false"/>
                <w:sz w:val="24"/>
                <w:szCs w:val="24"/>
              </w:rPr>
            </w:pPr>
            <w:r>
              <w:rPr>
                <w:rFonts w:ascii="GHEA Grapalat" w:hAnsi="GHEA Grapalat"/>
                <w:b w:val="false"/>
                <w:bCs w:val="false"/>
                <w:sz w:val="24"/>
                <w:szCs w:val="24"/>
              </w:rPr>
              <w:t> </w:t>
            </w:r>
            <w:r>
              <w:rPr>
                <w:rFonts w:ascii="GHEA Grapalat" w:hAnsi="GHEA Grapalat"/>
                <w:b w:val="false"/>
                <w:bCs w:val="false"/>
                <w:sz w:val="24"/>
                <w:szCs w:val="24"/>
                <w:lang w:val="hy-AM"/>
              </w:rPr>
              <w:t>Միաժամանակ</w:t>
            </w:r>
            <w:r>
              <w:rPr>
                <w:rFonts w:ascii="GHEA Grapalat" w:hAnsi="GHEA Grapalat"/>
                <w:b w:val="false"/>
                <w:bCs w:val="false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b w:val="false"/>
                <w:bCs w:val="false"/>
                <w:sz w:val="24"/>
                <w:szCs w:val="24"/>
                <w:lang w:val="hy-AM"/>
              </w:rPr>
              <w:t>առաջարկում ենք Ծառայության ծառայողների համար առանձին սոցիալական երաշխիքներ սահմանելիս առաջնորդվել այդ ոլորտում այլ մարմինների մասով ներկայիս գործող օրենսդրական կարգավորումներով:</w:t>
            </w:r>
          </w:p>
        </w:tc>
        <w:tc>
          <w:tcPr>
            <w:tcW w:w="576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Ընդունվել է ի գիտություն</w:t>
            </w:r>
          </w:p>
          <w:p>
            <w:pPr>
              <w:pStyle w:val="BodyText"/>
              <w:widowControl w:val="false"/>
              <w:suppressAutoHyphens w:val="true"/>
              <w:spacing w:lineRule="auto" w:line="360" w:before="0" w:after="0"/>
              <w:jc w:val="both"/>
              <w:rPr>
                <w:rFonts w:ascii="GHEA Grapalat" w:hAnsi="GHEA Grapalat"/>
                <w:b w:val="false"/>
                <w:bCs w:val="false"/>
                <w:sz w:val="24"/>
                <w:szCs w:val="24"/>
              </w:rPr>
            </w:pPr>
            <w:r>
              <w:rPr>
                <w:rFonts w:ascii="GHEA Grapalat" w:hAnsi="GHEA Grapalat"/>
                <w:b w:val="false"/>
                <w:bCs w:val="false"/>
                <w:sz w:val="24"/>
                <w:szCs w:val="24"/>
                <w:lang w:val="hy-AM"/>
              </w:rPr>
              <w:t>Ծառայության ծառայողների համար առանձին սոցիալական երաշխիքները կսահմանվեն գործող օրենսդրական կարգավորումների և Ծառայությանը բնորոշ առանձնահատկությունների հաշվառմամբ։</w:t>
            </w:r>
          </w:p>
        </w:tc>
      </w:tr>
      <w:tr>
        <w:trPr/>
        <w:tc>
          <w:tcPr>
            <w:tcW w:w="891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suppressAutoHyphens w:val="true"/>
              <w:overflowPunct w:val="true"/>
              <w:bidi w:val="0"/>
              <w:spacing w:lineRule="auto" w:line="360" w:before="0" w:after="0"/>
              <w:jc w:val="both"/>
              <w:rPr>
                <w:rFonts w:ascii="GHEA Grapalat" w:hAnsi="GHEA Grapalat" w:eastAsia="Calibri" w:cs="Noto Sans Arabic"/>
                <w:b w:val="false"/>
                <w:bCs w:val="false"/>
                <w:color w:val="auto"/>
                <w:kern w:val="0"/>
                <w:sz w:val="24"/>
                <w:szCs w:val="24"/>
                <w:lang w:val="hy-AM" w:eastAsia="en-US" w:bidi="ar-SA"/>
              </w:rPr>
            </w:pPr>
            <w:r>
              <w:rPr>
                <w:rFonts w:eastAsia="Calibri" w:cs="Noto Sans Arabic" w:ascii="GHEA Grapalat" w:hAnsi="GHEA Grapalat"/>
                <w:b w:val="false"/>
                <w:bCs w:val="false"/>
                <w:color w:val="auto"/>
                <w:kern w:val="0"/>
                <w:sz w:val="24"/>
                <w:szCs w:val="24"/>
                <w:lang w:val="hy-AM" w:eastAsia="en-US" w:bidi="ar-SA"/>
              </w:rPr>
              <w:t>Ելնելով վերոգրյալից՝ առաջարկվում է Նախագիծը ներկայացնել Ծառայության ծառայողների սոցիալական երաշխիքների առանձին կարգավորում նախատեսող ՀՀ վարչապետի համապատասխան որոշման նախագծի հետ միասին՝ հիմնավորման մեջ ներկայացնելով նաև ֆինանսական գնահատականը:</w:t>
            </w:r>
          </w:p>
        </w:tc>
        <w:tc>
          <w:tcPr>
            <w:tcW w:w="576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Ընդունվել է ի գիտություն</w:t>
            </w:r>
          </w:p>
          <w:p>
            <w:pPr>
              <w:pStyle w:val="BodyText"/>
              <w:widowControl w:val="false"/>
              <w:suppressAutoHyphens w:val="true"/>
              <w:overflowPunct w:val="true"/>
              <w:bidi w:val="0"/>
              <w:spacing w:lineRule="auto" w:line="360" w:before="0" w:after="0"/>
              <w:jc w:val="both"/>
              <w:rPr>
                <w:rFonts w:ascii="GHEA Grapalat" w:hAnsi="GHEA Grapalat" w:eastAsia="Calibri" w:cs="Noto Sans Arabic"/>
                <w:b w:val="false"/>
                <w:bCs w:val="false"/>
                <w:color w:val="auto"/>
                <w:kern w:val="0"/>
                <w:sz w:val="24"/>
                <w:szCs w:val="24"/>
                <w:lang w:val="hy-AM" w:eastAsia="en-US" w:bidi="ar-SA"/>
              </w:rPr>
            </w:pPr>
            <w:r>
              <w:rPr>
                <w:rFonts w:eastAsia="Calibri" w:cs="Noto Sans Arabic" w:ascii="GHEA Grapalat" w:hAnsi="GHEA Grapalat"/>
                <w:b w:val="false"/>
                <w:bCs w:val="false"/>
                <w:color w:val="auto"/>
                <w:kern w:val="0"/>
                <w:sz w:val="24"/>
                <w:szCs w:val="24"/>
                <w:lang w:val="hy-AM" w:eastAsia="en-US" w:bidi="ar-SA"/>
              </w:rPr>
              <w:t>Ծառայության ծառայողների սոցիալական երաշխիքների վերաբերյալ առանձին կարգավորում սահմանելու մասին համապատասխան օրենսդրական նախագծի փաթեթի շրջանակներում անդրադարձ կկատարվի նաև ֆինանսական գնահատականին։</w:t>
            </w:r>
          </w:p>
        </w:tc>
      </w:tr>
    </w:tbl>
    <w:p>
      <w:pPr>
        <w:pStyle w:val="Normal"/>
        <w:spacing w:before="0" w:after="0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</w:r>
    </w:p>
    <w:sectPr>
      <w:footerReference w:type="even" r:id="rId2"/>
      <w:footerReference w:type="default" r:id="rId3"/>
      <w:footerReference w:type="first" r:id="rId4"/>
      <w:type w:val="nextPage"/>
      <w:pgSz w:orient="landscape" w:w="15840" w:h="12240"/>
      <w:pgMar w:left="738" w:right="702" w:gutter="0" w:header="0" w:top="1260" w:footer="720" w:bottom="144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01" w:characterSet="utf-8"/>
    <w:family w:val="roman"/>
    <w:pitch w:val="variable"/>
  </w:font>
  <w:font w:name="Segoe UI">
    <w:charset w:val="01" w:characterSet="utf-8"/>
    <w:family w:val="roman"/>
    <w:pitch w:val="variable"/>
  </w:font>
  <w:font w:name="Liberation Sans">
    <w:altName w:val="Arial"/>
    <w:charset w:val="01" w:characterSet="utf-8"/>
    <w:family w:val="roman"/>
    <w:pitch w:val="variable"/>
  </w:font>
  <w:font w:name="Times New Roman">
    <w:charset w:val="01" w:characterSet="utf-8"/>
    <w:family w:val="roman"/>
    <w:pitch w:val="variable"/>
  </w:font>
  <w:font w:name="GHEA Grapalat">
    <w:charset w:val="01" w:characterSet="utf-8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4</w:t>
    </w:r>
    <w:r>
      <w:rPr/>
      <w:fldChar w:fldCharType="end"/>
    </w:r>
  </w:p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4</w:t>
    </w:r>
    <w:r>
      <w:rPr/>
      <w:fldChar w:fldCharType="end"/>
    </w:r>
  </w:p>
  <w:p>
    <w:pPr>
      <w:pStyle w:val="Footer"/>
      <w:rPr/>
    </w:pPr>
    <w:r>
      <w:rPr/>
    </w:r>
  </w:p>
</w:ftr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Noto Sans Arabic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lineRule="auto" w:line="259" w:before="0" w:after="160"/>
      <w:jc w:val="start"/>
    </w:pPr>
    <w:rPr>
      <w:rFonts w:ascii="Calibri" w:hAnsi="Calibri" w:eastAsia="Calibri" w:cs="Noto Sans Arabic"/>
      <w:color w:val="auto"/>
      <w:kern w:val="0"/>
      <w:sz w:val="22"/>
      <w:szCs w:val="22"/>
      <w:lang w:val="en-US" w:eastAsia="en-US" w:bidi="ar-SA"/>
    </w:rPr>
  </w:style>
  <w:style w:type="character" w:styleId="DefaultParagraphFont">
    <w:name w:val="Default Paragraph Font"/>
    <w:qFormat/>
    <w:rPr/>
  </w:style>
  <w:style w:type="character" w:styleId="annotationreference">
    <w:name w:val="annotation reference"/>
    <w:basedOn w:val="DefaultParagraphFont"/>
    <w:qFormat/>
    <w:rPr>
      <w:sz w:val="16"/>
      <w:szCs w:val="16"/>
    </w:rPr>
  </w:style>
  <w:style w:type="character" w:styleId="CommentTextChar">
    <w:name w:val="Comment Text Char"/>
    <w:basedOn w:val="DefaultParagraphFont"/>
    <w:link w:val="AnnotationText"/>
    <w:qFormat/>
    <w:rPr>
      <w:sz w:val="20"/>
      <w:szCs w:val="20"/>
    </w:rPr>
  </w:style>
  <w:style w:type="character" w:styleId="CommentSubjectChar">
    <w:name w:val="Comment Subject Char"/>
    <w:basedOn w:val="CommentTextChar"/>
    <w:link w:val="annotationsubject"/>
    <w:qFormat/>
    <w:rPr>
      <w:b/>
      <w:bCs/>
      <w:sz w:val="20"/>
      <w:szCs w:val="20"/>
    </w:rPr>
  </w:style>
  <w:style w:type="character" w:styleId="BalloonTextChar">
    <w:name w:val="Balloon Text Char"/>
    <w:basedOn w:val="DefaultParagraphFont"/>
    <w:link w:val="BalloonText"/>
    <w:qFormat/>
    <w:rPr>
      <w:rFonts w:ascii="Segoe UI" w:hAnsi="Segoe UI" w:cs="Segoe UI"/>
      <w:sz w:val="18"/>
      <w:szCs w:val="18"/>
    </w:rPr>
  </w:style>
  <w:style w:type="character" w:styleId="HeaderChar">
    <w:name w:val="Header Char"/>
    <w:basedOn w:val="DefaultParagraphFont"/>
    <w:link w:val="Header"/>
    <w:qFormat/>
    <w:rPr/>
  </w:style>
  <w:style w:type="character" w:styleId="FooterChar">
    <w:name w:val="Footer Char"/>
    <w:basedOn w:val="DefaultParagraphFont"/>
    <w:link w:val="Footer"/>
    <w:qFormat/>
    <w:rPr/>
  </w:style>
  <w:style w:type="character" w:styleId="StrongEmphasis">
    <w:name w:val="Strong Emphasis"/>
    <w:qFormat/>
    <w:rPr>
      <w:b/>
      <w:bCs/>
    </w:rPr>
  </w:style>
  <w:style w:type="character" w:styleId="Strong">
    <w:name w:val="Strong"/>
    <w:basedOn w:val="DefaultParagraphFont"/>
    <w:qFormat/>
    <w:rPr>
      <w:b/>
      <w:bCs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</w:rPr>
  </w:style>
  <w:style w:type="paragraph" w:styleId="AnnotationText">
    <w:name w:val="Annotation Text"/>
    <w:basedOn w:val="Normal"/>
    <w:link w:val="CommentTextChar"/>
    <w:qFormat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CommentSubjectChar"/>
    <w:qFormat/>
    <w:pPr/>
    <w:rPr>
      <w:b/>
      <w:bCs/>
    </w:rPr>
  </w:style>
  <w:style w:type="paragraph" w:styleId="BalloonText">
    <w:name w:val="Balloon Text"/>
    <w:basedOn w:val="Normal"/>
    <w:link w:val="BalloonTextChar"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  <w:style w:type="paragraph" w:styleId="NormalWeb">
    <w:name w:val="Normal (Web)"/>
    <w:basedOn w:val="Normal"/>
    <w:qFormat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</w:rPr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1689</TotalTime>
  <Application>LibreOffice/24.2.5.2$Linux_X86_64 LibreOffice_project/420$Build-2</Application>
  <AppVersion>15.0000</AppVersion>
  <Pages>4</Pages>
  <Words>409</Words>
  <Characters>3259</Characters>
  <CharactersWithSpaces>3647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2022-12-07T05:34:00Z</dcterms:created>
  <dc:creator>Narek Abrahamyan</dc:creator>
  <dc:description/>
  <dc:language>en-US</dc:language>
  <cp:lastModifiedBy/>
  <cp:lastPrinted>2024-12-04T15:15:03Z</cp:lastPrinted>
  <dcterms:modified xsi:type="dcterms:W3CDTF">2024-12-06T11:54:56Z</dcterms:modified>
  <cp:revision>240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