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Footer"/>
        <w:spacing w:line="360" w:lineRule="auto"/>
        <w:jc w:val="center"/>
        <w:rPr>
          <w:rFonts w:ascii="GHEA Grapalat" w:hAnsi="GHEA Grapalat" w:cs="Sylfaen"/>
          <w:b/>
          <w:sz w:val="24"/>
          <w:szCs w:val="24"/>
        </w:rPr>
      </w:pPr>
      <w:r>
        <w:rPr>
          <w:rFonts w:ascii="GHEA Grapalat" w:hAnsi="GHEA Grapalat" w:cs="Sylfaen"/>
          <w:b/>
          <w:sz w:val="24"/>
          <w:szCs w:val="24"/>
        </w:rPr>
        <w:t>ԱՄՓՈՓԱԹԵՐԹ</w:t>
      </w:r>
    </w:p>
    <w:p>
      <w:pPr>
        <w:pStyle w:val="Footer"/>
        <w:spacing w:line="360" w:lineRule="auto"/>
        <w:jc w:val="center"/>
        <w:rPr>
          <w:rFonts w:ascii="GHEA Grapalat" w:hAnsi="GHEA Grapalat" w:cs="Sylfaen"/>
          <w:b/>
          <w:sz w:val="24"/>
          <w:szCs w:val="24"/>
          <w:lang w:val="hy-AM"/>
        </w:rPr>
      </w:pPr>
      <w:bookmarkStart w:id="0" w:name="_Hlk155375749"/>
      <w:r>
        <w:rPr>
          <w:rFonts w:ascii="GHEA Grapalat" w:eastAsia="Calibri" w:hAnsi="GHEA Grapalat" w:cs="Times New Roman"/>
          <w:b/>
          <w:bCs/>
          <w:sz w:val="24"/>
          <w:szCs w:val="24"/>
          <w:shd w:val="clear" w:color="auto" w:fill="FFFFFF"/>
          <w:lang w:val="hy-AM"/>
        </w:rPr>
        <w:t>ԱՆՀՈՒՍԱԼԻ ՎԱՐԿԵՐ ՈՒՆԵՑՈՂ</w:t>
      </w:r>
      <w:r>
        <w:rPr>
          <w:rFonts w:ascii="GHEA Grapalat" w:hAnsi="GHEA Grapalat"/>
          <w:color w:val="000000"/>
          <w:sz w:val="21"/>
          <w:szCs w:val="24"/>
          <w:lang w:val="hy-AM"/>
        </w:rPr>
        <w:t xml:space="preserve"> </w:t>
      </w:r>
      <w:r>
        <w:rPr>
          <w:rFonts w:ascii="GHEA Grapalat" w:eastAsia="Calibri" w:hAnsi="GHEA Grapalat" w:cs="Times New Roman"/>
          <w:b/>
          <w:bCs/>
          <w:sz w:val="24"/>
          <w:szCs w:val="24"/>
          <w:shd w:val="clear" w:color="auto" w:fill="FFFFFF"/>
          <w:lang w:val="hy-AM"/>
        </w:rPr>
        <w:t>ԱՆՁԱՆՑ ՏՆՏԵՍԱԿԱՆ ԱԿՏԻՎՈՒԹՅԱՆ ԽԹԱՆՄԱՆ ՄԻՋՈՑԱՌՈՒՄԸ ԵՎ ԿԱՐԳԸ ՀԱՍՏԱՏԵԼՈՒ ՄԱՍԻՆ</w:t>
      </w:r>
      <w:bookmarkEnd w:id="0"/>
      <w:r>
        <w:rPr>
          <w:rFonts w:ascii="GHEA Grapalat" w:hAnsi="GHEA Grapalat" w:cs="Sylfaen"/>
          <w:b/>
          <w:sz w:val="24"/>
          <w:szCs w:val="24"/>
          <w:lang w:val="hy-AM"/>
        </w:rPr>
        <w:t xml:space="preserve"> ՆԱԽԱԳԾԻ</w:t>
      </w:r>
    </w:p>
    <w:tbl>
      <w:tblPr>
        <w:tblStyle w:val="TableGrid"/>
        <w:tblpPr w:leftFromText="180" w:rightFromText="180" w:vertAnchor="text" w:tblpY="1"/>
        <w:tblOverlap w:val="never"/>
        <w:tblW w:w="15021" w:type="dxa"/>
        <w:tblLook w:val="04A0" w:firstRow="1" w:lastRow="0" w:firstColumn="1" w:lastColumn="0" w:noHBand="0" w:noVBand="1"/>
      </w:tblPr>
      <w:tblGrid>
        <w:gridCol w:w="9918"/>
        <w:gridCol w:w="5103"/>
      </w:tblGrid>
      <w:tr>
        <w:trPr>
          <w:trHeight w:val="841"/>
        </w:trPr>
        <w:tc>
          <w:tcPr>
            <w:tcW w:w="9918" w:type="dxa"/>
            <w:vAlign w:val="center"/>
          </w:tcPr>
          <w:p>
            <w:pPr>
              <w:pStyle w:val="ListParagraph"/>
              <w:numPr>
                <w:ilvl w:val="0"/>
                <w:numId w:val="2"/>
              </w:numPr>
              <w:spacing w:line="360" w:lineRule="auto"/>
              <w:jc w:val="center"/>
              <w:rPr>
                <w:rFonts w:ascii="GHEA Grapalat" w:hAnsi="GHEA Grapalat"/>
                <w:b/>
                <w:spacing w:val="-6"/>
                <w:sz w:val="24"/>
                <w:szCs w:val="24"/>
              </w:rPr>
            </w:pPr>
            <w:r>
              <w:rPr>
                <w:rFonts w:ascii="GHEA Grapalat" w:hAnsi="GHEA Grapalat"/>
                <w:b/>
                <w:spacing w:val="-6"/>
                <w:sz w:val="24"/>
                <w:szCs w:val="24"/>
                <w:lang w:val="hy-AM"/>
              </w:rPr>
              <w:t>Ֆինանսների նախարարություն</w:t>
            </w:r>
          </w:p>
        </w:tc>
        <w:tc>
          <w:tcPr>
            <w:tcW w:w="5103" w:type="dxa"/>
          </w:tcPr>
          <w:p>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05.02.2024</w:t>
            </w:r>
          </w:p>
          <w:p>
            <w:pPr>
              <w:widowControl w:val="0"/>
              <w:spacing w:line="276" w:lineRule="auto"/>
              <w:ind w:right="210"/>
              <w:contextualSpacing/>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01/8-3/1968-2024</w:t>
            </w:r>
          </w:p>
        </w:tc>
      </w:tr>
      <w:tr>
        <w:tc>
          <w:tcPr>
            <w:tcW w:w="9918" w:type="dxa"/>
          </w:tcPr>
          <w:p>
            <w:pPr>
              <w:shd w:val="clear" w:color="auto" w:fill="FFFFFF"/>
              <w:tabs>
                <w:tab w:val="left" w:pos="851"/>
              </w:tabs>
              <w:spacing w:line="288" w:lineRule="auto"/>
              <w:jc w:val="both"/>
              <w:rPr>
                <w:rFonts w:ascii="GHEA Grapalat" w:hAnsi="GHEA Grapalat"/>
                <w:sz w:val="24"/>
                <w:szCs w:val="24"/>
                <w:lang w:val="hy-AM"/>
              </w:rPr>
            </w:pPr>
            <w:r>
              <w:rPr>
                <w:rFonts w:ascii="GHEA Grapalat" w:hAnsi="GHEA Grapalat" w:cs="Calibri"/>
                <w:bCs/>
                <w:sz w:val="24"/>
                <w:szCs w:val="24"/>
                <w:lang w:val="hy-AM"/>
              </w:rPr>
              <w:t>Նախագծի վերաբերյալ հայտնում ենք, որ ընդհանուր առմամբ կողմ լինելով առաջարկվող ծրագրի իրականացման անհրաժեշտությանը՝ այնուամենայնիվ վերջինիս վերաբերյալ առանձնացրել ենք որոշակի դիտարկումներ և առաջարկություններ, որոնք քննարկման և պարզաբանման կարիք ունեն՝ մասնավորապես.</w:t>
            </w:r>
          </w:p>
          <w:p>
            <w:pPr>
              <w:pStyle w:val="NormalWeb"/>
              <w:numPr>
                <w:ilvl w:val="0"/>
                <w:numId w:val="20"/>
              </w:numPr>
              <w:shd w:val="clear" w:color="auto" w:fill="FFFFFF"/>
              <w:spacing w:before="0" w:beforeAutospacing="0" w:after="0" w:afterAutospacing="0" w:line="288" w:lineRule="auto"/>
              <w:ind w:left="308"/>
              <w:jc w:val="both"/>
              <w:rPr>
                <w:rFonts w:ascii="GHEA Grapalat" w:hAnsi="GHEA Grapalat"/>
                <w:color w:val="FF0000"/>
                <w:lang w:val="hy-AM"/>
              </w:rPr>
            </w:pPr>
            <w:r>
              <w:rPr>
                <w:rFonts w:ascii="GHEA Grapalat" w:eastAsia="Calibri" w:hAnsi="GHEA Grapalat" w:cs="Sylfaen"/>
                <w:lang w:val="hy-AM"/>
              </w:rPr>
              <w:t xml:space="preserve">Նախագծով առաջարկվում է </w:t>
            </w:r>
            <w:r>
              <w:rPr>
                <w:rFonts w:ascii="GHEA Grapalat" w:hAnsi="GHEA Grapalat"/>
                <w:lang w:val="hy-AM"/>
              </w:rPr>
              <w:t>աջակցել 01.04.</w:t>
            </w:r>
            <w:r>
              <w:rPr>
                <w:rFonts w:ascii="GHEA Grapalat" w:eastAsia="Calibri" w:hAnsi="GHEA Grapalat" w:cs="Calibri"/>
                <w:bCs/>
                <w:lang w:val="hy-AM"/>
              </w:rPr>
              <w:t>2024թ.-ին</w:t>
            </w:r>
            <w:r>
              <w:rPr>
                <w:rFonts w:ascii="GHEA Grapalat" w:hAnsi="GHEA Grapalat"/>
                <w:lang w:val="hy-AM"/>
              </w:rPr>
              <w:t xml:space="preserve"> նախորդող 1 տարվա ընթացքում առնվազն 183 օր ֆորմալ զբաղվածություն չունեցող անձանց,</w:t>
            </w:r>
            <w:r>
              <w:rPr>
                <w:rFonts w:ascii="GHEA Grapalat" w:eastAsia="Calibri" w:hAnsi="GHEA Grapalat" w:cs="Sylfaen"/>
                <w:lang w:val="hy-AM"/>
              </w:rPr>
              <w:t xml:space="preserve"> և տվյալ դեպքում ստացվում է, որ աջակցությունը տարածվում է նաև սահմանված վերջնաժամկետից մինչև 6 ամիս առաջ աշխատանքի անցած անձանց վրա, ովքեր տվյալ պահին արդեն հանդիսանում են եկամտահարկ վճարողներ և աջակցության կիրառման արդյունքում կարող է տեղի ունենալ ռեզիդենտի կողմից վճարվող </w:t>
            </w:r>
            <w:r>
              <w:rPr>
                <w:rFonts w:ascii="GHEA Grapalat" w:hAnsi="GHEA Grapalat" w:cs="Calibri"/>
                <w:bCs/>
                <w:lang w:val="hy-AM"/>
              </w:rPr>
              <w:t>եկամտային հարկի գումարի 50%-ի, բայց ոչ ավելի, քան ամսական 25,000 ՀՀ դրամի չափով պետական բյուջեի մուտքերի նվազում, որի չափը գնահատված չէ:</w:t>
            </w:r>
          </w:p>
          <w:p>
            <w:pPr>
              <w:shd w:val="clear" w:color="auto" w:fill="FFFFFF"/>
              <w:tabs>
                <w:tab w:val="left" w:pos="540"/>
              </w:tabs>
              <w:spacing w:line="288" w:lineRule="auto"/>
              <w:ind w:firstLine="567"/>
              <w:contextualSpacing/>
              <w:jc w:val="both"/>
              <w:rPr>
                <w:rFonts w:ascii="GHEA Grapalat" w:hAnsi="GHEA Grapalat" w:cs="Calibri"/>
                <w:bCs/>
                <w:sz w:val="24"/>
                <w:szCs w:val="24"/>
                <w:lang w:val="hy-AM"/>
              </w:rPr>
            </w:pPr>
            <w:r>
              <w:rPr>
                <w:rFonts w:ascii="GHEA Grapalat" w:hAnsi="GHEA Grapalat" w:cs="Calibri"/>
                <w:bCs/>
                <w:sz w:val="24"/>
                <w:szCs w:val="24"/>
                <w:lang w:val="hy-AM"/>
              </w:rPr>
              <w:t>Պետք է նկատել նաև, որ Նախագծի առաջացրած հնարավոր ծախսային բեռը և ռիսկերը պետական բյուջեի համար ամբողջությամբ բացահայտված չեն, քանի որ Նախագծում դիտարկվել է շահառուների, ըստ էության հիպոթետիկ քանակ (ամսական 1000 նոր շահառու)։ Մինչդեռ անհուսալի վարկառուների ընդհանուր թիվը կազմում է 440 հազար,</w:t>
            </w:r>
            <w:r>
              <w:rPr>
                <w:rFonts w:ascii="GHEA Grapalat" w:hAnsi="GHEA Grapalat"/>
                <w:sz w:val="24"/>
                <w:szCs w:val="24"/>
                <w:lang w:val="hy-AM"/>
              </w:rPr>
              <w:t xml:space="preserve"> իսկ 100,000 դրամ և ավել մեծությամբ անհուսալի վարկ ունեցող ֆիզիկական անձ վարկառուների թիվը կազմում է շուրջ 284 հազար: Ընդ որում, նրանց միայն 20%-ն </w:t>
            </w:r>
            <w:r>
              <w:rPr>
                <w:rFonts w:ascii="GHEA Grapalat" w:hAnsi="GHEA Grapalat"/>
                <w:sz w:val="24"/>
                <w:szCs w:val="24"/>
                <w:lang w:val="hy-AM"/>
              </w:rPr>
              <w:lastRenderedPageBreak/>
              <w:t>է (մոտ 57 հազար անձ), ովքեր ունեն ֆորմալ զբաղվածություն, մնացածը կամ չունեն աշխատանք կամ գտնվում են ոչ ֆորմալ զբաղվածության մեջ: Արդյունքում ֆիզիկական անձ վարկառուների թիվը, ովքեր գտնվում են ոչ ֆորմալ զբաղվածության մեջ կամ չեն աշխատում՝ կազմում է 227 հազար: Այս տեսակետից հարց է առաջանում, թե թիրախային խմբից ամսական միջինում լրացուցիչ 1000 անձանց և 9 ամիսների ընթացքում  հանրագումարային 9000 անձանց ֆորմալ զբաղվածության անցնելու ենթադրությունն ինչպես է մշակվել, որի հիման վրա անհրաժեշտ ֆինանսական միջոցների չափը 2024 թվականի համար կկազմի 737,644,000 դրամ։ Մինչդեռ ակնհայտ է, որ հնարավոր շահառուների շրջանակը բազմակի անգամ լայն է ենթադրված մեծությունից, ինչը հաշվի առնելով անհրաժեշտ ֆինանսական միջոցների չափը կարող է խիստ թերագնահատված լինել։</w:t>
            </w:r>
          </w:p>
          <w:p>
            <w:pPr>
              <w:pStyle w:val="NormalWeb"/>
              <w:numPr>
                <w:ilvl w:val="0"/>
                <w:numId w:val="20"/>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Համաձայն Նախագծի 5-րդ կետի՝ միջոցառման շրջանակում շահառու դառնալու վերջնաժամկետ է սահմանվում 31.08.2024թ.-ը, որը ենթադրում է, որ շահառուները չեն կարող առցանց հարթակում ծրագրից օգտվելու դիմում ներկայացնել 31.08.2024թ.-ից հետո: Ի հակասություն վերջինիս՝ հիմնավորման մեջ ներկայացված հաշվարկներում հիմք է ընդունվում այն, որ 31.08.2024թ.-ից հետո շահառուների թիվը շարունակելու է աճել մինչև դեկտեմբերի 31-ը՝ կազմելով 8000: Հետևաբար, ներկայացված հաշվարկները, տվյալ անհամապատասխանության դեպքում ճիշտ պատկեր չեն տալիս բյուջեի վրա ընկնող հնարավոր բեռի չափի մասին։</w:t>
            </w:r>
          </w:p>
          <w:p>
            <w:pPr>
              <w:shd w:val="clear" w:color="auto" w:fill="FFFFFF"/>
              <w:tabs>
                <w:tab w:val="left" w:pos="540"/>
              </w:tabs>
              <w:spacing w:line="288" w:lineRule="auto"/>
              <w:ind w:firstLine="567"/>
              <w:contextualSpacing/>
              <w:jc w:val="both"/>
              <w:rPr>
                <w:rFonts w:ascii="GHEA Grapalat" w:hAnsi="GHEA Grapalat"/>
                <w:sz w:val="24"/>
                <w:szCs w:val="24"/>
                <w:lang w:val="hy-AM"/>
              </w:rPr>
            </w:pPr>
            <w:r>
              <w:rPr>
                <w:rFonts w:ascii="GHEA Grapalat" w:hAnsi="GHEA Grapalat"/>
                <w:sz w:val="24"/>
                <w:szCs w:val="24"/>
                <w:lang w:val="hy-AM"/>
              </w:rPr>
              <w:t>Միաժամանակ նշվում է, որ միջոցառման տևողությունը կազմում է 9 ամիս, մինչդեռ ըստ ներկայացված ծրագրային պայմանների՝ վերջինս կավարտվի 01.09.2025թ.-ին: Հաշվի առնելով վերոնշյալը՝ առաջարկում ենք Նախագծում ֆիքսել միջոցառման հստակ վերջնաժամկետն ու եկամտային հարկից նվազեցվող փոխհատուցվող գումարների ծավալներն</w:t>
            </w:r>
            <w:r>
              <w:rPr>
                <w:rFonts w:ascii="GHEA Grapalat" w:eastAsia="Times New Roman" w:hAnsi="GHEA Grapalat"/>
                <w:sz w:val="24"/>
                <w:szCs w:val="24"/>
                <w:lang w:val="hy-AM" w:eastAsia="x-none"/>
              </w:rPr>
              <w:t xml:space="preserve"> ըստ 2024-2025 թվականների։ Խնդրում ենք տալ պարզաբանումներ նաև </w:t>
            </w:r>
            <w:r>
              <w:rPr>
                <w:rFonts w:ascii="GHEA Grapalat" w:hAnsi="GHEA Grapalat"/>
                <w:sz w:val="24"/>
                <w:szCs w:val="24"/>
                <w:lang w:val="hy-AM"/>
              </w:rPr>
              <w:lastRenderedPageBreak/>
              <w:t>միջոցառման շրջանակում շահառու դառնալու համար վերջնաժամկետը՝ 31.08.2024թ.-ը սահմանելու անհրաժեշտության կամ հիմնավորվածության վերաբերյալ:</w:t>
            </w:r>
          </w:p>
          <w:p>
            <w:pPr>
              <w:pStyle w:val="NormalWeb"/>
              <w:numPr>
                <w:ilvl w:val="0"/>
                <w:numId w:val="20"/>
              </w:numPr>
              <w:shd w:val="clear" w:color="auto" w:fill="FFFFFF"/>
              <w:spacing w:before="0" w:beforeAutospacing="0" w:after="0" w:afterAutospacing="0" w:line="288" w:lineRule="auto"/>
              <w:ind w:left="308"/>
              <w:jc w:val="both"/>
              <w:rPr>
                <w:rFonts w:ascii="GHEA Grapalat" w:hAnsi="GHEA Grapalat" w:cs="Calibri"/>
                <w:bCs/>
                <w:lang w:val="hy-AM"/>
              </w:rPr>
            </w:pPr>
            <w:r>
              <w:rPr>
                <w:rFonts w:ascii="GHEA Grapalat" w:hAnsi="GHEA Grapalat"/>
                <w:lang w:val="hy-AM" w:eastAsia="x-none"/>
              </w:rPr>
              <w:t xml:space="preserve">Անհրաժեշտ է պարզաբանել, արդյո՞ք եթե շահառուն ի թիվս անհուսալի վարկերի՝ </w:t>
            </w:r>
            <w:r>
              <w:rPr>
                <w:rFonts w:ascii="GHEA Grapalat" w:hAnsi="GHEA Grapalat" w:cs="Calibri"/>
                <w:bCs/>
                <w:lang w:val="hy-AM"/>
              </w:rPr>
              <w:t>ունենա անգամ 1 աշխատող վարկ, ապա չի կարող բավարարել շահառու համարվելու ներկայացվող պահանջին։</w:t>
            </w:r>
          </w:p>
          <w:p>
            <w:pPr>
              <w:pStyle w:val="NormalWeb"/>
              <w:numPr>
                <w:ilvl w:val="0"/>
                <w:numId w:val="20"/>
              </w:numPr>
              <w:shd w:val="clear" w:color="auto" w:fill="FFFFFF"/>
              <w:spacing w:before="0" w:beforeAutospacing="0" w:after="0" w:afterAutospacing="0" w:line="288" w:lineRule="auto"/>
              <w:ind w:left="308"/>
              <w:jc w:val="both"/>
              <w:rPr>
                <w:rFonts w:ascii="GHEA Grapalat" w:hAnsi="GHEA Grapalat" w:cs="Calibri"/>
                <w:bCs/>
                <w:lang w:val="hy-AM"/>
              </w:rPr>
            </w:pPr>
            <w:r>
              <w:rPr>
                <w:rFonts w:ascii="GHEA Grapalat" w:hAnsi="GHEA Grapalat" w:cs="Calibri"/>
                <w:bCs/>
                <w:lang w:val="hy-AM"/>
              </w:rPr>
              <w:t>Առաջարկում ենք սահմանել համապատասխան դրույթ, համաձայն որի՝ շահառուն նախկինում եկամտային հարկի ետվերադարձի այլ ծրագրերից օգտված լինելու դեպքում չի կարող օգտվել տվյալ աջակցությունից։</w:t>
            </w:r>
          </w:p>
          <w:p>
            <w:pPr>
              <w:pStyle w:val="NormalWeb"/>
              <w:numPr>
                <w:ilvl w:val="0"/>
                <w:numId w:val="20"/>
              </w:numPr>
              <w:shd w:val="clear" w:color="auto" w:fill="FFFFFF"/>
              <w:spacing w:before="0" w:beforeAutospacing="0" w:after="0" w:afterAutospacing="0" w:line="288" w:lineRule="auto"/>
              <w:ind w:left="308"/>
              <w:jc w:val="both"/>
              <w:rPr>
                <w:rFonts w:ascii="GHEA Grapalat" w:hAnsi="GHEA Grapalat" w:cs="Sylfaen"/>
                <w:lang w:val="hy-AM"/>
              </w:rPr>
            </w:pPr>
            <w:r>
              <w:rPr>
                <w:rFonts w:ascii="GHEA Grapalat" w:hAnsi="GHEA Grapalat"/>
                <w:lang w:val="hy-AM"/>
              </w:rPr>
              <w:t>Ներկայումս վարկատու-վարկառու հարաբերությունների միջև կա նաև մեկ այլ սուբյեկտ՝ վարկառուի ստանձնած պարտավորությունների պատշաճ կատարման համար երաշխավոր հանդես եկած անձը, որը շատ դեպքերում ակամայից նույնպես հայտնվում է անհուսալի վարկային պարտավորություններ ստանձնածների ցանկում, որոնց մասով առաջարկվող ծրագրում կարգավորումներ չկան: Առաջարկում ենք քննարկել վերջիններիս նույնպես Նախագծի շահառուների շրջանակներում ներառելու նպատակահարմարության հարցը:</w:t>
            </w:r>
          </w:p>
        </w:tc>
        <w:tc>
          <w:tcPr>
            <w:tcW w:w="5103" w:type="dxa"/>
          </w:tcPr>
          <w:p>
            <w:pPr>
              <w:pStyle w:val="ListParagraph"/>
              <w:numPr>
                <w:ilvl w:val="0"/>
                <w:numId w:val="21"/>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Բարձրացված հարցի մասով հայտնում ենք.</w:t>
            </w:r>
          </w:p>
          <w:p>
            <w:pPr>
              <w:spacing w:line="288" w:lineRule="auto"/>
              <w:ind w:left="102"/>
              <w:rPr>
                <w:rFonts w:ascii="GHEA Grapalat" w:hAnsi="GHEA Grapalat"/>
                <w:sz w:val="24"/>
                <w:szCs w:val="24"/>
                <w:lang w:val="hy-AM"/>
              </w:rPr>
            </w:pPr>
            <w:r>
              <w:rPr>
                <w:rFonts w:ascii="GHEA Grapalat" w:hAnsi="GHEA Grapalat"/>
                <w:bCs/>
                <w:color w:val="000000"/>
                <w:sz w:val="24"/>
                <w:szCs w:val="24"/>
                <w:shd w:val="clear" w:color="auto" w:fill="FFFFFF"/>
                <w:lang w:val="hy-AM"/>
              </w:rPr>
              <w:t xml:space="preserve">Նախագծի հիմնավորումներում ներկայացվել են անհրաժեշտ հաշվարկները, այդ թվում՝ խնդրո առարկա հարցի հետ կապված գնահատականները։ Ըստ այդմ՝ </w:t>
            </w:r>
            <w:r>
              <w:rPr>
                <w:rFonts w:ascii="GHEA Grapalat" w:hAnsi="GHEA Grapalat"/>
                <w:sz w:val="24"/>
                <w:szCs w:val="24"/>
                <w:lang w:val="hy-AM"/>
              </w:rPr>
              <w:t xml:space="preserve"> միջոցառման շրջանակում տրամադրվող ֆինանսական աջակցությունը, ըստ բերված հաշվարկների, չի բերի պետական բյուջեի ծանրաբեռնվածության ավելացմանը, այլ ընդհակառակը, հարկային մուտքերի ավելացմանը</w:t>
            </w:r>
          </w:p>
          <w:p>
            <w:pPr>
              <w:spacing w:line="288" w:lineRule="auto"/>
              <w:ind w:left="102"/>
              <w:rPr>
                <w:rFonts w:ascii="GHEA Grapalat" w:hAnsi="GHEA Grapalat"/>
                <w:bCs/>
                <w:color w:val="000000"/>
                <w:sz w:val="24"/>
                <w:szCs w:val="24"/>
                <w:shd w:val="clear" w:color="auto" w:fill="FFFFFF"/>
                <w:lang w:val="hy-AM"/>
              </w:rPr>
            </w:pPr>
          </w:p>
          <w:p>
            <w:pPr>
              <w:pStyle w:val="ListParagraph"/>
              <w:numPr>
                <w:ilvl w:val="0"/>
                <w:numId w:val="21"/>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ընդունվել է, </w:t>
            </w:r>
            <w:r>
              <w:rPr>
                <w:rFonts w:ascii="GHEA Grapalat" w:hAnsi="GHEA Grapalat"/>
                <w:bCs/>
                <w:color w:val="000000"/>
                <w:sz w:val="24"/>
                <w:szCs w:val="24"/>
                <w:shd w:val="clear" w:color="auto" w:fill="FFFFFF"/>
                <w:lang w:val="hy-AM"/>
              </w:rPr>
              <w:t>կատարվել են համապատասխան փոփոխություններ նախագծում և հիմնավորումներում</w:t>
            </w: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numPr>
                <w:ilvl w:val="0"/>
                <w:numId w:val="21"/>
              </w:numPr>
              <w:spacing w:line="288" w:lineRule="auto"/>
              <w:ind w:left="462"/>
              <w:rPr>
                <w:rFonts w:ascii="GHEA Grapalat" w:hAnsi="GHEA Grapalat"/>
                <w:b/>
                <w:color w:val="000000"/>
                <w:sz w:val="24"/>
                <w:szCs w:val="24"/>
                <w:shd w:val="clear" w:color="auto" w:fill="FFFFFF"/>
                <w:lang w:val="hy-AM"/>
              </w:rPr>
            </w:pPr>
            <w:r>
              <w:rPr>
                <w:rFonts w:ascii="GHEA Grapalat" w:hAnsi="GHEA Grapalat"/>
                <w:bCs/>
                <w:color w:val="000000"/>
                <w:sz w:val="24"/>
                <w:szCs w:val="24"/>
                <w:shd w:val="clear" w:color="auto" w:fill="FFFFFF"/>
                <w:lang w:val="hy-AM"/>
              </w:rPr>
              <w:lastRenderedPageBreak/>
              <w:t xml:space="preserve">Շահառուի սահմանման մեջ պարտադիր պահանջ է ներկայացված, ըստ որի շահառուի բոլոր վարկերն առնվազն 3 տարի առաջ դասակարգված են եղել անհուսալի դասով, հետևաբար այլ աշխատող կամ չաշխատող (ոչ անհուսալի դասակարգված) վարկեր շահառուն չի կարող ունենալ։ Բացի դրանից, անձը անհուսալի դասով առնվազն 1 ունենալու պարագայում գործնականում չի կարող ունենալ այլ աշխատող ակտիվներ, քանի որ համաձայն </w:t>
            </w:r>
            <w:r>
              <w:rPr>
                <w:rFonts w:ascii="GHEA Grapalat" w:eastAsia="Calibri" w:hAnsi="GHEA Grapalat" w:cs="Calibri"/>
                <w:bCs/>
                <w:sz w:val="24"/>
                <w:szCs w:val="24"/>
                <w:lang w:val="hy-AM"/>
              </w:rPr>
              <w:t xml:space="preserve"> Հայաստանի Հանրապետության ֆինանսների նախարարի՝ 2021 թվականի հունիսի 16-ի թիվ 2-Ն և Հայաստանի Հանրապետության կենտրոնական բանկի խորհրդի՝ 2021 թվականի մարտի 30-ի թիվ 39-Ն </w:t>
            </w:r>
            <w:r>
              <w:rPr>
                <w:rFonts w:ascii="GHEA Grapalat" w:eastAsia="Calibri" w:hAnsi="GHEA Grapalat" w:cs="Calibri"/>
                <w:sz w:val="24"/>
                <w:szCs w:val="24"/>
                <w:lang w:val="hy-AM"/>
              </w:rPr>
              <w:t>համատեղ որոշման 1-ին կետով հաստատված «Հ</w:t>
            </w:r>
            <w:r>
              <w:rPr>
                <w:rFonts w:ascii="GHEA Grapalat" w:eastAsia="Calibri" w:hAnsi="GHEA Grapalat" w:cs="Calibri"/>
                <w:bCs/>
                <w:sz w:val="24"/>
                <w:szCs w:val="24"/>
                <w:lang w:val="hy-AM"/>
              </w:rPr>
              <w:t>այաստանի Հանրապետության տարածքում գործող բանկերի և վարկային կազմակերպությունների</w:t>
            </w:r>
            <w:r>
              <w:rPr>
                <w:rFonts w:ascii="Calibri" w:eastAsia="Calibri" w:hAnsi="Calibri" w:cs="Calibri"/>
                <w:bCs/>
                <w:sz w:val="24"/>
                <w:szCs w:val="24"/>
                <w:lang w:val="hy-AM"/>
              </w:rPr>
              <w:t xml:space="preserve"> </w:t>
            </w:r>
            <w:r>
              <w:rPr>
                <w:rFonts w:ascii="GHEA Grapalat" w:eastAsia="Calibri" w:hAnsi="GHEA Grapalat" w:cs="Calibri"/>
                <w:bCs/>
                <w:sz w:val="24"/>
                <w:szCs w:val="24"/>
                <w:lang w:val="hy-AM"/>
              </w:rPr>
              <w:t>ֆինանսական</w:t>
            </w:r>
            <w:r>
              <w:rPr>
                <w:rFonts w:ascii="Calibri" w:eastAsia="Calibri" w:hAnsi="Calibri" w:cs="Calibri"/>
                <w:bCs/>
                <w:sz w:val="24"/>
                <w:szCs w:val="24"/>
                <w:lang w:val="hy-AM"/>
              </w:rPr>
              <w:t xml:space="preserve"> </w:t>
            </w:r>
            <w:r>
              <w:rPr>
                <w:rFonts w:ascii="GHEA Grapalat" w:eastAsia="Calibri" w:hAnsi="GHEA Grapalat" w:cs="Calibri"/>
                <w:bCs/>
                <w:sz w:val="24"/>
                <w:szCs w:val="24"/>
                <w:lang w:val="hy-AM"/>
              </w:rPr>
              <w:lastRenderedPageBreak/>
              <w:t>ակտիվների</w:t>
            </w:r>
            <w:r>
              <w:rPr>
                <w:rFonts w:ascii="Calibri" w:eastAsia="Calibri" w:hAnsi="Calibri" w:cs="Calibri"/>
                <w:bCs/>
                <w:sz w:val="24"/>
                <w:szCs w:val="24"/>
                <w:lang w:val="hy-AM"/>
              </w:rPr>
              <w:t xml:space="preserve"> </w:t>
            </w:r>
            <w:r>
              <w:rPr>
                <w:rFonts w:ascii="GHEA Grapalat" w:eastAsia="Calibri" w:hAnsi="GHEA Grapalat" w:cs="Calibri"/>
                <w:bCs/>
                <w:sz w:val="24"/>
                <w:szCs w:val="24"/>
                <w:lang w:val="hy-AM"/>
              </w:rPr>
              <w:t>դասակարգման և հնարավոր կորուստների պահուստների ձևավորման կարգի</w:t>
            </w:r>
            <w:r>
              <w:rPr>
                <w:rFonts w:ascii="GHEA Grapalat" w:eastAsia="Calibri" w:hAnsi="GHEA Grapalat" w:cs="Calibri"/>
                <w:sz w:val="24"/>
                <w:szCs w:val="24"/>
                <w:lang w:val="hy-AM"/>
              </w:rPr>
              <w:t>», դասակարգված մեկ ակտիվի դեպքում բոլոր մյուս ակտիվները դասակարգվում են նույն դասով։ Հետևաբար 1 ակտիվը անհուսալի դասակարգվելու դեպքում բոլոր մյուս ակտիվները ենթակա են դասակարգման անհուսալի դասով՝ անկախ այդ ակտիվների սպասարկման որակից։</w:t>
            </w:r>
          </w:p>
          <w:p>
            <w:pPr>
              <w:pStyle w:val="ListParagraph"/>
              <w:rPr>
                <w:rFonts w:ascii="GHEA Grapalat" w:hAnsi="GHEA Grapalat"/>
                <w:b/>
                <w:color w:val="000000"/>
                <w:sz w:val="24"/>
                <w:szCs w:val="24"/>
                <w:shd w:val="clear" w:color="auto" w:fill="FFFFFF"/>
                <w:lang w:val="hy-AM"/>
              </w:rPr>
            </w:pPr>
          </w:p>
          <w:p>
            <w:pPr>
              <w:pStyle w:val="ListParagraph"/>
              <w:numPr>
                <w:ilvl w:val="0"/>
                <w:numId w:val="21"/>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ընդունելի չէ. </w:t>
            </w:r>
            <w:r>
              <w:rPr>
                <w:rFonts w:ascii="GHEA Grapalat" w:hAnsi="GHEA Grapalat"/>
                <w:bCs/>
                <w:color w:val="000000"/>
                <w:sz w:val="24"/>
                <w:szCs w:val="24"/>
                <w:shd w:val="clear" w:color="auto" w:fill="FFFFFF"/>
                <w:lang w:val="hy-AM"/>
              </w:rPr>
              <w:t>Նախկինում պետության կողմից տրամադրված, այդ թվում՝ սոցիալական բնույթի աջակցություններից և այլ ծրագրերից օգտվելու փաստով տվյալ ծրագրից օգտվելու մասով սահմանափակում կիրառելու առաջարկը չունի բավարար հիմնավորում և պարզ չէ, թե ինչ խնդիր է այն լուծում կամ ինչ ռիսկեր է զսպում։</w:t>
            </w:r>
          </w:p>
          <w:p>
            <w:pPr>
              <w:pStyle w:val="ListParagraph"/>
              <w:rPr>
                <w:rFonts w:ascii="GHEA Grapalat" w:hAnsi="GHEA Grapalat"/>
                <w:b/>
                <w:color w:val="000000"/>
                <w:sz w:val="24"/>
                <w:szCs w:val="24"/>
                <w:shd w:val="clear" w:color="auto" w:fill="FFFFFF"/>
                <w:lang w:val="hy-AM"/>
              </w:rPr>
            </w:pPr>
          </w:p>
          <w:p>
            <w:pPr>
              <w:pStyle w:val="ListParagraph"/>
              <w:numPr>
                <w:ilvl w:val="0"/>
                <w:numId w:val="21"/>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ընդունելի է. </w:t>
            </w:r>
            <w:r>
              <w:rPr>
                <w:rFonts w:ascii="GHEA Grapalat" w:hAnsi="GHEA Grapalat"/>
                <w:bCs/>
                <w:color w:val="000000"/>
                <w:sz w:val="24"/>
                <w:szCs w:val="24"/>
                <w:shd w:val="clear" w:color="auto" w:fill="FFFFFF"/>
                <w:lang w:val="hy-AM"/>
              </w:rPr>
              <w:t xml:space="preserve">Շահառուի չափորոշիչներում երաշխավորը նույնպես հանդես է գալիս որպես </w:t>
            </w:r>
            <w:r>
              <w:rPr>
                <w:rFonts w:ascii="GHEA Grapalat" w:hAnsi="GHEA Grapalat"/>
                <w:bCs/>
                <w:color w:val="000000"/>
                <w:sz w:val="24"/>
                <w:szCs w:val="24"/>
                <w:shd w:val="clear" w:color="auto" w:fill="FFFFFF"/>
                <w:lang w:val="hy-AM"/>
              </w:rPr>
              <w:lastRenderedPageBreak/>
              <w:t>պոտենցիալ շահառու, եթե համապատասխանում է շահառուին ներկայացվող մնացած բոլոր չափանիշներին։</w:t>
            </w:r>
          </w:p>
        </w:tc>
      </w:tr>
      <w:tr>
        <w:trPr>
          <w:trHeight w:val="841"/>
        </w:trPr>
        <w:tc>
          <w:tcPr>
            <w:tcW w:w="9918" w:type="dxa"/>
            <w:vAlign w:val="center"/>
          </w:tcPr>
          <w:p>
            <w:pPr>
              <w:pStyle w:val="ListParagraph"/>
              <w:numPr>
                <w:ilvl w:val="0"/>
                <w:numId w:val="2"/>
              </w:numPr>
              <w:spacing w:line="360" w:lineRule="auto"/>
              <w:jc w:val="center"/>
              <w:rPr>
                <w:rFonts w:ascii="GHEA Grapalat" w:hAnsi="GHEA Grapalat"/>
                <w:b/>
                <w:spacing w:val="-6"/>
                <w:sz w:val="24"/>
                <w:szCs w:val="24"/>
              </w:rPr>
            </w:pPr>
            <w:r>
              <w:rPr>
                <w:rFonts w:ascii="GHEA Grapalat" w:hAnsi="GHEA Grapalat"/>
                <w:b/>
                <w:spacing w:val="-6"/>
                <w:sz w:val="24"/>
                <w:szCs w:val="24"/>
                <w:lang w:val="hy-AM"/>
              </w:rPr>
              <w:lastRenderedPageBreak/>
              <w:t>Էկոնոմիկայի նախարարություն</w:t>
            </w:r>
          </w:p>
        </w:tc>
        <w:tc>
          <w:tcPr>
            <w:tcW w:w="5103" w:type="dxa"/>
          </w:tcPr>
          <w:p>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01.04.2024</w:t>
            </w:r>
          </w:p>
          <w:p>
            <w:pPr>
              <w:widowControl w:val="0"/>
              <w:spacing w:line="276" w:lineRule="auto"/>
              <w:ind w:right="210"/>
              <w:contextualSpacing/>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01/1005-2024</w:t>
            </w:r>
          </w:p>
        </w:tc>
      </w:tr>
      <w:tr>
        <w:tc>
          <w:tcPr>
            <w:tcW w:w="9918" w:type="dxa"/>
          </w:tcPr>
          <w:p>
            <w:pPr>
              <w:pStyle w:val="NormalWeb"/>
              <w:numPr>
                <w:ilvl w:val="0"/>
                <w:numId w:val="26"/>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Նախագծի համաձայն, որոշումն ուժի մեջ է մտնելու հրապարակմանը հաջորդող օրվանից, իսկ որոշման №1 և №2 հավելվածների մասով՝ 2024 թվականի ապրիլի 1-ից։ Միջոցառման շրջանակում շահառու դառնալու համար ժամկետ է սահմանված 2024 թվականի օգոստոսի 31-ը։ Ընդ որում ներկայացված հիմնավորման համաձայն՝ նախագծի ընդունմամբ ակնկալվում է, որ միջոցառման գործողության ժամանակահատվածում՝ մինչև 2024 թվականի դեկտեմբերի 31-ը, թիրախային խմբից միջինում ամսական լրացուցիչ 1000 անձ կանցնի ֆորմալ զբաղվածության դաշտ և կսկսի մարել վարկային պարտավորությունները։ Ելնելով նրանից, որ միջոցառման տևողությունը 9 ամիս է, ապա ակնկալվում է, որ միջոցառման շահառու կդառնա շուրջ 9000 անձ։</w:t>
            </w:r>
          </w:p>
          <w:p>
            <w:pPr>
              <w:pStyle w:val="NormalWeb"/>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 xml:space="preserve">Նշվածի առնչությամբ հայտնում ենք, շահառու դառնալու վերոհիշյալ ժամկետի (31.08.2024թ) հանգամանքում, հիմնավորմամբ ներկայացված հաշվարկով առաջնորդվելիս շահառուների թվաքանակը կկազմի 5000 անձ՝ ներառյալ ապրիլ ամսից մինչև օգոստոս ամիսը։ </w:t>
            </w:r>
          </w:p>
          <w:p>
            <w:pPr>
              <w:pStyle w:val="NormalWeb"/>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Հաշվի առնելով վերոգրյալը, կարծում ենք հիմնավորմամբ ներկայացված թվային տվյալները հավելյալ պարզաբանման կարիք ունեն։</w:t>
            </w:r>
          </w:p>
          <w:p>
            <w:pPr>
              <w:pStyle w:val="NormalWeb"/>
              <w:numPr>
                <w:ilvl w:val="0"/>
                <w:numId w:val="26"/>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 xml:space="preserve">Հավելված 1-ով սահմանվում է, որ </w:t>
            </w:r>
            <w:r>
              <w:rPr>
                <w:rFonts w:ascii="Calibri" w:hAnsi="Calibri" w:cs="Calibri"/>
                <w:lang w:val="hy-AM"/>
              </w:rPr>
              <w:t> </w:t>
            </w:r>
            <w:r>
              <w:rPr>
                <w:rFonts w:ascii="GHEA Grapalat" w:hAnsi="GHEA Grapalat"/>
                <w:lang w:val="hy-AM"/>
              </w:rPr>
              <w:t xml:space="preserve">շահառու է հանդիսանում այն անձը, ով 2024 թվականի ապրիլի 1-ին նախորդող մեկ տարվա ընթացքում առնվազն 183 օր չի </w:t>
            </w:r>
            <w:r>
              <w:rPr>
                <w:rFonts w:ascii="GHEA Grapalat" w:hAnsi="GHEA Grapalat"/>
                <w:lang w:val="hy-AM"/>
              </w:rPr>
              <w:lastRenderedPageBreak/>
              <w:t>հանդիսացել «Աշխատող»։ Մինչդեռ հավելված 2-ով սահմանված է, որ հաշվառման համակարգից ստուգվում է դիմումատուի՝ 2024 թվականի մարտի 1-ին նախորդող մեկ տարվա ընթացքում առնվազն 183 օր «Աշխատող» չլինելու հանգամանքը։ Նշվածի համատեքստում անհասկանալի է, թե ինչու է անձնավորված հաշվառման համակարգը դիմումատուի աշխատող չլինելու հանգամանքը ստուգելու մարտի 1-ին նախորդող ժամանակի դրությամբ, ու դա այն պայմաններում, երբ շահառու հանդիսանալու պայմանը կապված է ոչ թե մարտի 1-ին, այլ ապրիլի 1-ին նախորդող ժամանակահատվածի հետ։</w:t>
            </w:r>
          </w:p>
          <w:p>
            <w:pPr>
              <w:pStyle w:val="NormalWeb"/>
              <w:numPr>
                <w:ilvl w:val="0"/>
                <w:numId w:val="26"/>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Համաձայն նախագծի հիմնավորումների՝ անհուսալի վարկ ունեցողների կարգավիճակում են գտնվում 440 հազար անձ, իսկ ակնկալվող արդյունքն է՝ 9 հազարը, այսինքն որպես թիրախ ակնկալվում է առավել փոքր արդյունք՝ համեմատած առկա խնդրի մասշտաբի հետ։</w:t>
            </w:r>
          </w:p>
          <w:p>
            <w:pPr>
              <w:pStyle w:val="NormalWeb"/>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Այս կապակցությամբ հայտնում ենք, որ եթե շահառուների շրջանակը ընդլայնվի՝ 1+ տարի անհուսալի և 3 մլն-ից քիչ համախառն պարտք ունեցող շահառուների մասով, ապա շահառուների թվաքանակը կլինի մոտ 380 հազար, այսինքն` այն կկազմի անհուսալի վարկ ունեցողների ընդհանուր թվաքանակի մոտ 85%-ը, ինչը կարծում ենք՝ տնտեսական և քաղաքական առումով, կունենա ավելի մեծ ազդեցություն։</w:t>
            </w:r>
          </w:p>
          <w:p>
            <w:pPr>
              <w:pStyle w:val="NormalWeb"/>
              <w:numPr>
                <w:ilvl w:val="0"/>
                <w:numId w:val="26"/>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 xml:space="preserve">Եթե առողջացման ծրագրով շահառուներին առաջարկվի վարկի մայր գումարը դիտարկել որպես պարտք (առանց տոկոսների հետագա հաշվեգրման)՝ ներելով կուտակված տոկոսներն, տույժերն ու տուգանքները, և աշխատավարձի համախառն գումարի 20% ուղղել այդ պարտքի մարմանն այնքան ժամանակ մինչև այդ գումարը մարվի ամբողջապես, ապա առավելագույնը 30 ամսում նախատեսվող 380 հազար շահառուները հնարավորություն կունենան առողջանալ, եթե միջինում 260 հազար </w:t>
            </w:r>
            <w:r>
              <w:rPr>
                <w:rFonts w:ascii="GHEA Grapalat" w:hAnsi="GHEA Grapalat"/>
                <w:lang w:val="hy-AM"/>
              </w:rPr>
              <w:lastRenderedPageBreak/>
              <w:t>դրամ աշխատավարձով աշխատանքի անցնեն։ Այդ 20%-ի կեսը կարող է տրվել՝ եկամտահարկի հետվերադարձով, իսկ մյուս կեսը՝ աշխատակցի կողմից։</w:t>
            </w:r>
          </w:p>
          <w:p>
            <w:pPr>
              <w:pStyle w:val="NormalWeb"/>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Բանկերին ազատել ներված տոկոսների, տույժերի և տուգանքների դիմաց շահառուների եկամտահարկի վճարման պարտավորությունից, իսկ շահառուների համար ներված գումարները չհաշվարկել որպես եկամտահարկ։</w:t>
            </w:r>
          </w:p>
          <w:p>
            <w:pPr>
              <w:pStyle w:val="NormalWeb"/>
              <w:numPr>
                <w:ilvl w:val="0"/>
                <w:numId w:val="26"/>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Առողջացման ծրագրի գործակալներ սահմանել գործատուներին, այսինքն` վերջիններս պետք է այդ գումարները փոխանցեն բանկին ամեն ամիս։</w:t>
            </w:r>
          </w:p>
          <w:p>
            <w:pPr>
              <w:pStyle w:val="NormalWeb"/>
              <w:numPr>
                <w:ilvl w:val="0"/>
                <w:numId w:val="26"/>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Առանձին կարգավորում պետք է սահմանել նաև այն անձանց համար, ովքեր հայտնվել են անհուսալի շահառուների շարքում՝ իրենց կողմից տրված երաշխավորությունների արդյունքում։</w:t>
            </w:r>
          </w:p>
        </w:tc>
        <w:tc>
          <w:tcPr>
            <w:tcW w:w="5103" w:type="dxa"/>
          </w:tcPr>
          <w:p>
            <w:pPr>
              <w:pStyle w:val="ListParagraph"/>
              <w:numPr>
                <w:ilvl w:val="0"/>
                <w:numId w:val="25"/>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Դիտարկումն ընդունելի է. </w:t>
            </w:r>
            <w:r>
              <w:rPr>
                <w:rFonts w:ascii="GHEA Grapalat" w:hAnsi="GHEA Grapalat"/>
                <w:bCs/>
                <w:color w:val="000000"/>
                <w:sz w:val="24"/>
                <w:szCs w:val="24"/>
                <w:shd w:val="clear" w:color="auto" w:fill="FFFFFF"/>
                <w:lang w:val="hy-AM"/>
              </w:rPr>
              <w:t>նախագծում և հիմնավորումներում կատարվել են համապատասխան փոփոխություններ</w:t>
            </w: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numPr>
                <w:ilvl w:val="0"/>
                <w:numId w:val="25"/>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Դիտարկումն ընդունելի է. </w:t>
            </w:r>
            <w:r>
              <w:rPr>
                <w:rFonts w:ascii="GHEA Grapalat" w:hAnsi="GHEA Grapalat"/>
                <w:bCs/>
                <w:color w:val="000000"/>
                <w:sz w:val="24"/>
                <w:szCs w:val="24"/>
                <w:shd w:val="clear" w:color="auto" w:fill="FFFFFF"/>
                <w:lang w:val="hy-AM"/>
              </w:rPr>
              <w:t>նախորդող</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ժամանակաշրջանում չաշխատելու պայմանը հանվել է նախագծից</w:t>
            </w:r>
          </w:p>
          <w:p>
            <w:pPr>
              <w:pStyle w:val="ListParagraph"/>
              <w:rPr>
                <w:rFonts w:ascii="GHEA Grapalat" w:hAnsi="GHEA Grapalat"/>
                <w:b/>
                <w:color w:val="000000"/>
                <w:sz w:val="24"/>
                <w:szCs w:val="24"/>
                <w:shd w:val="clear" w:color="auto" w:fill="FFFFFF"/>
                <w:lang w:val="hy-AM"/>
              </w:rPr>
            </w:pPr>
          </w:p>
          <w:p>
            <w:pPr>
              <w:pStyle w:val="ListParagraph"/>
              <w:numPr>
                <w:ilvl w:val="0"/>
                <w:numId w:val="25"/>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ընդունվել է մասամբ. </w:t>
            </w:r>
            <w:r>
              <w:rPr>
                <w:rFonts w:ascii="GHEA Grapalat" w:hAnsi="GHEA Grapalat"/>
                <w:bCs/>
                <w:color w:val="000000"/>
                <w:sz w:val="24"/>
                <w:szCs w:val="24"/>
                <w:shd w:val="clear" w:color="auto" w:fill="FFFFFF"/>
                <w:lang w:val="hy-AM"/>
              </w:rPr>
              <w:t xml:space="preserve">Շահառուների թիրախ է սահմանվել մինչև 1 մլն դրամ և առնվազն 3 տարի անհուսալի դասով դասակարգված վարկեր ունեցող անձինք, որոնց թիվը կազմում է շուրջ 202,500 անձ, իսկ ծրագրի շահառու թիրախ է սահմանվել 120,000 անձը։ 3 տարվա շեմը 1 տարի իջեցնելու առաջարկն ընդունելի չէ, հաշվի առնելով այն, որ այդ դեպքերում </w:t>
            </w:r>
            <w:r>
              <w:rPr>
                <w:rFonts w:ascii="GHEA Grapalat" w:hAnsi="GHEA Grapalat"/>
                <w:bCs/>
                <w:color w:val="000000"/>
                <w:sz w:val="24"/>
                <w:szCs w:val="24"/>
                <w:shd w:val="clear" w:color="auto" w:fill="FFFFFF"/>
                <w:lang w:val="hy-AM"/>
              </w:rPr>
              <w:lastRenderedPageBreak/>
              <w:t>ծրագրի իրականացումը չի ունենա բավարար չափով ազդեցություն վարկառուների վարքագծային նկարագրի վրա։</w:t>
            </w:r>
          </w:p>
          <w:p>
            <w:pPr>
              <w:pStyle w:val="ListParagraph"/>
              <w:rPr>
                <w:rFonts w:ascii="GHEA Grapalat" w:hAnsi="GHEA Grapalat"/>
                <w:bCs/>
                <w:color w:val="000000"/>
                <w:sz w:val="24"/>
                <w:szCs w:val="24"/>
                <w:shd w:val="clear" w:color="auto" w:fill="FFFFFF"/>
                <w:lang w:val="hy-AM"/>
              </w:rPr>
            </w:pPr>
          </w:p>
          <w:p>
            <w:pPr>
              <w:pStyle w:val="ListParagraph"/>
              <w:numPr>
                <w:ilvl w:val="0"/>
                <w:numId w:val="25"/>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Առաջարկն ընդունվել է մասնակի</w:t>
            </w:r>
            <w:r>
              <w:rPr>
                <w:rFonts w:ascii="Cambria Math" w:hAnsi="Cambria Math"/>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տեղի են ունեցել քննարկումներ ԿԲ-ի և Բանկերի միության հետ, առաջարկվել է, որ ծրագրի շահառու դառնալու պահից վերջիններիս տուգանային տոկոսներն ու տույժերը կներվեն բանկերի և վարկային կազմակերպությունների կողմից 80%-ի չափով, իսկ չաձը սահմանվել է 80%` հաշվի առնելով ներումից հետո առաջացող հարկային պարտավորությունները։</w:t>
            </w:r>
          </w:p>
          <w:p>
            <w:pPr>
              <w:pStyle w:val="ListParagraph"/>
              <w:rPr>
                <w:rFonts w:ascii="GHEA Grapalat" w:hAnsi="GHEA Grapalat"/>
                <w:bCs/>
                <w:color w:val="000000"/>
                <w:sz w:val="24"/>
                <w:szCs w:val="24"/>
                <w:shd w:val="clear" w:color="auto" w:fill="FFFFFF"/>
                <w:lang w:val="hy-AM"/>
              </w:rPr>
            </w:pPr>
          </w:p>
          <w:p>
            <w:pPr>
              <w:pStyle w:val="ListParagraph"/>
              <w:numPr>
                <w:ilvl w:val="0"/>
                <w:numId w:val="25"/>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Առաջարկը չի ընդունվել.</w:t>
            </w:r>
            <w:r>
              <w:rPr>
                <w:rFonts w:ascii="GHEA Grapalat" w:hAnsi="GHEA Grapalat"/>
                <w:bCs/>
                <w:color w:val="000000"/>
                <w:sz w:val="24"/>
                <w:szCs w:val="24"/>
                <w:shd w:val="clear" w:color="auto" w:fill="FFFFFF"/>
                <w:lang w:val="hy-AM"/>
              </w:rPr>
              <w:t xml:space="preserve"> գործատուներին որպես գործակալ դիտարկելը պարունակում է ռիսկեր, հատկապես անպարտաճանաչ վարքագծով (հարկային պարտավորությունները ոչ պատշաճ </w:t>
            </w:r>
            <w:r>
              <w:rPr>
                <w:rFonts w:ascii="GHEA Grapalat" w:hAnsi="GHEA Grapalat"/>
                <w:bCs/>
                <w:color w:val="000000"/>
                <w:sz w:val="24"/>
                <w:szCs w:val="24"/>
                <w:shd w:val="clear" w:color="auto" w:fill="FFFFFF"/>
                <w:lang w:val="hy-AM"/>
              </w:rPr>
              <w:lastRenderedPageBreak/>
              <w:t>կատարող) իրավաբանական անձանց դեպքում։</w:t>
            </w:r>
          </w:p>
          <w:p>
            <w:pPr>
              <w:pStyle w:val="ListParagraph"/>
              <w:rPr>
                <w:rFonts w:ascii="GHEA Grapalat" w:hAnsi="GHEA Grapalat"/>
                <w:bCs/>
                <w:color w:val="000000"/>
                <w:sz w:val="24"/>
                <w:szCs w:val="24"/>
                <w:shd w:val="clear" w:color="auto" w:fill="FFFFFF"/>
                <w:lang w:val="hy-AM"/>
              </w:rPr>
            </w:pPr>
          </w:p>
          <w:p>
            <w:pPr>
              <w:pStyle w:val="ListParagraph"/>
              <w:numPr>
                <w:ilvl w:val="0"/>
                <w:numId w:val="25"/>
              </w:numPr>
              <w:spacing w:line="288" w:lineRule="auto"/>
              <w:ind w:left="462"/>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Առաջարկն ընդունելի է.  Շահառուի չափորոշիչներում երաշխավորը նույնպես հանդես է գալիս որպես պոտենցիալ շահառու, եթե համապատասխանում է շահառուին ներկայացվող մնացած բոլոր չափանիշներին։</w:t>
            </w:r>
          </w:p>
        </w:tc>
      </w:tr>
      <w:tr>
        <w:tc>
          <w:tcPr>
            <w:tcW w:w="9918" w:type="dxa"/>
            <w:vAlign w:val="center"/>
          </w:tcPr>
          <w:p>
            <w:pPr>
              <w:pStyle w:val="ListParagraph"/>
              <w:numPr>
                <w:ilvl w:val="0"/>
                <w:numId w:val="2"/>
              </w:numPr>
              <w:spacing w:line="360" w:lineRule="auto"/>
              <w:jc w:val="center"/>
              <w:rPr>
                <w:rFonts w:ascii="GHEA Grapalat" w:hAnsi="GHEA Grapalat"/>
                <w:b/>
                <w:spacing w:val="-6"/>
                <w:sz w:val="24"/>
                <w:szCs w:val="24"/>
              </w:rPr>
            </w:pPr>
            <w:r>
              <w:rPr>
                <w:rFonts w:ascii="GHEA Grapalat" w:hAnsi="GHEA Grapalat"/>
                <w:b/>
                <w:spacing w:val="-6"/>
                <w:sz w:val="24"/>
                <w:szCs w:val="24"/>
                <w:lang w:val="hy-AM"/>
              </w:rPr>
              <w:lastRenderedPageBreak/>
              <w:t>Արդարադատության նախարարություն</w:t>
            </w:r>
          </w:p>
        </w:tc>
        <w:tc>
          <w:tcPr>
            <w:tcW w:w="5103" w:type="dxa"/>
          </w:tcPr>
          <w:p>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26.01.2024</w:t>
            </w:r>
          </w:p>
          <w:p>
            <w:pPr>
              <w:widowControl w:val="0"/>
              <w:spacing w:line="276" w:lineRule="auto"/>
              <w:ind w:right="210"/>
              <w:contextualSpacing/>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01/27.1/3022-2024</w:t>
            </w:r>
          </w:p>
        </w:tc>
      </w:tr>
      <w:tr>
        <w:tc>
          <w:tcPr>
            <w:tcW w:w="9918" w:type="dxa"/>
          </w:tcPr>
          <w:p>
            <w:pPr>
              <w:pStyle w:val="NormalWeb"/>
              <w:numPr>
                <w:ilvl w:val="0"/>
                <w:numId w:val="27"/>
              </w:numPr>
              <w:shd w:val="clear" w:color="auto" w:fill="FFFFFF"/>
              <w:spacing w:before="0" w:beforeAutospacing="0" w:after="0" w:afterAutospacing="0" w:line="288" w:lineRule="auto"/>
              <w:ind w:left="308"/>
              <w:jc w:val="both"/>
              <w:rPr>
                <w:rFonts w:ascii="GHEA Grapalat" w:hAnsi="GHEA Grapalat"/>
                <w:color w:val="000000"/>
                <w:shd w:val="clear" w:color="auto" w:fill="FFFFFF"/>
                <w:lang w:val="hy-AM"/>
              </w:rPr>
            </w:pPr>
            <w:r>
              <w:rPr>
                <w:rFonts w:ascii="GHEA Grapalat" w:hAnsi="GHEA Grapalat"/>
                <w:color w:val="000000" w:themeColor="text1"/>
                <w:lang w:val="hy-AM"/>
              </w:rPr>
              <w:t xml:space="preserve">Նախագծի 4-րդ կետով նախատեսվում է </w:t>
            </w:r>
            <w:r>
              <w:rPr>
                <w:rFonts w:ascii="GHEA Grapalat" w:hAnsi="GHEA Grapalat"/>
                <w:lang w:val="hy-AM"/>
              </w:rPr>
              <w:t>Հայաստանի Հանրապետության արդարադատության նախարարին հանձնարարել՝ ապահովել միջոցառման շրջանակում շահառու ճանաչված անձանց նկատմամբ բանկի կամ վարկային կազմակերպության կողմից ներկայացված կատարողական թերթի (թերթերի) կատարման ընթացքում շահառուի (պարտապանի) աշխատավարձից և դրան հավասարեցված վճարներից պահվող (բռնագանձվող) չափը 20% սահմանելը</w:t>
            </w:r>
            <w:r>
              <w:rPr>
                <w:rFonts w:ascii="GHEA Grapalat" w:hAnsi="GHEA Grapalat"/>
                <w:color w:val="000000" w:themeColor="text1"/>
                <w:lang w:val="hy-AM"/>
              </w:rPr>
              <w:t>:</w:t>
            </w:r>
          </w:p>
          <w:p>
            <w:pPr>
              <w:pStyle w:val="NormalWeb"/>
              <w:shd w:val="clear" w:color="auto" w:fill="FFFFFF"/>
              <w:spacing w:before="0" w:beforeAutospacing="0" w:after="0" w:afterAutospacing="0" w:line="288" w:lineRule="auto"/>
              <w:ind w:left="308"/>
              <w:jc w:val="both"/>
              <w:rPr>
                <w:rFonts w:ascii="GHEA Grapalat" w:hAnsi="GHEA Grapalat"/>
                <w:color w:val="000000" w:themeColor="text1"/>
                <w:lang w:val="hy-AM"/>
              </w:rPr>
            </w:pPr>
            <w:r>
              <w:rPr>
                <w:rFonts w:ascii="GHEA Grapalat" w:hAnsi="GHEA Grapalat"/>
                <w:color w:val="000000" w:themeColor="text1"/>
                <w:lang w:val="hy-AM"/>
              </w:rPr>
              <w:t xml:space="preserve">Հաշվի առնելով այն հանգամանքը, որ Արդարադատության նախարարության կողմից շրջանառության մեջ է </w:t>
            </w:r>
            <w:r>
              <w:rPr>
                <w:rFonts w:ascii="GHEA Grapalat" w:hAnsi="GHEA Grapalat"/>
                <w:lang w:val="hy-AM"/>
              </w:rPr>
              <w:t>դրվել</w:t>
            </w:r>
            <w:r>
              <w:rPr>
                <w:rFonts w:ascii="GHEA Grapalat" w:hAnsi="GHEA Grapalat"/>
                <w:color w:val="000000" w:themeColor="text1"/>
                <w:lang w:val="hy-AM"/>
              </w:rPr>
              <w:t xml:space="preserve"> «Դատական ակտերի հարկադիր կատարման մասին» օրենքում փոփոխություններ և լրացումներ կատարելու մասին օրենքի</w:t>
            </w:r>
            <w:r>
              <w:rPr>
                <w:rFonts w:cs="Calibri"/>
                <w:color w:val="000000" w:themeColor="text1"/>
                <w:lang w:val="hy-AM"/>
              </w:rPr>
              <w:t> </w:t>
            </w:r>
            <w:r>
              <w:rPr>
                <w:rFonts w:ascii="GHEA Grapalat" w:hAnsi="GHEA Grapalat"/>
                <w:color w:val="000000" w:themeColor="text1"/>
                <w:lang w:val="hy-AM"/>
              </w:rPr>
              <w:t xml:space="preserve">նախագիծը, որով նախատեսվում են այնպիսի կարգավորումներ, որոնց համաձայն պարտապանի եկամուտների վրա բռնագանձում տարածելուց հետո պարտապանի օրենքի տվյալ գլխով նախատեսված բոլոր եկամուտների (աշխատավարձի և դրան հավասարեցված </w:t>
            </w:r>
            <w:r>
              <w:rPr>
                <w:rFonts w:ascii="GHEA Grapalat" w:hAnsi="GHEA Grapalat"/>
                <w:color w:val="000000" w:themeColor="text1"/>
                <w:lang w:val="hy-AM"/>
              </w:rPr>
              <w:lastRenderedPageBreak/>
              <w:t>այլ վճարումների, հեղինակային պայմանագրերով վարձատրության, կրթաթոշակի) հանրագումարը չպետք է պակաս լինի օրենքով սահմանված նվազագույն աշխատավարձի չափից, առաջարկում ենք Նախագծի 4-րդ կետում 20% սահմանելը բառերից հետո լրացնել , եթե օրենքով կամ կատարման ենթակա ակտով բռնագանձման առավել նվազ չափ սահմանված չէ բառերով:</w:t>
            </w:r>
          </w:p>
          <w:p>
            <w:pPr>
              <w:pStyle w:val="NormalWeb"/>
              <w:numPr>
                <w:ilvl w:val="0"/>
                <w:numId w:val="27"/>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Նախագծի 6-րդ կետում «հավելվածները» բառը փոխարինել «կետերը» բառով՝ նկատի ունենալով, որ հիշյալ հավելվածները հաստատվում են որոշման 1-ին և 2-րդ կետերով:</w:t>
            </w:r>
          </w:p>
          <w:p>
            <w:pPr>
              <w:pStyle w:val="NormalWeb"/>
              <w:numPr>
                <w:ilvl w:val="0"/>
                <w:numId w:val="27"/>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Նախագծի 1-ին հավելվածի 1-ին կետում «գործազուրկ» բառն անհրաժեշտ է փոխարինել «չաշխատող» բառով՝ նկատի ունենալով նախագծի և 1-ին հավելվածի վերնագրերի պահանջները: Հիշյալ դիտողությունը բխում է «Նորմատիվ իրավական ակտերի մասին» օրենքի 15-րդ հոդվածի 2-րդ մասի պահանջներից, մասնավորապես, նորմատիվ իրավական ակտում միևնույն միտքն արտահայտելիս կիրառվում են միևնույն բառերը:</w:t>
            </w:r>
          </w:p>
          <w:p>
            <w:pPr>
              <w:pStyle w:val="NormalWeb"/>
              <w:numPr>
                <w:ilvl w:val="0"/>
                <w:numId w:val="27"/>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Նախագծի 1-ին հավելվածի 2-րդ կետի 1-ին ենթակետում անհրաժեշտ է նշել ՀՀ ֆինանսների նախարարի 2021 թվականի հունիսի 16-ի թիվ 2-Ն և ՀՀ կենտրոնական բանկի խորհրդի 2021 թվականի մարտի 30-ի թիվ 39-Ն համատեղ որոշման կրճատ անվանումը, համաձայն՝  «Նորմատիվ իրավական ակտերի մասին» օրենքի 17-րդ հոդվածի 8-րդ մասի պահանջների: Նույն դիտողությունը վերաբերում է նաև նույն կետի 4-րդ ենթակետին: Միաժամանակ, նույն ենթակետում «N 1 հավելվածով հաստատված» բառերն անհրաժեշտ է փոխարինել «1-ին կետով հաստատված» բառերով:</w:t>
            </w:r>
          </w:p>
          <w:p>
            <w:pPr>
              <w:pStyle w:val="NormalWeb"/>
              <w:numPr>
                <w:ilvl w:val="0"/>
                <w:numId w:val="27"/>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 xml:space="preserve">Նախագծի 1-ին հավելվածի 2-րդ կետի 3-րդ ենթակետի «բ» պարբերությունում անհրաժեշտ է ապահովել շաղկապների կիրառման կանոնները, մասնավորապես՝ </w:t>
            </w:r>
            <w:r>
              <w:rPr>
                <w:rFonts w:ascii="GHEA Grapalat" w:hAnsi="GHEA Grapalat"/>
                <w:lang w:val="hy-AM"/>
              </w:rPr>
              <w:lastRenderedPageBreak/>
              <w:t xml:space="preserve">եթե թվարկված բոլոր պայմաններից բավական է միայն մեկի առկայությունը, ապա գործածել «կամ» շաղկապը, իսկ եթե թվարկված բոլոր պայմանների առկայությունը պարտադիր է, ապա գործածել «և» շաղկապը՝ հաշվի առնելով «Նորմատիվ իրավական ակտերի մասին» օրենքի 16-րդ հոդվածի պահանջները: </w:t>
            </w:r>
          </w:p>
          <w:p>
            <w:pPr>
              <w:pStyle w:val="NormalWeb"/>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color w:val="000000" w:themeColor="text1"/>
                <w:lang w:val="hy-AM"/>
              </w:rPr>
              <w:t>Նույն հավելված 1-ի 2-րդ կետի 3-րդ ենթակետի ե պարբերությամբ շարադրվող պայմանը (</w:t>
            </w:r>
            <w:r>
              <w:rPr>
                <w:rFonts w:ascii="GHEA Grapalat" w:hAnsi="GHEA Grapalat" w:cs="Calibri"/>
                <w:bCs/>
                <w:lang w:val="hy-AM"/>
              </w:rPr>
              <w:t>ներկայացված դիմումում լրացված բջջային հեռախոսահամարը հաշվառված է դիմումատուի անունով</w:t>
            </w:r>
            <w:r>
              <w:rPr>
                <w:rFonts w:ascii="GHEA Grapalat" w:hAnsi="GHEA Grapalat"/>
                <w:color w:val="000000" w:themeColor="text1"/>
                <w:lang w:val="hy-AM"/>
              </w:rPr>
              <w:t>) անձի կարգավիճակը բնութագրող հատկանիշ չէ, հետևաբար համապատասխան դրույթի տեղակայումը նախագծում ենթակա է վերանայման:</w:t>
            </w:r>
          </w:p>
          <w:p>
            <w:pPr>
              <w:pStyle w:val="NormalWeb"/>
              <w:numPr>
                <w:ilvl w:val="0"/>
                <w:numId w:val="27"/>
              </w:numPr>
              <w:shd w:val="clear" w:color="auto" w:fill="FFFFFF"/>
              <w:spacing w:before="0" w:beforeAutospacing="0" w:after="0" w:afterAutospacing="0" w:line="288" w:lineRule="auto"/>
              <w:ind w:left="308"/>
              <w:jc w:val="both"/>
              <w:rPr>
                <w:rFonts w:ascii="GHEA Grapalat" w:hAnsi="GHEA Grapalat"/>
                <w:bCs/>
                <w:lang w:val="hy-AM"/>
              </w:rPr>
            </w:pPr>
            <w:r>
              <w:rPr>
                <w:rFonts w:ascii="GHEA Grapalat" w:hAnsi="GHEA Grapalat"/>
                <w:color w:val="000000"/>
                <w:shd w:val="clear" w:color="auto" w:fill="FFFFFF"/>
                <w:lang w:val="hy-AM"/>
              </w:rPr>
              <w:t xml:space="preserve">Միաժամանակ, նույն ենթակետում անհրաժեշտ է վերանայել պարբերությունների համարակալումը՝ նկատի ունենալով </w:t>
            </w:r>
            <w:r>
              <w:rPr>
                <w:rFonts w:ascii="GHEA Grapalat" w:hAnsi="GHEA Grapalat"/>
                <w:bCs/>
                <w:lang w:val="hy-AM"/>
              </w:rPr>
              <w:t>«Նորմատիվ իրավական ակտերի մասին» օրենքի 14-րդ հոդվածի 5-րդ մասի պահանջները, որոնց համաձայն՝ պ</w:t>
            </w:r>
            <w:r>
              <w:rPr>
                <w:rFonts w:ascii="GHEA Grapalat" w:hAnsi="GHEA Grapalat"/>
                <w:color w:val="000000"/>
                <w:shd w:val="clear" w:color="auto" w:fill="FFFFFF"/>
                <w:lang w:val="hy-AM"/>
              </w:rPr>
              <w:t>արբերությունները համարակալվում են հայերենի այբուբենի փոքրատառերով, որոնք տեքստից բաժանվում են միջակետով:</w:t>
            </w:r>
          </w:p>
          <w:p>
            <w:pPr>
              <w:pStyle w:val="NormalWeb"/>
              <w:numPr>
                <w:ilvl w:val="0"/>
                <w:numId w:val="27"/>
              </w:numPr>
              <w:shd w:val="clear" w:color="auto" w:fill="FFFFFF"/>
              <w:spacing w:before="0" w:beforeAutospacing="0" w:after="0" w:afterAutospacing="0" w:line="288" w:lineRule="auto"/>
              <w:ind w:left="308"/>
              <w:jc w:val="both"/>
              <w:rPr>
                <w:rFonts w:ascii="GHEA Grapalat" w:hAnsi="GHEA Grapalat"/>
                <w:bCs/>
                <w:lang w:val="hy-AM"/>
              </w:rPr>
            </w:pPr>
            <w:r>
              <w:rPr>
                <w:rFonts w:ascii="GHEA Grapalat" w:hAnsi="GHEA Grapalat"/>
                <w:lang w:val="hy-AM"/>
              </w:rPr>
              <w:t>Նախագծի 1-ին հավելվածի 2-րդ կետի 3-րդ ենթակետի «դ» պարբերության համաձայն՝ անձը. «</w:t>
            </w:r>
            <w:r>
              <w:rPr>
                <w:rFonts w:ascii="GHEA Grapalat" w:hAnsi="GHEA Grapalat" w:cs="Calibri"/>
                <w:bCs/>
                <w:lang w:val="hy-AM"/>
              </w:rPr>
              <w:t xml:space="preserve">սույն միջոցառման Շահառու դառնալու համար դիմում ներկայացնելու օրվա դրությամբ հանդիսանում է </w:t>
            </w:r>
            <w:r>
              <w:rPr>
                <w:rFonts w:ascii="GHEA Grapalat" w:hAnsi="GHEA Grapalat" w:cs="Calibri"/>
                <w:b/>
                <w:bCs/>
                <w:lang w:val="hy-AM"/>
              </w:rPr>
              <w:t>Աշխատող</w:t>
            </w:r>
            <w:r>
              <w:rPr>
                <w:rFonts w:ascii="GHEA Grapalat" w:hAnsi="GHEA Grapalat" w:cs="Calibri"/>
                <w:bCs/>
                <w:lang w:val="hy-AM"/>
              </w:rPr>
              <w:t>՝ ըստ «Եկամտային հարկի, շահութահարկի և սոցիալական վճարի անձնավորված հաշվառման համակարգում» առկա տեղեկատվության,</w:t>
            </w:r>
            <w:r>
              <w:rPr>
                <w:rFonts w:ascii="GHEA Grapalat" w:hAnsi="GHEA Grapalat"/>
                <w:lang w:val="hy-AM"/>
              </w:rPr>
              <w:t>»:</w:t>
            </w:r>
          </w:p>
          <w:p>
            <w:pPr>
              <w:pStyle w:val="NormalWeb"/>
              <w:shd w:val="clear" w:color="auto" w:fill="FFFFFF"/>
              <w:spacing w:before="0" w:beforeAutospacing="0" w:after="0" w:afterAutospacing="0" w:line="288" w:lineRule="auto"/>
              <w:ind w:left="308"/>
              <w:jc w:val="both"/>
              <w:rPr>
                <w:rFonts w:ascii="GHEA Grapalat" w:hAnsi="GHEA Grapalat"/>
                <w:color w:val="000000" w:themeColor="text1"/>
                <w:lang w:val="hy-AM"/>
              </w:rPr>
            </w:pPr>
            <w:r>
              <w:rPr>
                <w:rFonts w:ascii="GHEA Grapalat" w:hAnsi="GHEA Grapalat"/>
                <w:color w:val="000000" w:themeColor="text1"/>
                <w:lang w:val="hy-AM"/>
              </w:rPr>
              <w:t>Այս առումով հայտնում ենք, որ հիշյալ դրույթը չի բխում իրավական ակտի վերնագրի պահանջներից, որի համաձայն՝ իրավական ակտը վերաբերում է անհուսալի վարկեր ունեցող չաշխատող անձանց տնտեսական ակտիվության խթանմանը: Նույն դիտողությունը վերաբերում է նաև 2-րդ հավելվածին:</w:t>
            </w:r>
          </w:p>
          <w:p>
            <w:pPr>
              <w:pStyle w:val="NormalWeb"/>
              <w:shd w:val="clear" w:color="auto" w:fill="FFFFFF"/>
              <w:spacing w:before="0" w:beforeAutospacing="0" w:after="0" w:afterAutospacing="0" w:line="288" w:lineRule="auto"/>
              <w:ind w:left="308"/>
              <w:jc w:val="both"/>
              <w:rPr>
                <w:rFonts w:ascii="GHEA Grapalat" w:hAnsi="GHEA Grapalat"/>
                <w:color w:val="000000" w:themeColor="text1"/>
                <w:lang w:val="hy-AM"/>
              </w:rPr>
            </w:pPr>
            <w:r>
              <w:rPr>
                <w:rFonts w:ascii="GHEA Grapalat" w:hAnsi="GHEA Grapalat"/>
                <w:color w:val="000000" w:themeColor="text1"/>
                <w:lang w:val="hy-AM"/>
              </w:rPr>
              <w:lastRenderedPageBreak/>
              <w:t>Ուստի կարծում ենք, որ նախագիծն ամբողջությամբ անհրաժեշտ է խմբագրել՝ նկատի ունենալով «Նորմատիվ իրավական ակտերի մասին» ՀՀ օրենքի 12-րդ հոդվածի 1-ին մասի պահանջները, որոնց համաձայն՝ «Նորմատիվ իրավական ակտն ունենում է վերնագիր, որը համապատասխանում է նորմատիվ իրավական ակտի բովանդակությանը:»:</w:t>
            </w:r>
          </w:p>
          <w:p>
            <w:pPr>
              <w:pStyle w:val="NormalWeb"/>
              <w:numPr>
                <w:ilvl w:val="0"/>
                <w:numId w:val="27"/>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Նախագծի հավելված 1-ի 4-րդ կետում ամբողջական մարումը բառերից հետո առաջարկում ենք լրացնել </w:t>
            </w:r>
            <w:bookmarkStart w:id="1" w:name="_Hlk157512876"/>
            <w:r>
              <w:rPr>
                <w:rFonts w:ascii="GHEA Grapalat" w:hAnsi="GHEA Grapalat"/>
                <w:lang w:val="hy-AM"/>
              </w:rPr>
              <w:t>կամ պարտավորության օրենքով սահմանված հիմքով դադարելը</w:t>
            </w:r>
            <w:bookmarkEnd w:id="1"/>
            <w:r>
              <w:rPr>
                <w:rFonts w:ascii="GHEA Grapalat" w:hAnsi="GHEA Grapalat"/>
                <w:lang w:val="hy-AM"/>
              </w:rPr>
              <w:t> բառերով:</w:t>
            </w:r>
          </w:p>
          <w:p>
            <w:pPr>
              <w:pStyle w:val="NormalWeb"/>
              <w:numPr>
                <w:ilvl w:val="0"/>
                <w:numId w:val="27"/>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Նախագծի հավելված 1-ի 5-րդ կետում Հարկադիր կատարումն ապահովող ծառայության կողմից բառերից հետո առաջարկում ենք լրացնել </w:t>
            </w:r>
            <w:bookmarkStart w:id="2" w:name="_Hlk157513031"/>
            <w:r>
              <w:rPr>
                <w:rFonts w:ascii="GHEA Grapalat" w:hAnsi="GHEA Grapalat"/>
                <w:lang w:val="hy-AM"/>
              </w:rPr>
              <w:t>Շահառու նկատմամբ բանկի կամ վարկային կազմակերպության կողմից ներկայացված կատարողական թերթի (թերթերի) կատարման ընթացքում</w:t>
            </w:r>
            <w:bookmarkEnd w:id="2"/>
            <w:r>
              <w:rPr>
                <w:rFonts w:ascii="GHEA Grapalat" w:hAnsi="GHEA Grapalat"/>
                <w:lang w:val="hy-AM"/>
              </w:rPr>
              <w:t> բառերով:</w:t>
            </w:r>
          </w:p>
          <w:p>
            <w:pPr>
              <w:pStyle w:val="NormalWeb"/>
              <w:numPr>
                <w:ilvl w:val="0"/>
                <w:numId w:val="27"/>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color w:val="000000" w:themeColor="text1"/>
                <w:lang w:val="hy-AM"/>
              </w:rPr>
              <w:t>Նախագծի հավելված 2-ի 7-րդ կետում </w:t>
            </w:r>
            <w:r>
              <w:rPr>
                <w:rFonts w:ascii="GHEA Grapalat" w:hAnsi="GHEA Grapalat"/>
                <w:lang w:val="hy-AM"/>
              </w:rPr>
              <w:t>եթե մինչ այդ չափը գերազանցում էր 20%-ը</w:t>
            </w:r>
            <w:r>
              <w:rPr>
                <w:rFonts w:ascii="GHEA Grapalat" w:hAnsi="GHEA Grapalat"/>
                <w:color w:val="000000" w:themeColor="text1"/>
                <w:lang w:val="hy-AM"/>
              </w:rPr>
              <w:t> բառերից հետո լրացնել </w:t>
            </w:r>
            <w:bookmarkStart w:id="3" w:name="_Hlk157513070"/>
            <w:r>
              <w:rPr>
                <w:rFonts w:ascii="GHEA Grapalat" w:hAnsi="GHEA Grapalat"/>
                <w:color w:val="000000" w:themeColor="text1"/>
                <w:lang w:val="hy-AM"/>
              </w:rPr>
              <w:t>կամ եթե օրենքով կամ կատարման ենթակա ակտով բռնագանձման առավել նվազ չափ սահմանված չէ</w:t>
            </w:r>
            <w:bookmarkEnd w:id="3"/>
            <w:r>
              <w:rPr>
                <w:rFonts w:ascii="GHEA Grapalat" w:hAnsi="GHEA Grapalat"/>
                <w:color w:val="000000" w:themeColor="text1"/>
                <w:lang w:val="hy-AM"/>
              </w:rPr>
              <w:t> բառերով:</w:t>
            </w:r>
          </w:p>
          <w:p>
            <w:pPr>
              <w:pStyle w:val="NormalWeb"/>
              <w:numPr>
                <w:ilvl w:val="0"/>
                <w:numId w:val="27"/>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Միաժամանակ, հավելված 2-ի 7-րդ կետի պարբերություններն անհրաժեշտ է համարակալել՝ համաձայն «Նորմատիվ իրավական ակտերի մասին» ՀՀ օրենքի 14-րդ հոդվածի 5-րդ մասի պահանջների: Նույն դիտողությունը վերաբերում է նաև հավելված 2-ի 8-րդ կետին:</w:t>
            </w:r>
          </w:p>
          <w:p>
            <w:pPr>
              <w:pStyle w:val="NormalWeb"/>
              <w:numPr>
                <w:ilvl w:val="0"/>
                <w:numId w:val="27"/>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color w:val="000000" w:themeColor="text1"/>
                <w:lang w:val="hy-AM"/>
              </w:rPr>
              <w:t>Նախագծի հավելված 2-ի 8-րդ կետում </w:t>
            </w:r>
            <w:r>
              <w:rPr>
                <w:rFonts w:ascii="GHEA Grapalat" w:hAnsi="GHEA Grapalat" w:cs="Calibri"/>
                <w:bCs/>
                <w:lang w:val="hy-AM"/>
              </w:rPr>
              <w:t>Շահառուն այլևս չունի անհուսալի վարկ (ամբողջությամբ մարվել է անհուսալի վարկը)</w:t>
            </w:r>
            <w:r>
              <w:rPr>
                <w:rFonts w:ascii="GHEA Grapalat" w:hAnsi="GHEA Grapalat"/>
                <w:color w:val="000000" w:themeColor="text1"/>
                <w:lang w:val="hy-AM"/>
              </w:rPr>
              <w:t> բառերից հետո լրացնել կամ պարտավորությունը օրենքով սահմանված հիմքով դադարել է բառերով:</w:t>
            </w:r>
          </w:p>
          <w:p>
            <w:pPr>
              <w:pStyle w:val="NormalWeb"/>
              <w:numPr>
                <w:ilvl w:val="0"/>
                <w:numId w:val="27"/>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color w:val="000000" w:themeColor="text1"/>
                <w:lang w:val="hy-AM"/>
              </w:rPr>
              <w:t xml:space="preserve">Նախագծի հավելված 2-ի 11-րդ կետով սահմանվում է, որ </w:t>
            </w:r>
            <w:r>
              <w:rPr>
                <w:rFonts w:ascii="GHEA Grapalat" w:hAnsi="GHEA Grapalat" w:cs="Calibri"/>
                <w:bCs/>
                <w:lang w:val="hy-AM"/>
              </w:rPr>
              <w:t xml:space="preserve">Շահառուին տրվող աջակցության գումարը վարկավորողի կողմից ուղղվում է Շահառուի </w:t>
            </w:r>
            <w:r>
              <w:rPr>
                <w:rFonts w:ascii="GHEA Grapalat" w:hAnsi="GHEA Grapalat" w:cs="Calibri"/>
                <w:bCs/>
                <w:lang w:val="hy-AM"/>
              </w:rPr>
              <w:lastRenderedPageBreak/>
              <w:t>համապատասխան վարկային հաշվին, սակայն նախագծով սահմանված չէ աջակցության գումարը վարկավորողին տրամադրելու ընթացակարգը:</w:t>
            </w:r>
          </w:p>
          <w:p>
            <w:pPr>
              <w:pStyle w:val="NormalWeb"/>
              <w:numPr>
                <w:ilvl w:val="0"/>
                <w:numId w:val="27"/>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color w:val="000000" w:themeColor="text1"/>
                <w:lang w:val="hy-AM"/>
              </w:rPr>
              <w:t>Նախագծի հավելված 2-ի 15-րդ կետում կամ լրացել է աջակցության տրամադրման ժամկետը բառերից հետո լրացնել կամ պարտավորության օրենքով սահմանված հիմքով դադարելը բառերով:</w:t>
            </w:r>
          </w:p>
          <w:p>
            <w:pPr>
              <w:pStyle w:val="NormalWeb"/>
              <w:numPr>
                <w:ilvl w:val="0"/>
                <w:numId w:val="27"/>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color w:val="000000" w:themeColor="text1"/>
                <w:lang w:val="hy-AM"/>
              </w:rPr>
              <w:t xml:space="preserve">Նախագծի հավելված 2-ի 16-րդ կետում </w:t>
            </w:r>
            <w:r>
              <w:rPr>
                <w:rFonts w:ascii="GHEA Grapalat" w:hAnsi="GHEA Grapalat"/>
                <w:color w:val="000000"/>
                <w:shd w:val="clear" w:color="auto" w:fill="FFFFFF"/>
                <w:lang w:val="hy-AM"/>
              </w:rPr>
              <w:t>«ասմվա» բառն անհրաժեշտ է փոխարինել «ամսվա» բառով:</w:t>
            </w:r>
          </w:p>
          <w:p>
            <w:pPr>
              <w:pStyle w:val="NormalWeb"/>
              <w:numPr>
                <w:ilvl w:val="0"/>
                <w:numId w:val="27"/>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color w:val="000000"/>
                <w:shd w:val="clear" w:color="auto" w:fill="FFFFFF"/>
                <w:lang w:val="hy-AM"/>
              </w:rPr>
              <w:t>Նախագծի 2-րդ հավելվածի 17-րդ կետում «Միջոցառումն» բառն անհրաժեշտ է փոխարինել «</w:t>
            </w:r>
            <w:bookmarkStart w:id="4" w:name="_Hlk157513409"/>
            <w:r>
              <w:rPr>
                <w:rFonts w:ascii="GHEA Grapalat" w:hAnsi="GHEA Grapalat"/>
                <w:color w:val="000000"/>
                <w:shd w:val="clear" w:color="auto" w:fill="FFFFFF"/>
                <w:lang w:val="hy-AM"/>
              </w:rPr>
              <w:t>Սույն որոշման 1-ին և 2-րդ կետերն</w:t>
            </w:r>
            <w:bookmarkEnd w:id="4"/>
            <w:r>
              <w:rPr>
                <w:rFonts w:ascii="GHEA Grapalat" w:hAnsi="GHEA Grapalat"/>
                <w:color w:val="000000"/>
                <w:shd w:val="clear" w:color="auto" w:fill="FFFFFF"/>
                <w:lang w:val="hy-AM"/>
              </w:rPr>
              <w:t>» բառերով:</w:t>
            </w:r>
          </w:p>
        </w:tc>
        <w:tc>
          <w:tcPr>
            <w:tcW w:w="5103" w:type="dxa"/>
          </w:tcPr>
          <w:p>
            <w:pPr>
              <w:pStyle w:val="ListParagraph"/>
              <w:numPr>
                <w:ilvl w:val="0"/>
                <w:numId w:val="28"/>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Առաջարկն ընդունվել է. </w:t>
            </w:r>
            <w:r>
              <w:rPr>
                <w:rFonts w:ascii="GHEA Grapalat" w:hAnsi="GHEA Grapalat"/>
                <w:bCs/>
                <w:color w:val="000000"/>
                <w:sz w:val="24"/>
                <w:szCs w:val="24"/>
                <w:shd w:val="clear" w:color="auto" w:fill="FFFFFF"/>
                <w:lang w:val="hy-AM"/>
              </w:rPr>
              <w:t>նախագծում</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կատարվել են համապատասխան փոփոխություններ։</w:t>
            </w: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numPr>
                <w:ilvl w:val="0"/>
                <w:numId w:val="28"/>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ընդունվել է. </w:t>
            </w:r>
            <w:r>
              <w:rPr>
                <w:rFonts w:ascii="GHEA Grapalat" w:hAnsi="GHEA Grapalat"/>
                <w:bCs/>
                <w:color w:val="000000"/>
                <w:sz w:val="24"/>
                <w:szCs w:val="24"/>
                <w:shd w:val="clear" w:color="auto" w:fill="FFFFFF"/>
                <w:lang w:val="hy-AM"/>
              </w:rPr>
              <w:t>նախագծում</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կատարվել են համապատասխան փոփոխություններ։</w:t>
            </w:r>
          </w:p>
          <w:p>
            <w:pPr>
              <w:pStyle w:val="ListParagraph"/>
              <w:numPr>
                <w:ilvl w:val="0"/>
                <w:numId w:val="28"/>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ընդունվել է. </w:t>
            </w:r>
            <w:r>
              <w:rPr>
                <w:rFonts w:ascii="GHEA Grapalat" w:hAnsi="GHEA Grapalat"/>
                <w:bCs/>
                <w:color w:val="000000"/>
                <w:sz w:val="24"/>
                <w:szCs w:val="24"/>
                <w:shd w:val="clear" w:color="auto" w:fill="FFFFFF"/>
                <w:lang w:val="hy-AM"/>
              </w:rPr>
              <w:t>նախագծում</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կատարվել են համապատասխան փոփոխություններ։</w:t>
            </w: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numPr>
                <w:ilvl w:val="0"/>
                <w:numId w:val="28"/>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ընդունվել է. </w:t>
            </w:r>
            <w:r>
              <w:rPr>
                <w:rFonts w:ascii="GHEA Grapalat" w:hAnsi="GHEA Grapalat"/>
                <w:bCs/>
                <w:color w:val="000000"/>
                <w:sz w:val="24"/>
                <w:szCs w:val="24"/>
                <w:shd w:val="clear" w:color="auto" w:fill="FFFFFF"/>
                <w:lang w:val="hy-AM"/>
              </w:rPr>
              <w:t>նախագծում</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կատարվել են համապատասխան փոփոխություններ։</w:t>
            </w: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numPr>
                <w:ilvl w:val="0"/>
                <w:numId w:val="28"/>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ընդունվել է. </w:t>
            </w:r>
            <w:r>
              <w:rPr>
                <w:rFonts w:ascii="GHEA Grapalat" w:hAnsi="GHEA Grapalat"/>
                <w:bCs/>
                <w:color w:val="000000"/>
                <w:sz w:val="24"/>
                <w:szCs w:val="24"/>
                <w:shd w:val="clear" w:color="auto" w:fill="FFFFFF"/>
                <w:lang w:val="hy-AM"/>
              </w:rPr>
              <w:t>նախագծում</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կատարվել են համապատասխան փոփոխություններ։</w:t>
            </w: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numPr>
                <w:ilvl w:val="0"/>
                <w:numId w:val="28"/>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ընդունվել է. </w:t>
            </w:r>
            <w:r>
              <w:rPr>
                <w:rFonts w:ascii="GHEA Grapalat" w:hAnsi="GHEA Grapalat"/>
                <w:bCs/>
                <w:color w:val="000000"/>
                <w:sz w:val="24"/>
                <w:szCs w:val="24"/>
                <w:shd w:val="clear" w:color="auto" w:fill="FFFFFF"/>
                <w:lang w:val="hy-AM"/>
              </w:rPr>
              <w:t>նախագծում</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կատարվել են համապատասխան փոփոխություններ։</w:t>
            </w: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numPr>
                <w:ilvl w:val="0"/>
                <w:numId w:val="28"/>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ընդունվել է. </w:t>
            </w:r>
            <w:r>
              <w:rPr>
                <w:rFonts w:ascii="GHEA Grapalat" w:hAnsi="GHEA Grapalat"/>
                <w:bCs/>
                <w:color w:val="000000"/>
                <w:sz w:val="24"/>
                <w:szCs w:val="24"/>
                <w:shd w:val="clear" w:color="auto" w:fill="FFFFFF"/>
                <w:lang w:val="hy-AM"/>
              </w:rPr>
              <w:t>նախագծում</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կատարվել են համապատասխան փոփոխություններ։</w:t>
            </w: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numPr>
                <w:ilvl w:val="0"/>
                <w:numId w:val="28"/>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ընդունվել է. </w:t>
            </w:r>
            <w:r>
              <w:rPr>
                <w:rFonts w:ascii="GHEA Grapalat" w:hAnsi="GHEA Grapalat"/>
                <w:bCs/>
                <w:color w:val="000000"/>
                <w:sz w:val="24"/>
                <w:szCs w:val="24"/>
                <w:shd w:val="clear" w:color="auto" w:fill="FFFFFF"/>
                <w:lang w:val="hy-AM"/>
              </w:rPr>
              <w:t>նախագծում</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կատարվել են համապատասխան փոփոխություններ։</w:t>
            </w:r>
          </w:p>
          <w:p>
            <w:pPr>
              <w:pStyle w:val="ListParagraph"/>
              <w:numPr>
                <w:ilvl w:val="0"/>
                <w:numId w:val="28"/>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ընդունվել է. </w:t>
            </w:r>
            <w:r>
              <w:rPr>
                <w:rFonts w:ascii="GHEA Grapalat" w:hAnsi="GHEA Grapalat"/>
                <w:bCs/>
                <w:color w:val="000000"/>
                <w:sz w:val="24"/>
                <w:szCs w:val="24"/>
                <w:shd w:val="clear" w:color="auto" w:fill="FFFFFF"/>
                <w:lang w:val="hy-AM"/>
              </w:rPr>
              <w:t>նախագծում</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կատարվել են համապատասխան փոփոխություններ։</w:t>
            </w:r>
          </w:p>
          <w:p>
            <w:pPr>
              <w:pStyle w:val="ListParagraph"/>
              <w:rPr>
                <w:rFonts w:ascii="GHEA Grapalat" w:hAnsi="GHEA Grapalat"/>
                <w:b/>
                <w:color w:val="000000"/>
                <w:sz w:val="24"/>
                <w:szCs w:val="24"/>
                <w:shd w:val="clear" w:color="auto" w:fill="FFFFFF"/>
                <w:lang w:val="hy-AM"/>
              </w:rPr>
            </w:pPr>
          </w:p>
          <w:p>
            <w:pPr>
              <w:pStyle w:val="ListParagraph"/>
              <w:numPr>
                <w:ilvl w:val="0"/>
                <w:numId w:val="28"/>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ընդունվել է. </w:t>
            </w:r>
            <w:r>
              <w:rPr>
                <w:rFonts w:ascii="GHEA Grapalat" w:hAnsi="GHEA Grapalat"/>
                <w:bCs/>
                <w:color w:val="000000"/>
                <w:sz w:val="24"/>
                <w:szCs w:val="24"/>
                <w:shd w:val="clear" w:color="auto" w:fill="FFFFFF"/>
                <w:lang w:val="hy-AM"/>
              </w:rPr>
              <w:t>նախագծում</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կատարվել են համապատասխան փոփոխություններ։</w:t>
            </w:r>
          </w:p>
          <w:p>
            <w:pPr>
              <w:pStyle w:val="ListParagraph"/>
              <w:numPr>
                <w:ilvl w:val="0"/>
                <w:numId w:val="28"/>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ընդունվել է. </w:t>
            </w:r>
            <w:r>
              <w:rPr>
                <w:rFonts w:ascii="GHEA Grapalat" w:hAnsi="GHEA Grapalat"/>
                <w:bCs/>
                <w:color w:val="000000"/>
                <w:sz w:val="24"/>
                <w:szCs w:val="24"/>
                <w:shd w:val="clear" w:color="auto" w:fill="FFFFFF"/>
                <w:lang w:val="hy-AM"/>
              </w:rPr>
              <w:t>նախագծում</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կատարվել են համապատասխան փոփոխություններ։</w:t>
            </w:r>
          </w:p>
          <w:p>
            <w:pPr>
              <w:pStyle w:val="ListParagraph"/>
              <w:rPr>
                <w:rFonts w:ascii="GHEA Grapalat" w:hAnsi="GHEA Grapalat"/>
                <w:b/>
                <w:color w:val="000000"/>
                <w:sz w:val="24"/>
                <w:szCs w:val="24"/>
                <w:shd w:val="clear" w:color="auto" w:fill="FFFFFF"/>
                <w:lang w:val="hy-AM"/>
              </w:rPr>
            </w:pPr>
          </w:p>
          <w:p>
            <w:pPr>
              <w:pStyle w:val="ListParagraph"/>
              <w:numPr>
                <w:ilvl w:val="0"/>
                <w:numId w:val="28"/>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ընդունվել է. </w:t>
            </w:r>
            <w:r>
              <w:rPr>
                <w:rFonts w:ascii="GHEA Grapalat" w:hAnsi="GHEA Grapalat"/>
                <w:bCs/>
                <w:color w:val="000000"/>
                <w:sz w:val="24"/>
                <w:szCs w:val="24"/>
                <w:shd w:val="clear" w:color="auto" w:fill="FFFFFF"/>
                <w:lang w:val="hy-AM"/>
              </w:rPr>
              <w:t>նախագծում</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կատարվել են համապատասխան փոփոխություններ։</w:t>
            </w:r>
          </w:p>
          <w:p>
            <w:pPr>
              <w:pStyle w:val="ListParagraph"/>
              <w:numPr>
                <w:ilvl w:val="0"/>
                <w:numId w:val="28"/>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ընդունվել է. </w:t>
            </w:r>
            <w:r>
              <w:rPr>
                <w:rFonts w:ascii="GHEA Grapalat" w:hAnsi="GHEA Grapalat"/>
                <w:bCs/>
                <w:color w:val="000000"/>
                <w:sz w:val="24"/>
                <w:szCs w:val="24"/>
                <w:shd w:val="clear" w:color="auto" w:fill="FFFFFF"/>
                <w:lang w:val="hy-AM"/>
              </w:rPr>
              <w:t>նախագծում</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կատարվել են համապատասխան փոփոխություններ։</w:t>
            </w:r>
          </w:p>
          <w:p>
            <w:pPr>
              <w:pStyle w:val="ListParagraph"/>
              <w:numPr>
                <w:ilvl w:val="0"/>
                <w:numId w:val="28"/>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Առաջարկն ընդունվել է. </w:t>
            </w:r>
            <w:r>
              <w:rPr>
                <w:rFonts w:ascii="GHEA Grapalat" w:hAnsi="GHEA Grapalat"/>
                <w:bCs/>
                <w:color w:val="000000"/>
                <w:sz w:val="24"/>
                <w:szCs w:val="24"/>
                <w:shd w:val="clear" w:color="auto" w:fill="FFFFFF"/>
                <w:lang w:val="hy-AM"/>
              </w:rPr>
              <w:t>նախագծում</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կատարվել են համապատասխան փոփոխություններ։</w:t>
            </w:r>
          </w:p>
          <w:p>
            <w:pPr>
              <w:pStyle w:val="ListParagraph"/>
              <w:rPr>
                <w:rFonts w:ascii="GHEA Grapalat" w:hAnsi="GHEA Grapalat"/>
                <w:b/>
                <w:color w:val="000000"/>
                <w:sz w:val="24"/>
                <w:szCs w:val="24"/>
                <w:shd w:val="clear" w:color="auto" w:fill="FFFFFF"/>
                <w:lang w:val="hy-AM"/>
              </w:rPr>
            </w:pPr>
          </w:p>
          <w:p>
            <w:pPr>
              <w:pStyle w:val="ListParagraph"/>
              <w:numPr>
                <w:ilvl w:val="0"/>
                <w:numId w:val="28"/>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ընդունվել է. </w:t>
            </w:r>
            <w:r>
              <w:rPr>
                <w:rFonts w:ascii="GHEA Grapalat" w:hAnsi="GHEA Grapalat"/>
                <w:bCs/>
                <w:color w:val="000000"/>
                <w:sz w:val="24"/>
                <w:szCs w:val="24"/>
                <w:shd w:val="clear" w:color="auto" w:fill="FFFFFF"/>
                <w:lang w:val="hy-AM"/>
              </w:rPr>
              <w:t>նախագծում</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կատարվել են համապատասխան փոփոխություններ։</w:t>
            </w:r>
          </w:p>
          <w:p>
            <w:pPr>
              <w:pStyle w:val="ListParagraph"/>
              <w:numPr>
                <w:ilvl w:val="0"/>
                <w:numId w:val="28"/>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ընդունվել է. </w:t>
            </w:r>
            <w:r>
              <w:rPr>
                <w:rFonts w:ascii="GHEA Grapalat" w:hAnsi="GHEA Grapalat"/>
                <w:bCs/>
                <w:color w:val="000000"/>
                <w:sz w:val="24"/>
                <w:szCs w:val="24"/>
                <w:shd w:val="clear" w:color="auto" w:fill="FFFFFF"/>
                <w:lang w:val="hy-AM"/>
              </w:rPr>
              <w:t>նախագծում</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կատարվել են համապատասխան փոփոխություններ։</w:t>
            </w:r>
          </w:p>
        </w:tc>
      </w:tr>
      <w:tr>
        <w:tc>
          <w:tcPr>
            <w:tcW w:w="9918" w:type="dxa"/>
            <w:vAlign w:val="center"/>
          </w:tcPr>
          <w:p>
            <w:pPr>
              <w:pStyle w:val="ListParagraph"/>
              <w:numPr>
                <w:ilvl w:val="0"/>
                <w:numId w:val="2"/>
              </w:numPr>
              <w:spacing w:line="360" w:lineRule="auto"/>
              <w:jc w:val="center"/>
              <w:rPr>
                <w:rFonts w:ascii="GHEA Grapalat" w:hAnsi="GHEA Grapalat"/>
                <w:b/>
                <w:spacing w:val="-6"/>
                <w:sz w:val="24"/>
                <w:szCs w:val="24"/>
              </w:rPr>
            </w:pPr>
            <w:r>
              <w:rPr>
                <w:rFonts w:ascii="GHEA Grapalat" w:hAnsi="GHEA Grapalat"/>
                <w:b/>
                <w:spacing w:val="-6"/>
                <w:sz w:val="24"/>
                <w:szCs w:val="24"/>
                <w:lang w:val="hy-AM"/>
              </w:rPr>
              <w:lastRenderedPageBreak/>
              <w:t>Պետական եկամուտների կոմիտե</w:t>
            </w:r>
          </w:p>
        </w:tc>
        <w:tc>
          <w:tcPr>
            <w:tcW w:w="5103" w:type="dxa"/>
          </w:tcPr>
          <w:p>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18.01.2024</w:t>
            </w:r>
          </w:p>
          <w:p>
            <w:pPr>
              <w:widowControl w:val="0"/>
              <w:spacing w:line="276" w:lineRule="auto"/>
              <w:ind w:right="210"/>
              <w:contextualSpacing/>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01/3-3/2765-2024</w:t>
            </w:r>
          </w:p>
        </w:tc>
      </w:tr>
      <w:tr>
        <w:tc>
          <w:tcPr>
            <w:tcW w:w="9918" w:type="dxa"/>
          </w:tcPr>
          <w:p>
            <w:pPr>
              <w:pStyle w:val="NormalWeb"/>
              <w:numPr>
                <w:ilvl w:val="0"/>
                <w:numId w:val="31"/>
              </w:numPr>
              <w:shd w:val="clear" w:color="auto" w:fill="FFFFFF"/>
              <w:spacing w:before="0" w:beforeAutospacing="0" w:after="0" w:afterAutospacing="0" w:line="288" w:lineRule="auto"/>
              <w:ind w:left="308"/>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Նախագծի 5-րդ կետի համաձայն՝ միջոցառման շրջանակում շահառու դառնալու ժամկետ է սահմանվում 2024 թվականի օգոստոսի 31-ը։</w:t>
            </w:r>
          </w:p>
          <w:p>
            <w:pPr>
              <w:pStyle w:val="NormalWeb"/>
              <w:shd w:val="clear" w:color="auto" w:fill="FFFFFF"/>
              <w:spacing w:before="0" w:beforeAutospacing="0" w:after="0" w:afterAutospacing="0" w:line="288" w:lineRule="auto"/>
              <w:ind w:left="308"/>
              <w:jc w:val="both"/>
              <w:rPr>
                <w:rFonts w:ascii="GHEA Grapalat" w:hAnsi="GHEA Grapalat"/>
                <w:color w:val="000000" w:themeColor="text1"/>
                <w:lang w:val="hy-AM"/>
              </w:rPr>
            </w:pPr>
            <w:r>
              <w:rPr>
                <w:rFonts w:ascii="GHEA Grapalat" w:hAnsi="GHEA Grapalat"/>
                <w:color w:val="000000" w:themeColor="text1"/>
                <w:lang w:val="hy-AM"/>
              </w:rPr>
              <w:t>Նախագծի 1-ին կետով հաստատվող N1 հավելվածի 4-րդ կետի համաձայն՝ աջակցությունը տրամադրվում է առավելագույնը 24 ամիս ժամկետով՝ սկսած Շահառու ճանաչվելուն հաջորդող ամսվա 1-ից, բայց ոչ ավելի, քան անհուսալի վարկի ամբողջական մարումը։</w:t>
            </w:r>
          </w:p>
          <w:p>
            <w:pPr>
              <w:pStyle w:val="NormalWeb"/>
              <w:shd w:val="clear" w:color="auto" w:fill="FFFFFF"/>
              <w:spacing w:before="0" w:beforeAutospacing="0" w:after="0" w:afterAutospacing="0" w:line="288" w:lineRule="auto"/>
              <w:ind w:left="308"/>
              <w:jc w:val="both"/>
              <w:rPr>
                <w:rFonts w:ascii="GHEA Grapalat" w:hAnsi="GHEA Grapalat"/>
                <w:color w:val="000000" w:themeColor="text1"/>
                <w:lang w:val="hy-AM"/>
              </w:rPr>
            </w:pPr>
            <w:r>
              <w:rPr>
                <w:rFonts w:ascii="GHEA Grapalat" w:hAnsi="GHEA Grapalat"/>
                <w:color w:val="000000" w:themeColor="text1"/>
                <w:lang w:val="hy-AM"/>
              </w:rPr>
              <w:t xml:space="preserve">Միաժամանակ, նախագծի հիմնավորման համաձայն՝ նախագծի ընդունման պարագայում ակնկալվում է, որ ամսական միջինում 1,000 նոր անձ կդառնա միջոցառման շահառու, իսկ միջոցառման տևողությունը նախատեսվում է 9 ամիս։ Մասնավորապես, 2024 թվականի մայիսից մինչև դեկտեմբեր ամիսներին կանխատեսվում է յուրաքանչյուր ամիս նախորդող ամսվա համեմատ 1000-ով </w:t>
            </w:r>
            <w:r>
              <w:rPr>
                <w:rFonts w:ascii="GHEA Grapalat" w:hAnsi="GHEA Grapalat"/>
                <w:color w:val="000000" w:themeColor="text1"/>
                <w:lang w:val="hy-AM"/>
              </w:rPr>
              <w:lastRenderedPageBreak/>
              <w:t>շահառուների թվաքանակի ավելացում, մասնավորապես՝ մայիս ամսին շահառուների թվաքանակը կանխատեսվում է 1000, իսկ դեկտեմբերին՝ 8000։</w:t>
            </w:r>
          </w:p>
          <w:p>
            <w:pPr>
              <w:pStyle w:val="NormalWeb"/>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color w:val="000000" w:themeColor="text1"/>
                <w:lang w:val="hy-AM"/>
              </w:rPr>
              <w:t>Վերոգրյալից ելնելով՝ առաջարկում ենք միջոցառման շրջանակում շահառու դառնալու վերջնաժամկետը վերանայել կամ հիմնավորմամբ կատարվող վերոնշյալ դիտարկումները և  հաշվարկները համապատասխանեցնել նախագծով առաջարկվող կարգավորումներին։</w:t>
            </w:r>
          </w:p>
          <w:p>
            <w:pPr>
              <w:pStyle w:val="NormalWeb"/>
              <w:numPr>
                <w:ilvl w:val="0"/>
                <w:numId w:val="31"/>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 xml:space="preserve">Նախագծի 1-ին կետով հաստատվող N1 հավելվածի 2-րդ կետի 3-րդ ենթակետի «գ» պարբերության համաձայն՝ շահառուն ՀՀ քաղաքացի կամ ՀՀ ժամանակավոր պաշտպանության կարգավիճակ ունեցող անձն է, ով </w:t>
            </w:r>
            <w:r>
              <w:rPr>
                <w:rFonts w:ascii="GHEA Grapalat" w:hAnsi="GHEA Grapalat"/>
                <w:i/>
                <w:u w:val="single"/>
                <w:lang w:val="hy-AM"/>
              </w:rPr>
              <w:t>2024 թվականի ապրիլի 1-ին</w:t>
            </w:r>
            <w:r>
              <w:rPr>
                <w:rFonts w:ascii="GHEA Grapalat" w:hAnsi="GHEA Grapalat"/>
                <w:lang w:val="hy-AM"/>
              </w:rPr>
              <w:t xml:space="preserve"> նախորդող մեկ տարվա ընթացքում առվազն 183 օր չի հանդիսացել Աշխատող՝ ըստ «Եկամտային հարկի, շահութահարկի և սոցիալական վճարի անձնավորված հաշվառման համակարգում» առկա տեղեկատվության։</w:t>
            </w:r>
          </w:p>
          <w:p>
            <w:pPr>
              <w:pStyle w:val="NormalWeb"/>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color w:val="000000" w:themeColor="text1"/>
                <w:lang w:val="hy-AM"/>
              </w:rPr>
              <w:t>Միաժամանակ</w:t>
            </w:r>
            <w:r>
              <w:rPr>
                <w:rFonts w:ascii="GHEA Grapalat" w:hAnsi="GHEA Grapalat"/>
                <w:lang w:val="hy-AM"/>
              </w:rPr>
              <w:t>, նախագծի 2-րդ կետով հաստատվող</w:t>
            </w:r>
            <w:r>
              <w:rPr>
                <w:lang w:val="hy-AM"/>
              </w:rPr>
              <w:t xml:space="preserve"> </w:t>
            </w:r>
            <w:r>
              <w:rPr>
                <w:rFonts w:ascii="GHEA Grapalat" w:hAnsi="GHEA Grapalat"/>
                <w:lang w:val="hy-AM"/>
              </w:rPr>
              <w:t xml:space="preserve">N2 հավելվածի 4-րդ կետի 2-րդ ենթակետի համաձայն՝ դիմումն ընդունվելուց հետո համակարգն ինքնաշխատ եղանակով տեղեկատվական շտեմարանների փոխգործելիության միջոցով իրականացնում է դիմումատուի կողմից ներկայացված տվյալների ստուգում հետևյալ ուղղություններով և հաջորդականությամբ. ինքնաշխատ հարցմամբ՝ անձնավորված հաշվառման համակարգից ստուգվում է դիմումատուի՝ դիմումը ներկայացնելու օրվա դրությամբ Աշխատող լինելու և, միաժամանակ, </w:t>
            </w:r>
            <w:r>
              <w:rPr>
                <w:rFonts w:ascii="GHEA Grapalat" w:hAnsi="GHEA Grapalat"/>
                <w:i/>
                <w:u w:val="single"/>
                <w:lang w:val="hy-AM"/>
              </w:rPr>
              <w:t>2024 թվականի մարտի 1-ին</w:t>
            </w:r>
            <w:r>
              <w:rPr>
                <w:rFonts w:ascii="GHEA Grapalat" w:hAnsi="GHEA Grapalat"/>
                <w:lang w:val="hy-AM"/>
              </w:rPr>
              <w:t xml:space="preserve"> նախորդող մեկ տարվա ընթացքում առնվազն 183 օր Աշխատող չլինելու հանգամանքը։</w:t>
            </w:r>
          </w:p>
          <w:p>
            <w:pPr>
              <w:pStyle w:val="NormalWeb"/>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Առաջարկում ենք նախագծի վերոնշյալ դրույթները համապատասխանեցնել միմյանց՝ մասնավորապես հստակեցնելով նախորդող մեկ տարվա ժամանակահատվածը հաշվարկվելու է 2024 թվականի մարտի 1-ից, թե 2024 թվականի ապրիլի 1-ից։</w:t>
            </w:r>
          </w:p>
          <w:p>
            <w:pPr>
              <w:pStyle w:val="NormalWeb"/>
              <w:numPr>
                <w:ilvl w:val="0"/>
                <w:numId w:val="31"/>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lastRenderedPageBreak/>
              <w:t xml:space="preserve">Նախագծի 1-ին կետով հաստատվող N1 հավելվածի 3-րդ կետի համաձայն՝ միջոցառման շրջանակում Շահառուին տրվում է ֆինանսական աջակցություն՝ Շահառուի աշխատավարձից և դրան հավասարեցված վճարումներից հաշվարկված եկամտային հարկի գումարի 50%-ի չափով, բայց ոչ ավելի, քան ամսական 25,000 ՀՀ դրամ, որն ուղղվում է անհուսալի վարկային պարտավորության մարմանը։ </w:t>
            </w:r>
          </w:p>
          <w:p>
            <w:pPr>
              <w:pStyle w:val="NormalWeb"/>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Միաժամանակ, նախագծում բացակայում է աջակցության տրամադրման նպատակով եկամտային հարկի գծով հարկային պարտավորությունները կատարված լինելու պահանջ, ուստի առաջարկում ենք նախագծում նախատեսել դրույթ, համաձայն որի՝ շահառուին աջակցությունը տրամադրվում է, եթե յուրաքանչյուր ամսվա 20-ին հաջորդող հինգերորդ աշխատանքային օրվա դրությամբ ամբողջությամբ կատարվել է տվյալ ամսվա համար հարկային մարմին ներկայացված` եկամտային հարկի (պարզեցված) հաշվարկով հայտարարագրված հարկային պարտավորությունը, միաժամանակ նախատեսելով, որ տվյալ տեղեկությունը համապատասխան հարցման հիման վրա տրամադրվում է ՀՀ պետական եկամուտների կոմիտեի կողմից։</w:t>
            </w:r>
          </w:p>
          <w:p>
            <w:pPr>
              <w:pStyle w:val="NormalWeb"/>
              <w:numPr>
                <w:ilvl w:val="0"/>
                <w:numId w:val="31"/>
              </w:numPr>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 xml:space="preserve">Նախագծի 2-րդ կետով հաստատվող N2 հավելվածի 9-րդ կետի 5-րդ ենթակետին համապատասխան՝ շահառուների ցուցակը կազմվում է «Microsoﬅ Excel» ծրագրի ձևաչափով, որում ներառվում են նույն կետում նշված տվյալները, մասնավորապես՝ անհուսալի վարկի մարմանն ուղղվող աջակցության գումարի չափը (հաշվարկված </w:t>
            </w:r>
            <w:r>
              <w:rPr>
                <w:rFonts w:ascii="GHEA Grapalat" w:hAnsi="GHEA Grapalat"/>
                <w:i/>
                <w:u w:val="single"/>
                <w:lang w:val="hy-AM"/>
              </w:rPr>
              <w:t>եկամտահարկի գումարի 50%-ը</w:t>
            </w:r>
            <w:r>
              <w:rPr>
                <w:rFonts w:ascii="GHEA Grapalat" w:hAnsi="GHEA Grapalat"/>
                <w:lang w:val="hy-AM"/>
              </w:rPr>
              <w:t>):</w:t>
            </w:r>
          </w:p>
          <w:p>
            <w:pPr>
              <w:pStyle w:val="NormalWeb"/>
              <w:shd w:val="clear" w:color="auto" w:fill="FFFFFF"/>
              <w:spacing w:before="0" w:beforeAutospacing="0" w:after="0" w:afterAutospacing="0" w:line="288" w:lineRule="auto"/>
              <w:ind w:left="308"/>
              <w:jc w:val="both"/>
              <w:rPr>
                <w:rFonts w:ascii="GHEA Grapalat" w:hAnsi="GHEA Grapalat"/>
                <w:lang w:val="hy-AM"/>
              </w:rPr>
            </w:pPr>
            <w:r>
              <w:rPr>
                <w:rFonts w:ascii="GHEA Grapalat" w:hAnsi="GHEA Grapalat"/>
                <w:lang w:val="hy-AM"/>
              </w:rPr>
              <w:t>Առաջարկում ենք վերոնշյալ ենթակետում «եկամտահարկի գումարի 50%-ը» բառերը փոխարինել «եկամտային հարկի գումարի 50%-ը,</w:t>
            </w:r>
            <w:r>
              <w:rPr>
                <w:lang w:val="hy-AM"/>
              </w:rPr>
              <w:t xml:space="preserve"> </w:t>
            </w:r>
            <w:r>
              <w:rPr>
                <w:rFonts w:ascii="GHEA Grapalat" w:hAnsi="GHEA Grapalat"/>
                <w:lang w:val="hy-AM"/>
              </w:rPr>
              <w:t>բայց ոչ ավելի, քան 25,000 ՀՀ դրամ» բառերով։</w:t>
            </w:r>
          </w:p>
          <w:p>
            <w:pPr>
              <w:pStyle w:val="NormalWeb"/>
              <w:numPr>
                <w:ilvl w:val="0"/>
                <w:numId w:val="31"/>
              </w:numPr>
              <w:shd w:val="clear" w:color="auto" w:fill="FFFFFF"/>
              <w:spacing w:before="0" w:beforeAutospacing="0" w:after="0" w:afterAutospacing="0" w:line="288" w:lineRule="auto"/>
              <w:ind w:left="308"/>
              <w:jc w:val="both"/>
              <w:rPr>
                <w:rFonts w:ascii="GHEA Grapalat" w:hAnsi="GHEA Grapalat"/>
                <w:color w:val="000000" w:themeColor="text1"/>
                <w:lang w:val="hy-AM"/>
              </w:rPr>
            </w:pPr>
            <w:r>
              <w:rPr>
                <w:rFonts w:ascii="GHEA Grapalat" w:hAnsi="GHEA Grapalat"/>
                <w:lang w:val="hy-AM"/>
              </w:rPr>
              <w:t>Միաժամանակ, առաջարկում ենք նախագծի հիմնավորման մեջ «եկամտահարկ» բառը համապատասխան հոլովաձևերով փոխարինել «եկամտային հարկ» բառերով։</w:t>
            </w:r>
          </w:p>
        </w:tc>
        <w:tc>
          <w:tcPr>
            <w:tcW w:w="5103" w:type="dxa"/>
          </w:tcPr>
          <w:p>
            <w:pPr>
              <w:pStyle w:val="ListParagraph"/>
              <w:numPr>
                <w:ilvl w:val="0"/>
                <w:numId w:val="32"/>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Առաջարկն ընդունվել է. </w:t>
            </w:r>
            <w:r>
              <w:rPr>
                <w:rFonts w:ascii="GHEA Grapalat" w:hAnsi="GHEA Grapalat"/>
                <w:bCs/>
                <w:color w:val="000000"/>
                <w:sz w:val="24"/>
                <w:szCs w:val="24"/>
                <w:shd w:val="clear" w:color="auto" w:fill="FFFFFF"/>
                <w:lang w:val="hy-AM"/>
              </w:rPr>
              <w:t>նախագծում</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և հիմնավորումներում</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կատարվել են համապատասխան փոփոխություններ։</w:t>
            </w: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numPr>
                <w:ilvl w:val="0"/>
                <w:numId w:val="32"/>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ընդունվել է. </w:t>
            </w:r>
            <w:r>
              <w:rPr>
                <w:rFonts w:ascii="GHEA Grapalat" w:hAnsi="GHEA Grapalat"/>
                <w:bCs/>
                <w:color w:val="000000"/>
                <w:sz w:val="24"/>
                <w:szCs w:val="24"/>
                <w:shd w:val="clear" w:color="auto" w:fill="FFFFFF"/>
                <w:lang w:val="hy-AM"/>
              </w:rPr>
              <w:t>նախորդող</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ժամանակաշրջանում չաշխատելու պայմանը հանվել է նախագծից, ինչպես նաև կատարվել են ժամկետների համապատասխանեցումներ</w:t>
            </w: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numPr>
                <w:ilvl w:val="0"/>
                <w:numId w:val="32"/>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Առաջարկը չի ընդունվել. </w:t>
            </w:r>
            <w:r>
              <w:rPr>
                <w:rFonts w:ascii="GHEA Grapalat" w:hAnsi="GHEA Grapalat"/>
                <w:bCs/>
                <w:color w:val="000000"/>
                <w:sz w:val="24"/>
                <w:szCs w:val="24"/>
                <w:shd w:val="clear" w:color="auto" w:fill="FFFFFF"/>
                <w:lang w:val="hy-AM"/>
              </w:rPr>
              <w:t>շահառուի աջակցությունը նպատակահարմար չէ փոխկապակցել գործատուի հարկային պարտաճանաչության հետ՝ այդպիսով ռիսկի ենթարկելով անձի՝ իրական շահառու դառնալու բարեխիղճ որոշումը, բացի դրանից, կարծում ենք, հարկային պարտավորության կատարման խնդիրը գտնվում է այլ վարչարարական տիրույթում և չպետք է անդրադառնա պոտենցիալ շահառուների իրավունքների վրա։</w:t>
            </w: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numPr>
                <w:ilvl w:val="0"/>
                <w:numId w:val="32"/>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ընդունվել է. </w:t>
            </w:r>
            <w:r>
              <w:rPr>
                <w:rFonts w:ascii="GHEA Grapalat" w:hAnsi="GHEA Grapalat"/>
                <w:bCs/>
                <w:color w:val="000000"/>
                <w:sz w:val="24"/>
                <w:szCs w:val="24"/>
                <w:shd w:val="clear" w:color="auto" w:fill="FFFFFF"/>
                <w:lang w:val="hy-AM"/>
              </w:rPr>
              <w:t>նախագծում</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կատարվել են համապատասխան փոփոխություններ։</w:t>
            </w: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rPr>
                <w:rFonts w:ascii="GHEA Grapalat" w:hAnsi="GHEA Grapalat"/>
                <w:b/>
                <w:color w:val="000000"/>
                <w:sz w:val="24"/>
                <w:szCs w:val="24"/>
                <w:shd w:val="clear" w:color="auto" w:fill="FFFFFF"/>
                <w:lang w:val="hy-AM"/>
              </w:rPr>
            </w:pPr>
          </w:p>
          <w:p>
            <w:pPr>
              <w:pStyle w:val="ListParagraph"/>
              <w:numPr>
                <w:ilvl w:val="0"/>
                <w:numId w:val="32"/>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ընդունվել է. </w:t>
            </w:r>
            <w:r>
              <w:rPr>
                <w:rFonts w:ascii="GHEA Grapalat" w:hAnsi="GHEA Grapalat"/>
                <w:bCs/>
                <w:color w:val="000000"/>
                <w:sz w:val="24"/>
                <w:szCs w:val="24"/>
                <w:shd w:val="clear" w:color="auto" w:fill="FFFFFF"/>
                <w:lang w:val="hy-AM"/>
              </w:rPr>
              <w:t>հիմնավորման մեջ</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կատարվել են համապատասխան փոփոխություններ։</w:t>
            </w:r>
          </w:p>
        </w:tc>
      </w:tr>
      <w:tr>
        <w:tc>
          <w:tcPr>
            <w:tcW w:w="9918" w:type="dxa"/>
            <w:vAlign w:val="center"/>
          </w:tcPr>
          <w:p>
            <w:pPr>
              <w:pStyle w:val="ListParagraph"/>
              <w:numPr>
                <w:ilvl w:val="0"/>
                <w:numId w:val="2"/>
              </w:numPr>
              <w:spacing w:line="360" w:lineRule="auto"/>
              <w:jc w:val="center"/>
              <w:rPr>
                <w:rFonts w:ascii="GHEA Grapalat" w:hAnsi="GHEA Grapalat"/>
                <w:b/>
                <w:spacing w:val="-6"/>
                <w:sz w:val="24"/>
                <w:szCs w:val="24"/>
              </w:rPr>
            </w:pPr>
            <w:r>
              <w:rPr>
                <w:rFonts w:ascii="GHEA Grapalat" w:hAnsi="GHEA Grapalat"/>
                <w:b/>
                <w:spacing w:val="-6"/>
                <w:sz w:val="24"/>
                <w:szCs w:val="24"/>
                <w:lang w:val="hy-AM"/>
              </w:rPr>
              <w:lastRenderedPageBreak/>
              <w:t>Կենտրոնական բանկ</w:t>
            </w:r>
          </w:p>
        </w:tc>
        <w:tc>
          <w:tcPr>
            <w:tcW w:w="5103" w:type="dxa"/>
          </w:tcPr>
          <w:p>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26.03.2024</w:t>
            </w:r>
          </w:p>
          <w:p>
            <w:pPr>
              <w:widowControl w:val="0"/>
              <w:spacing w:line="276" w:lineRule="auto"/>
              <w:ind w:right="210"/>
              <w:contextualSpacing/>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Ստացվել է աշխատանքային կարգով</w:t>
            </w:r>
          </w:p>
        </w:tc>
      </w:tr>
      <w:tr>
        <w:tc>
          <w:tcPr>
            <w:tcW w:w="9918" w:type="dxa"/>
          </w:tcPr>
          <w:p>
            <w:pPr>
              <w:pStyle w:val="BodyText"/>
              <w:numPr>
                <w:ilvl w:val="0"/>
                <w:numId w:val="33"/>
              </w:numPr>
              <w:spacing w:before="240" w:line="276" w:lineRule="auto"/>
              <w:ind w:left="360"/>
              <w:rPr>
                <w:rFonts w:ascii="GHEA Grapalat" w:hAnsi="GHEA Grapalat" w:cs="Calibri"/>
                <w:color w:val="000000"/>
                <w:szCs w:val="24"/>
                <w:shd w:val="clear" w:color="auto" w:fill="FFFFFF"/>
                <w:lang w:val="hy-AM"/>
              </w:rPr>
            </w:pPr>
            <w:r>
              <w:rPr>
                <w:rFonts w:ascii="GHEA Grapalat" w:hAnsi="GHEA Grapalat"/>
                <w:szCs w:val="24"/>
                <w:lang w:val="hy-AM"/>
              </w:rPr>
              <w:t xml:space="preserve">«Անհուսալի վարկեր ունեցող չաշխատող անձանց տնտեսական ակտիվության խթանման միջոցառումը և կարգը հաստատելու մասին» Հայաստանի Հանրապետության կառավարության որոշման նախագիծը (այսուհետ՝ Նախագիծ) անհրաժեշտ է </w:t>
            </w:r>
            <w:r>
              <w:rPr>
                <w:rFonts w:ascii="GHEA Grapalat" w:hAnsi="GHEA Grapalat" w:cs="Calibri"/>
                <w:color w:val="000000"/>
                <w:lang w:val="hy-AM"/>
              </w:rPr>
              <w:t>համապատասխանեցնել</w:t>
            </w:r>
            <w:r>
              <w:rPr>
                <w:rFonts w:ascii="GHEA Grapalat" w:hAnsi="GHEA Grapalat"/>
                <w:szCs w:val="24"/>
                <w:lang w:val="hy-AM"/>
              </w:rPr>
              <w:t xml:space="preserve"> «Նորմատիվ իրավական ակտերի մասին» օրենքի 13-րդ հոդվածի 1-ին մասի պահանջներին, համաձայն որի </w:t>
            </w:r>
            <w:r>
              <w:rPr>
                <w:rFonts w:ascii="GHEA Grapalat" w:hAnsi="GHEA Grapalat"/>
                <w:color w:val="000000"/>
                <w:szCs w:val="24"/>
                <w:shd w:val="clear" w:color="auto" w:fill="FFFFFF"/>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r>
              <w:rPr>
                <w:rFonts w:ascii="Calibri" w:hAnsi="Calibri" w:cs="Calibri"/>
                <w:color w:val="000000"/>
                <w:szCs w:val="24"/>
                <w:shd w:val="clear" w:color="auto" w:fill="FFFFFF"/>
                <w:lang w:val="hy-AM"/>
              </w:rPr>
              <w:t> </w:t>
            </w:r>
          </w:p>
          <w:p>
            <w:pPr>
              <w:pStyle w:val="BodyText"/>
              <w:numPr>
                <w:ilvl w:val="0"/>
                <w:numId w:val="33"/>
              </w:numPr>
              <w:spacing w:before="240" w:line="276" w:lineRule="auto"/>
              <w:ind w:left="360"/>
              <w:rPr>
                <w:rFonts w:ascii="GHEA Grapalat" w:hAnsi="GHEA Grapalat"/>
                <w:color w:val="000000"/>
                <w:szCs w:val="24"/>
                <w:shd w:val="clear" w:color="auto" w:fill="FFFFFF"/>
                <w:lang w:val="hy-AM"/>
              </w:rPr>
            </w:pPr>
            <w:r>
              <w:rPr>
                <w:rFonts w:ascii="GHEA Grapalat" w:hAnsi="GHEA Grapalat" w:cs="Calibri"/>
                <w:color w:val="000000"/>
                <w:szCs w:val="24"/>
                <w:shd w:val="clear" w:color="auto" w:fill="FFFFFF"/>
                <w:lang w:val="hy-AM"/>
              </w:rPr>
              <w:t xml:space="preserve">Հավելված 1-ի 2-րդ կետի 4-րդ ենթակետի վերաբերյալ հայտնում ենք, որ համաձայն «Հայաստանի Հանրապետության կենտրոնական բանկի մասին» օրենքի 35-րդ հոդվածի 3-րդ մասի ՀՀ </w:t>
            </w:r>
            <w:r>
              <w:rPr>
                <w:rFonts w:ascii="GHEA Grapalat" w:hAnsi="GHEA Grapalat"/>
                <w:color w:val="000000"/>
                <w:szCs w:val="24"/>
                <w:shd w:val="clear" w:color="auto" w:fill="FFFFFF"/>
                <w:lang w:val="hy-AM"/>
              </w:rPr>
              <w:t xml:space="preserve">կենտրոնական բանկի սահմանած կարգով և պայմաններով Կենտրոնական բանկում </w:t>
            </w:r>
            <w:r>
              <w:rPr>
                <w:rFonts w:ascii="GHEA Grapalat" w:hAnsi="GHEA Grapalat"/>
                <w:b/>
                <w:bCs/>
                <w:i/>
                <w:iCs/>
                <w:color w:val="000000"/>
                <w:szCs w:val="24"/>
                <w:shd w:val="clear" w:color="auto" w:fill="FFFFFF"/>
                <w:lang w:val="hy-AM"/>
              </w:rPr>
              <w:t>ֆինանսական կայունության ապահովման, վիճակագրության, պատշաճ վերահսկողության իրականացման նպատակով</w:t>
            </w:r>
            <w:r>
              <w:rPr>
                <w:rFonts w:ascii="GHEA Grapalat" w:hAnsi="GHEA Grapalat"/>
                <w:color w:val="000000"/>
                <w:szCs w:val="24"/>
                <w:shd w:val="clear" w:color="auto" w:fill="FFFFFF"/>
                <w:lang w:val="hy-AM"/>
              </w:rPr>
              <w:t xml:space="preserve"> ստեղծվում է բանկերի և վարկային կազմակերպությունների հաճախորդների վարկարժանության տեղեկատվական համակարգ` </w:t>
            </w:r>
            <w:r>
              <w:rPr>
                <w:rFonts w:ascii="GHEA Grapalat" w:hAnsi="GHEA Grapalat"/>
                <w:b/>
                <w:bCs/>
                <w:i/>
                <w:iCs/>
                <w:color w:val="000000"/>
                <w:szCs w:val="24"/>
                <w:shd w:val="clear" w:color="auto" w:fill="FFFFFF"/>
                <w:lang w:val="hy-AM"/>
              </w:rPr>
              <w:t>վարկային ռեգիստր</w:t>
            </w:r>
            <w:r>
              <w:rPr>
                <w:rFonts w:ascii="GHEA Grapalat" w:hAnsi="GHEA Grapalat"/>
                <w:color w:val="000000"/>
                <w:szCs w:val="24"/>
                <w:shd w:val="clear" w:color="auto" w:fill="FFFFFF"/>
                <w:lang w:val="hy-AM"/>
              </w:rPr>
              <w:t xml:space="preserve">, որին պարտադիր մասնակցում են Հայաստանի Հանրապետության տարածքում գործող բոլոր բանկերը և վարկային կազմակերպությունները: Բացի այդ, «Բանկային գաղտնիքի մասին» օրենքի 9-րդ հոդվածի 2-րդ մասի համաձայն </w:t>
            </w:r>
            <w:r>
              <w:rPr>
                <w:rFonts w:ascii="GHEA Grapalat" w:hAnsi="GHEA Grapalat"/>
                <w:b/>
                <w:bCs/>
                <w:i/>
                <w:iCs/>
                <w:color w:val="000000"/>
                <w:szCs w:val="24"/>
                <w:shd w:val="clear" w:color="auto" w:fill="FFFFFF"/>
                <w:lang w:val="hy-AM"/>
              </w:rPr>
              <w:t xml:space="preserve">ՀՀ կենտրոնական բանկն իրավունք չունի պետական մարմիններին, պաշտոնատար անձանց ու քաղաքացիներին կամ որևէ այլ անձի տրամադրել բանկերի վերահսկողության կապակցությամբ բանկերի հաճախորդների վերաբերյալ իրեն հայտնի դարձած բանկային գաղտնիք կազմող տեղեկությունները: </w:t>
            </w:r>
            <w:r>
              <w:rPr>
                <w:rFonts w:ascii="GHEA Grapalat" w:hAnsi="GHEA Grapalat"/>
                <w:color w:val="000000"/>
                <w:szCs w:val="24"/>
                <w:shd w:val="clear" w:color="auto" w:fill="FFFFFF"/>
                <w:lang w:val="hy-AM"/>
              </w:rPr>
              <w:t xml:space="preserve">Վերոգրյալը նկատի ունենալով, </w:t>
            </w:r>
            <w:r>
              <w:rPr>
                <w:rFonts w:ascii="GHEA Grapalat" w:hAnsi="GHEA Grapalat"/>
                <w:color w:val="000000"/>
                <w:szCs w:val="24"/>
                <w:shd w:val="clear" w:color="auto" w:fill="FFFFFF"/>
                <w:lang w:val="hy-AM"/>
              </w:rPr>
              <w:lastRenderedPageBreak/>
              <w:t>գտնում ենք, որ իրավական տեսանկյունից հիմքեր առկա չեն  ՀՀ կենտրոնական բանկի վարկային ռեգիստրից Նախագծով նախատեսված կարգավորումների համար տեղեկատվության տրամադրումը:</w:t>
            </w:r>
          </w:p>
          <w:p>
            <w:pPr>
              <w:spacing w:line="276" w:lineRule="auto"/>
              <w:ind w:left="448" w:firstLine="273"/>
              <w:jc w:val="both"/>
              <w:rPr>
                <w:rFonts w:ascii="GHEA Grapalat" w:hAnsi="GHEA Grapalat" w:cs="Calibri"/>
                <w:color w:val="000000"/>
                <w:sz w:val="24"/>
                <w:szCs w:val="24"/>
                <w:shd w:val="clear" w:color="auto" w:fill="FFFFFF"/>
                <w:lang w:val="hy-AM"/>
              </w:rPr>
            </w:pPr>
            <w:r>
              <w:rPr>
                <w:rFonts w:ascii="GHEA Grapalat" w:hAnsi="GHEA Grapalat" w:cs="Calibri"/>
                <w:color w:val="000000"/>
                <w:sz w:val="24"/>
                <w:szCs w:val="24"/>
                <w:shd w:val="clear" w:color="auto" w:fill="FFFFFF"/>
                <w:lang w:val="hy-AM"/>
              </w:rPr>
              <w:t>Նույն դիտողությունը վերաբերվում է նաև որոշմամբ հաստատված Հավելված 2-ի 4-րդ կետի 3-րդ ենթակետին:</w:t>
            </w:r>
          </w:p>
          <w:p>
            <w:pPr>
              <w:spacing w:line="276" w:lineRule="auto"/>
              <w:ind w:left="448" w:firstLine="273"/>
              <w:jc w:val="both"/>
              <w:rPr>
                <w:rFonts w:ascii="GHEA Grapalat" w:hAnsi="GHEA Grapalat" w:cs="Calibri"/>
                <w:color w:val="000000"/>
                <w:sz w:val="24"/>
                <w:szCs w:val="24"/>
                <w:shd w:val="clear" w:color="auto" w:fill="FFFFFF"/>
                <w:lang w:val="hy-AM"/>
              </w:rPr>
            </w:pPr>
            <w:r>
              <w:rPr>
                <w:rFonts w:ascii="GHEA Grapalat" w:hAnsi="GHEA Grapalat" w:cs="Calibri"/>
                <w:color w:val="000000"/>
                <w:sz w:val="24"/>
                <w:szCs w:val="24"/>
                <w:shd w:val="clear" w:color="auto" w:fill="FFFFFF"/>
                <w:lang w:val="hy-AM"/>
              </w:rPr>
              <w:t>Որպես խնդրի կարգավորման տարբերակ կարող է դիտարկվել հետևյալ լուծումը՝</w:t>
            </w:r>
          </w:p>
          <w:p>
            <w:pPr>
              <w:spacing w:line="276" w:lineRule="auto"/>
              <w:ind w:left="448"/>
              <w:jc w:val="both"/>
              <w:rPr>
                <w:rFonts w:ascii="GHEA Grapalat" w:hAnsi="GHEA Grapalat"/>
                <w:b/>
                <w:i/>
                <w:color w:val="000000"/>
                <w:sz w:val="24"/>
                <w:szCs w:val="24"/>
                <w:shd w:val="clear" w:color="auto" w:fill="FFFFFF"/>
                <w:lang w:val="hy-AM"/>
              </w:rPr>
            </w:pPr>
            <w:r>
              <w:rPr>
                <w:rFonts w:ascii="GHEA Grapalat" w:hAnsi="GHEA Grapalat" w:cs="Calibri"/>
                <w:color w:val="000000"/>
                <w:sz w:val="24"/>
                <w:szCs w:val="24"/>
                <w:shd w:val="clear" w:color="auto" w:fill="FFFFFF"/>
                <w:lang w:val="hy-AM"/>
              </w:rPr>
              <w:t>«Վարկային տեղեկատվության շրջանառության և վարկային բյուրոների գործունեության մասին» օրենքի (այսուհետ՝ Օրենք) 3-րդ հոդվածի 1-ին մասի 3-րդ կետով սահմանված տվյալների բազայից տեղեկատվություն ստանալը (ինքնաշխատ եղանակով)՝ համաձայն նույն օրենքի 16-րդ հոդվածով նախատեսված ընթացակարգերի պահպանմամբ (այն է՝ վ</w:t>
            </w:r>
            <w:r>
              <w:rPr>
                <w:rFonts w:ascii="GHEA Grapalat" w:hAnsi="GHEA Grapalat"/>
                <w:color w:val="000000"/>
                <w:sz w:val="24"/>
                <w:szCs w:val="24"/>
                <w:shd w:val="clear" w:color="auto" w:fill="FFFFFF"/>
                <w:lang w:val="hy-AM"/>
              </w:rPr>
              <w:t>արկային զեկույցների և վարկային տեղեկատվության սուբյեկտին նույնականացնող տվյալներ պարունակող այլ ծառայությունների ստացումը վարկային բյուրոյից իրականացվում է վարկային տեղեկատվության սուբյեկտի գրավոր (այդ թվում` էլեկտրոնային) համաձայնությամբ): Անհրաժեշտ է նկատի ունենալ, որ համաձայն</w:t>
            </w:r>
            <w:r>
              <w:rPr>
                <w:rFonts w:ascii="GHEA Grapalat" w:hAnsi="GHEA Grapalat"/>
                <w:sz w:val="24"/>
                <w:szCs w:val="24"/>
                <w:lang w:val="hy-AM"/>
              </w:rPr>
              <w:t xml:space="preserve"> Օրենքի՝ </w:t>
            </w:r>
            <w:r>
              <w:rPr>
                <w:rFonts w:ascii="GHEA Grapalat" w:hAnsi="GHEA Grapalat"/>
                <w:color w:val="000000"/>
                <w:sz w:val="24"/>
                <w:szCs w:val="24"/>
                <w:shd w:val="clear" w:color="auto" w:fill="FFFFFF"/>
                <w:lang w:val="hy-AM"/>
              </w:rPr>
              <w:t xml:space="preserve">վարկային տեղեկատվությունը վարկային տեղեկատվության սուբյեկտի կողմից ստանձնած պարտավորությունների վերաբերյալ տեղեկատվությունն է, որը ցույց է տալիս վարկային տեղեկատվության սուբյեկտի պարտքերը, վճարումները, վճարումների սովորությունները կամ պարտավորությունների կամ դրանց կատարման վերաբերյալ տեղեկատվություններ: Վարկային բյուրոները կարող են տրամադրել վարկային զեկույցներ միայն հնարավոր կամ փաստացի այն պարտատերերին կամ վարկային բյուրոյի հաճախորդներին, որոնց գործունեության բնույթը համապատասխանում է օրենքով սահմանված նպատակներին, և որոնց հետ հավաստի վարկային տեղեկատվության ստացման և վարկային զեկույցների տրամադրման համար հաստատվել է շարունակական հիմունքներով վարկային </w:t>
            </w:r>
            <w:r>
              <w:rPr>
                <w:rFonts w:ascii="GHEA Grapalat" w:hAnsi="GHEA Grapalat"/>
                <w:color w:val="000000"/>
                <w:sz w:val="24"/>
                <w:szCs w:val="24"/>
                <w:shd w:val="clear" w:color="auto" w:fill="FFFFFF"/>
                <w:lang w:val="hy-AM"/>
              </w:rPr>
              <w:lastRenderedPageBreak/>
              <w:t xml:space="preserve">բյուրոյին վարկային տեղեկատվության տրամադրման և </w:t>
            </w:r>
            <w:r>
              <w:rPr>
                <w:rFonts w:ascii="GHEA Grapalat" w:hAnsi="GHEA Grapalat"/>
                <w:b/>
                <w:i/>
                <w:color w:val="000000"/>
                <w:sz w:val="24"/>
                <w:szCs w:val="24"/>
                <w:shd w:val="clear" w:color="auto" w:fill="FFFFFF"/>
                <w:lang w:val="hy-AM"/>
              </w:rPr>
              <w:t>վարկային բյուրոյից վարկային զեկույցների ստացման պայմանագրային հարաբերություններ։</w:t>
            </w:r>
          </w:p>
          <w:p>
            <w:pPr>
              <w:spacing w:line="276" w:lineRule="auto"/>
              <w:ind w:left="448" w:firstLine="273"/>
              <w:jc w:val="both"/>
              <w:rPr>
                <w:rFonts w:ascii="GHEA Grapalat" w:hAnsi="GHEA Grapalat"/>
                <w:color w:val="000000"/>
                <w:sz w:val="24"/>
                <w:szCs w:val="24"/>
                <w:shd w:val="clear" w:color="auto" w:fill="FFFFFF"/>
                <w:lang w:val="hy-AM"/>
              </w:rPr>
            </w:pPr>
            <w:r>
              <w:rPr>
                <w:rFonts w:ascii="GHEA Grapalat" w:hAnsi="GHEA Grapalat"/>
                <w:color w:val="000000"/>
                <w:sz w:val="24"/>
                <w:szCs w:val="24"/>
                <w:lang w:val="hy-AM"/>
              </w:rPr>
              <w:t xml:space="preserve">Վարկային զեկույցների օգտագործման թույլատրելի նպատակներից է՝ </w:t>
            </w:r>
            <w:r>
              <w:rPr>
                <w:rFonts w:ascii="GHEA Grapalat" w:hAnsi="GHEA Grapalat" w:cs="Calibri"/>
                <w:color w:val="000000"/>
                <w:sz w:val="24"/>
                <w:szCs w:val="24"/>
                <w:shd w:val="clear" w:color="auto" w:fill="FFFFFF"/>
                <w:lang w:val="hy-AM"/>
              </w:rPr>
              <w:t>դրամական</w:t>
            </w:r>
            <w:r>
              <w:rPr>
                <w:rFonts w:ascii="GHEA Grapalat" w:hAnsi="GHEA Grapalat"/>
                <w:color w:val="000000"/>
                <w:sz w:val="24"/>
                <w:szCs w:val="24"/>
                <w:lang w:val="hy-AM"/>
              </w:rPr>
              <w:t xml:space="preserve"> պարտավորություններ առաջացնող հարաբերությունների մեջ մտնելը կամ այդ հարաբերությունները երկարաձգելը, </w:t>
            </w:r>
            <w:r>
              <w:rPr>
                <w:rFonts w:ascii="GHEA Grapalat" w:hAnsi="GHEA Grapalat"/>
                <w:color w:val="000000"/>
                <w:sz w:val="24"/>
                <w:szCs w:val="24"/>
                <w:shd w:val="clear" w:color="auto" w:fill="FFFFFF"/>
                <w:lang w:val="hy-AM"/>
              </w:rPr>
              <w:t>անձի հետ աշխատանքային հարաբերությունների մեջ մտնելը</w:t>
            </w:r>
            <w:r>
              <w:rPr>
                <w:rFonts w:ascii="GHEA Grapalat" w:hAnsi="GHEA Grapalat"/>
                <w:color w:val="000000"/>
                <w:sz w:val="24"/>
                <w:szCs w:val="24"/>
                <w:lang w:val="hy-AM"/>
              </w:rPr>
              <w:t xml:space="preserve">։ Սույն Նախագծի նպատակները </w:t>
            </w:r>
            <w:r>
              <w:rPr>
                <w:rFonts w:ascii="GHEA Grapalat" w:hAnsi="GHEA Grapalat"/>
                <w:color w:val="000000"/>
                <w:sz w:val="24"/>
                <w:szCs w:val="24"/>
                <w:shd w:val="clear" w:color="auto" w:fill="FFFFFF"/>
                <w:lang w:val="hy-AM"/>
              </w:rPr>
              <w:t>վերլուծելով</w:t>
            </w:r>
            <w:r>
              <w:rPr>
                <w:rFonts w:ascii="GHEA Grapalat" w:hAnsi="GHEA Grapalat"/>
                <w:color w:val="000000"/>
                <w:sz w:val="24"/>
                <w:szCs w:val="24"/>
                <w:lang w:val="hy-AM"/>
              </w:rPr>
              <w:t xml:space="preserve">, կարելի է փաստել, որ նախատեսվող իրավահարաբերությունները դրամական պարտավորություններ առաջացնող են, ուստի կարծում ենք, որ այս Նախագծի շրջանակում հնարավոր է վարկային բյուրոյի միջոցով իրականացնել տեղեկատվության փոխանակում՝ </w:t>
            </w:r>
            <w:r>
              <w:rPr>
                <w:rFonts w:ascii="GHEA Grapalat" w:hAnsi="GHEA Grapalat"/>
                <w:color w:val="000000"/>
                <w:sz w:val="24"/>
                <w:szCs w:val="24"/>
                <w:shd w:val="clear" w:color="auto" w:fill="FFFFFF"/>
                <w:lang w:val="hy-AM"/>
              </w:rPr>
              <w:t xml:space="preserve">վարկային բյուրոյի և տեղեկատվություն տրամադրողի միջև կնքված պայմանագրով։ </w:t>
            </w:r>
          </w:p>
          <w:p>
            <w:pPr>
              <w:spacing w:line="276" w:lineRule="auto"/>
              <w:ind w:left="448" w:firstLine="273"/>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շրջանակում՝ կախված տեխնիկածրագրային ապահովման մեխանիզմից, կարելի է նաև սահմանել համաձայնության ստացման մեխանիզմ ևս։ Ընդ որում՝ վերը նշված երկու տարբերակի դեպքում էլ վարկային բյուրոյի և տեղեկատվության ստացողի միջև կնքվող պայմանագրում առնվազն պետք է կարգավորվեն նաև տեղեկատվության պահպանման, դրանց օգտագործման հարցերը՝ միջազգային ստանդարտներին համապատասխան։</w:t>
            </w:r>
          </w:p>
          <w:p>
            <w:pPr>
              <w:pStyle w:val="BodyText"/>
              <w:numPr>
                <w:ilvl w:val="0"/>
                <w:numId w:val="33"/>
              </w:numPr>
              <w:spacing w:before="240" w:line="276" w:lineRule="auto"/>
              <w:ind w:left="360"/>
              <w:rPr>
                <w:rFonts w:ascii="GHEA Grapalat" w:hAnsi="GHEA Grapalat" w:cs="Calibri"/>
                <w:color w:val="000000"/>
                <w:lang w:val="hy-AM"/>
              </w:rPr>
            </w:pPr>
            <w:r>
              <w:rPr>
                <w:rFonts w:ascii="GHEA Grapalat" w:hAnsi="GHEA Grapalat" w:cs="Calibri"/>
                <w:color w:val="000000"/>
                <w:lang w:val="hy-AM"/>
              </w:rPr>
              <w:t>Նախագծի 3-րդ կետի 2-րդ ենթակետում նշված տեղեկատվական համակարգի ստեղծման վերաբերյալ հայտնում ենք, որ պարզ չէ ինչ եղանակով է այն աշխատելու և տեխնիկական տեսանկյունից արդյոք այն համատեղելի է լինելու ֆինանսական կազմակերպություններում առկա համակարգերի հետ:</w:t>
            </w:r>
          </w:p>
          <w:p>
            <w:pPr>
              <w:pStyle w:val="BodyText"/>
              <w:numPr>
                <w:ilvl w:val="0"/>
                <w:numId w:val="33"/>
              </w:numPr>
              <w:spacing w:before="240" w:line="276" w:lineRule="auto"/>
              <w:ind w:left="360"/>
              <w:rPr>
                <w:rFonts w:ascii="GHEA Grapalat" w:hAnsi="GHEA Grapalat" w:cs="Calibri"/>
                <w:color w:val="000000"/>
                <w:lang w:val="hy-AM"/>
              </w:rPr>
            </w:pPr>
            <w:r>
              <w:rPr>
                <w:rFonts w:ascii="GHEA Grapalat" w:hAnsi="GHEA Grapalat" w:cs="Calibri"/>
                <w:color w:val="000000"/>
                <w:lang w:val="hy-AM"/>
              </w:rPr>
              <w:t xml:space="preserve">Նախագծի 3-րդ կետի 4-րդ ենթակետի վերաբերյալ հայտնում ենք, որ պարզ չէ, թե Հայաստանի Հանրապետության աշխատանքի և սոցիալական հարցերի նախարարության միասնական սոցիալական ծառայությունը ինչ եղանակով է </w:t>
            </w:r>
            <w:r>
              <w:rPr>
                <w:rFonts w:ascii="GHEA Grapalat" w:hAnsi="GHEA Grapalat" w:cs="Calibri"/>
                <w:color w:val="000000"/>
                <w:lang w:val="hy-AM"/>
              </w:rPr>
              <w:lastRenderedPageBreak/>
              <w:t>ապահովելու Հայաստանի Հանրապետության տարածքում գործող բոլոր առևտրային բանկերում բանկային հաշիվների առկայությունը:</w:t>
            </w:r>
          </w:p>
          <w:p>
            <w:pPr>
              <w:pStyle w:val="BodyText"/>
              <w:numPr>
                <w:ilvl w:val="0"/>
                <w:numId w:val="33"/>
              </w:numPr>
              <w:spacing w:before="240" w:line="276" w:lineRule="auto"/>
              <w:ind w:left="360"/>
              <w:rPr>
                <w:rFonts w:ascii="GHEA Grapalat" w:hAnsi="GHEA Grapalat" w:cs="Calibri"/>
                <w:color w:val="000000"/>
                <w:lang w:val="hy-AM"/>
              </w:rPr>
            </w:pPr>
            <w:r>
              <w:rPr>
                <w:rFonts w:ascii="GHEA Grapalat" w:hAnsi="GHEA Grapalat" w:cs="Calibri"/>
                <w:color w:val="000000"/>
                <w:lang w:val="hy-AM"/>
              </w:rPr>
              <w:t>Նախագծի 4-րդ կետի վերաբերյալ հայտնում ենք, որ կատարողական թերթի (թերթերի) կատարման ընթացքում շահառուի (պարտապանի) աշխատավարձից և դրան հավասարեցված վճարներից բռնագանձում կատարելը արդեն իսկ կարգավորված է «Դատական ակտերի հարկադիր կատարման մասին» օրենքի (այսուհետ՝ Օրենք) 6-րդ գլխով և հանդիսանում է օրենքի կարգավորման առարկա: Անհրաժեշտ է նկատի ունենալ, որ Օրենքում նաև առկա չէ «Նորմատիվ իրավական ակտերի մասին» օրենքի 13-րդ հոդվածի 1-ին մասով նշված լիազորող նորմը, որի հիման վրա հնարավոր կլիներ ընդունել համապատասխան կարգավորումը:</w:t>
            </w:r>
          </w:p>
          <w:p>
            <w:pPr>
              <w:pStyle w:val="BodyText"/>
              <w:numPr>
                <w:ilvl w:val="0"/>
                <w:numId w:val="33"/>
              </w:numPr>
              <w:spacing w:before="240" w:line="276" w:lineRule="auto"/>
              <w:ind w:left="360"/>
              <w:rPr>
                <w:rFonts w:ascii="GHEA Grapalat" w:hAnsi="GHEA Grapalat" w:cs="Calibri"/>
                <w:color w:val="000000"/>
                <w:lang w:val="hy-AM"/>
              </w:rPr>
            </w:pPr>
            <w:r>
              <w:rPr>
                <w:rFonts w:ascii="GHEA Grapalat" w:hAnsi="GHEA Grapalat" w:cs="Calibri"/>
                <w:color w:val="000000"/>
                <w:lang w:val="hy-AM"/>
              </w:rPr>
              <w:t>Նույն դիտողությունը վերաբերվում է նաև որոշմամբ հաստատված Հավելված 2-ի 7-րդ կետին:</w:t>
            </w:r>
          </w:p>
          <w:p>
            <w:pPr>
              <w:pStyle w:val="BodyText"/>
              <w:numPr>
                <w:ilvl w:val="0"/>
                <w:numId w:val="33"/>
              </w:numPr>
              <w:spacing w:before="240" w:line="276" w:lineRule="auto"/>
              <w:ind w:left="360"/>
              <w:rPr>
                <w:rFonts w:ascii="GHEA Grapalat" w:hAnsi="GHEA Grapalat" w:cs="Calibri"/>
                <w:color w:val="000000"/>
                <w:lang w:val="hy-AM"/>
              </w:rPr>
            </w:pPr>
            <w:r>
              <w:rPr>
                <w:rFonts w:ascii="GHEA Grapalat" w:hAnsi="GHEA Grapalat" w:cs="Calibri"/>
                <w:color w:val="000000"/>
                <w:lang w:val="hy-AM"/>
              </w:rPr>
              <w:t>Նախագծով հաստատվող Հավելված 1-ի (այսուհետ՝ Հավելված 1) 2-րդ կետի 2-րդ ենթակետի վերաբերյալ հայտնում ենք, որ «Աշխատող» տերմինի հասկացությունն արդեն իսկ տրված է Հայաստանի Հանրապետության աշխատանքային օրենսգրքի 17-րդ հոդվածով, ուստի անհրաժեշտ է սահմանումը համապատասխանեցնել այդ հոդվածին կամ հղում կատարել:</w:t>
            </w:r>
          </w:p>
          <w:p>
            <w:pPr>
              <w:pStyle w:val="BodyText"/>
              <w:numPr>
                <w:ilvl w:val="0"/>
                <w:numId w:val="33"/>
              </w:numPr>
              <w:spacing w:before="240" w:line="276" w:lineRule="auto"/>
              <w:ind w:left="360"/>
              <w:rPr>
                <w:rFonts w:ascii="GHEA Grapalat" w:hAnsi="GHEA Grapalat" w:cs="Calibri"/>
                <w:color w:val="000000"/>
                <w:lang w:val="hy-AM"/>
              </w:rPr>
            </w:pPr>
            <w:r>
              <w:rPr>
                <w:rFonts w:ascii="GHEA Grapalat" w:hAnsi="GHEA Grapalat" w:cs="Calibri"/>
                <w:color w:val="000000"/>
                <w:lang w:val="hy-AM"/>
              </w:rPr>
              <w:t xml:space="preserve">Կարծում ենք, որ Հավելված 1-ի 2-րդ կետի 3-րդ ենթակետի բ. պարբերության կարգավորումից դուրս է մնացել «համավարկառու»-ներ լինելու դեպքերը: </w:t>
            </w:r>
          </w:p>
          <w:p>
            <w:pPr>
              <w:pStyle w:val="BodyText"/>
              <w:numPr>
                <w:ilvl w:val="0"/>
                <w:numId w:val="33"/>
              </w:numPr>
              <w:spacing w:before="240" w:line="276" w:lineRule="auto"/>
              <w:ind w:left="360"/>
              <w:rPr>
                <w:rFonts w:ascii="GHEA Grapalat" w:hAnsi="GHEA Grapalat" w:cs="Calibri"/>
                <w:color w:val="000000"/>
                <w:lang w:val="hy-AM"/>
              </w:rPr>
            </w:pPr>
            <w:r>
              <w:rPr>
                <w:rFonts w:ascii="GHEA Grapalat" w:hAnsi="GHEA Grapalat" w:cs="Calibri"/>
                <w:color w:val="000000"/>
                <w:lang w:val="hy-AM"/>
              </w:rPr>
              <w:t xml:space="preserve">Հավելված 1-ի 2-րդ կետի 3-րդ ենթակետի ե. պարբերությունից առաջարկում ենք հանել բջջային հեռախոսահամարը դիմումատուի անունով հաշվառված լինելու պահանջը, քանի որ հնարավոր են դեպքեր, որ հեռախոսահամարը լինի  </w:t>
            </w:r>
            <w:r>
              <w:rPr>
                <w:rFonts w:ascii="GHEA Grapalat" w:hAnsi="GHEA Grapalat" w:cs="Calibri"/>
                <w:color w:val="000000"/>
                <w:lang w:val="hy-AM"/>
              </w:rPr>
              <w:lastRenderedPageBreak/>
              <w:t>կորպորատիվ փաթեթի կամ այլ անձի անունով հաշվառված, իսկ նոր համար ձեռք բերելը ենթադրում է լրացուցիչ ծախս:</w:t>
            </w:r>
          </w:p>
          <w:p>
            <w:pPr>
              <w:pStyle w:val="BodyText"/>
              <w:numPr>
                <w:ilvl w:val="0"/>
                <w:numId w:val="33"/>
              </w:numPr>
              <w:spacing w:before="240" w:line="276" w:lineRule="auto"/>
              <w:ind w:left="360"/>
              <w:rPr>
                <w:rFonts w:ascii="GHEA Grapalat" w:hAnsi="GHEA Grapalat" w:cs="Calibri"/>
                <w:color w:val="000000"/>
                <w:lang w:val="hy-AM"/>
              </w:rPr>
            </w:pPr>
            <w:r>
              <w:rPr>
                <w:rFonts w:ascii="GHEA Grapalat" w:hAnsi="GHEA Grapalat" w:cs="Calibri"/>
                <w:color w:val="000000"/>
                <w:lang w:val="hy-AM"/>
              </w:rPr>
              <w:t>Հավելված 1-ի 2-րդ կետի 5-րդ ենթակետից անհրաժեշտ է հանել «անհուսալի» բառը, քանի որ առևտրային բանկերի կամ վարկային կազմակերպությունների կողմից տրամադրվում է վարկ, իսկ անհուսալի է դառնում դասակարգվելուց հետո:</w:t>
            </w:r>
          </w:p>
          <w:p>
            <w:pPr>
              <w:pStyle w:val="BodyText"/>
              <w:numPr>
                <w:ilvl w:val="0"/>
                <w:numId w:val="33"/>
              </w:numPr>
              <w:spacing w:before="240" w:line="276" w:lineRule="auto"/>
              <w:ind w:left="360"/>
              <w:rPr>
                <w:rFonts w:ascii="GHEA Grapalat" w:hAnsi="GHEA Grapalat" w:cs="Calibri"/>
                <w:color w:val="000000"/>
                <w:lang w:val="hy-AM"/>
              </w:rPr>
            </w:pPr>
            <w:r>
              <w:rPr>
                <w:rFonts w:ascii="GHEA Grapalat" w:hAnsi="GHEA Grapalat" w:cs="Calibri"/>
                <w:color w:val="000000"/>
                <w:lang w:val="hy-AM"/>
              </w:rPr>
              <w:t>Նախագծով հաստատվող Հավելված 2-ի (այսուհետ՝ Հավելված 2) 3-րդ կետում «մշակելուն» բառից հետո առաջարկում ենք ավելացնել «, օգտագործելու և փոխանցելու վերաբերյալ» բառերը:</w:t>
            </w:r>
          </w:p>
          <w:p>
            <w:pPr>
              <w:pStyle w:val="BodyText"/>
              <w:numPr>
                <w:ilvl w:val="0"/>
                <w:numId w:val="33"/>
              </w:numPr>
              <w:spacing w:before="240" w:line="276" w:lineRule="auto"/>
              <w:ind w:left="360"/>
              <w:rPr>
                <w:rFonts w:ascii="GHEA Grapalat" w:hAnsi="GHEA Grapalat" w:cs="Calibri"/>
                <w:color w:val="000000"/>
                <w:lang w:val="hy-AM"/>
              </w:rPr>
            </w:pPr>
            <w:r>
              <w:rPr>
                <w:rFonts w:ascii="GHEA Grapalat" w:hAnsi="GHEA Grapalat" w:cs="Calibri"/>
                <w:color w:val="000000"/>
                <w:lang w:val="hy-AM"/>
              </w:rPr>
              <w:t>Հավելված 2-ի 13-րդ կետն անհրաժեշտ է համապատասխանեցնել Հայաստանի Հանրապետության քաղաքացիական օրենսգրքի (այսուհետ՝ Օրենսգիրք) 358-րդ հոդվածի պահանջներին, համաձայն որի դրամական պարտավորությունը լրիվ կատարելու համար վճարված գումարի անբավարարության դեպքում, եթե այլ համաձայնություն չի կայացվել, առաջին հերթին մարվում են պարտավորության կատարման ստացմանն ուղղված` պարտատիրոջ ծախսերը, այնուհետև` տոկոսները, ներառյալ՝ Օրենսգրքի 411-րդ հոդվածով նախատեսված տոկոսները, իսկ մնացած մասով` պարտքի հիմնական գումարը:</w:t>
            </w:r>
          </w:p>
          <w:p>
            <w:pPr>
              <w:pStyle w:val="BodyText"/>
              <w:numPr>
                <w:ilvl w:val="0"/>
                <w:numId w:val="33"/>
              </w:numPr>
              <w:spacing w:before="240" w:line="276" w:lineRule="auto"/>
              <w:ind w:left="360"/>
              <w:rPr>
                <w:rFonts w:ascii="GHEA Grapalat" w:hAnsi="GHEA Grapalat" w:cs="Calibri"/>
                <w:color w:val="000000"/>
                <w:lang w:val="hy-AM"/>
              </w:rPr>
            </w:pPr>
            <w:r>
              <w:rPr>
                <w:rFonts w:ascii="GHEA Grapalat" w:hAnsi="GHEA Grapalat" w:cs="Calibri"/>
                <w:color w:val="000000"/>
                <w:lang w:val="hy-AM"/>
              </w:rPr>
              <w:t>Հավելված 2-ի 14-րդ կետն առաջարկում ենք խմբագրել և նախատեսել, որ փոխանցված գումարը հետ վերադարձնելու դեպքում «Նպատակ» դաշտում լրացվի «Վերադարձ»:</w:t>
            </w:r>
          </w:p>
          <w:p>
            <w:pPr>
              <w:pStyle w:val="BodyText"/>
              <w:numPr>
                <w:ilvl w:val="0"/>
                <w:numId w:val="33"/>
              </w:numPr>
              <w:spacing w:before="240" w:line="276" w:lineRule="auto"/>
              <w:ind w:left="360"/>
              <w:rPr>
                <w:rFonts w:ascii="GHEA Grapalat" w:hAnsi="GHEA Grapalat" w:cs="Calibri"/>
                <w:color w:val="000000"/>
                <w:lang w:val="hy-AM"/>
              </w:rPr>
            </w:pPr>
            <w:r>
              <w:rPr>
                <w:rFonts w:ascii="GHEA Grapalat" w:hAnsi="GHEA Grapalat" w:cs="Calibri"/>
                <w:color w:val="000000"/>
                <w:lang w:val="hy-AM"/>
              </w:rPr>
              <w:t xml:space="preserve">Հավելված 2-ի 17-րդ կետն անհրաժեշտ է հանել, քանի որ պարզ չէ մոնիթորինգ իրականացնելու նպատակը և դրա իրականացման հիմքերը: </w:t>
            </w:r>
          </w:p>
          <w:p>
            <w:pPr>
              <w:pStyle w:val="NormalWeb"/>
              <w:shd w:val="clear" w:color="auto" w:fill="FFFFFF"/>
              <w:spacing w:before="0" w:beforeAutospacing="0" w:after="0" w:afterAutospacing="0" w:line="288" w:lineRule="auto"/>
              <w:jc w:val="both"/>
              <w:rPr>
                <w:rFonts w:ascii="GHEA Grapalat" w:hAnsi="GHEA Grapalat"/>
                <w:color w:val="000000" w:themeColor="text1"/>
                <w:lang w:val="hy-AM"/>
              </w:rPr>
            </w:pPr>
          </w:p>
        </w:tc>
        <w:tc>
          <w:tcPr>
            <w:tcW w:w="5103" w:type="dxa"/>
          </w:tcPr>
          <w:p>
            <w:pPr>
              <w:spacing w:line="288" w:lineRule="auto"/>
              <w:ind w:left="360"/>
              <w:rPr>
                <w:rFonts w:ascii="GHEA Grapalat" w:hAnsi="GHEA Grapalat"/>
                <w:b/>
                <w:color w:val="000000"/>
                <w:sz w:val="24"/>
                <w:szCs w:val="24"/>
                <w:shd w:val="clear" w:color="auto" w:fill="FFFFFF"/>
                <w:lang w:val="hy-AM"/>
              </w:rPr>
            </w:pPr>
          </w:p>
          <w:p>
            <w:pPr>
              <w:pStyle w:val="ListParagraph"/>
              <w:numPr>
                <w:ilvl w:val="0"/>
                <w:numId w:val="39"/>
              </w:numPr>
              <w:spacing w:line="288" w:lineRule="auto"/>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pPr>
              <w:pStyle w:val="ListParagraph"/>
              <w:spacing w:line="288" w:lineRule="auto"/>
              <w:rPr>
                <w:rFonts w:ascii="GHEA Grapalat" w:hAnsi="GHEA Grapalat"/>
                <w:b/>
                <w:color w:val="000000"/>
                <w:sz w:val="24"/>
                <w:szCs w:val="24"/>
                <w:shd w:val="clear" w:color="auto" w:fill="FFFFFF"/>
                <w:lang w:val="hy-AM"/>
              </w:rPr>
            </w:pPr>
          </w:p>
          <w:p>
            <w:pPr>
              <w:pStyle w:val="ListParagraph"/>
              <w:spacing w:line="288" w:lineRule="auto"/>
              <w:rPr>
                <w:rFonts w:ascii="GHEA Grapalat" w:hAnsi="GHEA Grapalat"/>
                <w:b/>
                <w:color w:val="000000"/>
                <w:sz w:val="24"/>
                <w:szCs w:val="24"/>
                <w:shd w:val="clear" w:color="auto" w:fill="FFFFFF"/>
                <w:lang w:val="hy-AM"/>
              </w:rPr>
            </w:pPr>
          </w:p>
          <w:p>
            <w:pPr>
              <w:pStyle w:val="ListParagraph"/>
              <w:spacing w:line="288" w:lineRule="auto"/>
              <w:rPr>
                <w:rFonts w:ascii="GHEA Grapalat" w:hAnsi="GHEA Grapalat"/>
                <w:b/>
                <w:color w:val="000000"/>
                <w:sz w:val="24"/>
                <w:szCs w:val="24"/>
                <w:shd w:val="clear" w:color="auto" w:fill="FFFFFF"/>
                <w:lang w:val="hy-AM"/>
              </w:rPr>
            </w:pPr>
          </w:p>
          <w:p>
            <w:pPr>
              <w:pStyle w:val="ListParagraph"/>
              <w:spacing w:line="288" w:lineRule="auto"/>
              <w:rPr>
                <w:rFonts w:ascii="GHEA Grapalat" w:hAnsi="GHEA Grapalat"/>
                <w:b/>
                <w:color w:val="000000"/>
                <w:sz w:val="24"/>
                <w:szCs w:val="24"/>
                <w:shd w:val="clear" w:color="auto" w:fill="FFFFFF"/>
                <w:lang w:val="hy-AM"/>
              </w:rPr>
            </w:pPr>
          </w:p>
          <w:p>
            <w:pPr>
              <w:pStyle w:val="ListParagraph"/>
              <w:spacing w:line="288" w:lineRule="auto"/>
              <w:rPr>
                <w:rFonts w:ascii="GHEA Grapalat" w:hAnsi="GHEA Grapalat"/>
                <w:b/>
                <w:color w:val="000000"/>
                <w:sz w:val="24"/>
                <w:szCs w:val="24"/>
                <w:shd w:val="clear" w:color="auto" w:fill="FFFFFF"/>
                <w:lang w:val="hy-AM"/>
              </w:rPr>
            </w:pPr>
          </w:p>
          <w:p>
            <w:pPr>
              <w:pStyle w:val="ListParagraph"/>
              <w:spacing w:line="288" w:lineRule="auto"/>
              <w:rPr>
                <w:rFonts w:ascii="GHEA Grapalat" w:hAnsi="GHEA Grapalat"/>
                <w:b/>
                <w:color w:val="000000"/>
                <w:sz w:val="24"/>
                <w:szCs w:val="24"/>
                <w:shd w:val="clear" w:color="auto" w:fill="FFFFFF"/>
                <w:lang w:val="hy-AM"/>
              </w:rPr>
            </w:pPr>
          </w:p>
          <w:p>
            <w:pPr>
              <w:pStyle w:val="ListParagraph"/>
              <w:spacing w:line="288" w:lineRule="auto"/>
              <w:rPr>
                <w:rFonts w:ascii="GHEA Grapalat" w:hAnsi="GHEA Grapalat"/>
                <w:b/>
                <w:color w:val="000000"/>
                <w:sz w:val="24"/>
                <w:szCs w:val="24"/>
                <w:shd w:val="clear" w:color="auto" w:fill="FFFFFF"/>
                <w:lang w:val="hy-AM"/>
              </w:rPr>
            </w:pPr>
          </w:p>
          <w:p>
            <w:pPr>
              <w:pStyle w:val="ListParagraph"/>
              <w:numPr>
                <w:ilvl w:val="0"/>
                <w:numId w:val="39"/>
              </w:numPr>
              <w:spacing w:line="288" w:lineRule="auto"/>
              <w:rPr>
                <w:rFonts w:ascii="GHEA Grapalat" w:eastAsiaTheme="minorEastAsia" w:hAnsi="GHEA Grapalat"/>
                <w:bCs/>
                <w:color w:val="000000"/>
                <w:sz w:val="24"/>
                <w:szCs w:val="24"/>
                <w:shd w:val="clear" w:color="auto" w:fill="FFFFFF"/>
                <w:lang w:val="hy-AM" w:eastAsia="zh-CN"/>
              </w:rPr>
            </w:pPr>
            <w:r>
              <w:rPr>
                <w:rFonts w:ascii="GHEA Grapalat" w:hAnsi="GHEA Grapalat"/>
                <w:bCs/>
                <w:color w:val="000000"/>
                <w:sz w:val="24"/>
                <w:szCs w:val="24"/>
                <w:shd w:val="clear" w:color="auto" w:fill="FFFFFF"/>
                <w:lang w:val="hy-AM"/>
              </w:rPr>
              <w:t xml:space="preserve">Տեղեկատվական համակարգը մշակող և սպասարկող կազմակերպությունը պետք է ունենա միջազգային </w:t>
            </w:r>
            <w:r>
              <w:rPr>
                <w:rFonts w:ascii="GHEA Grapalat" w:eastAsiaTheme="minorEastAsia" w:hAnsi="GHEA Grapalat"/>
                <w:bCs/>
                <w:color w:val="000000"/>
                <w:sz w:val="24"/>
                <w:szCs w:val="24"/>
                <w:shd w:val="clear" w:color="auto" w:fill="FFFFFF"/>
                <w:lang w:val="hy-AM" w:eastAsia="zh-CN"/>
              </w:rPr>
              <w:t>ISO 27001։2022 հավաստագրում, հետևաբար առաջարկում նշված ստանդարտներին համապատասխանությունն ապահովված է։</w:t>
            </w: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spacing w:line="288" w:lineRule="auto"/>
              <w:rPr>
                <w:rFonts w:ascii="GHEA Grapalat" w:hAnsi="GHEA Grapalat"/>
                <w:bCs/>
                <w:color w:val="000000"/>
                <w:sz w:val="24"/>
                <w:szCs w:val="24"/>
                <w:shd w:val="clear" w:color="auto" w:fill="FFFFFF"/>
                <w:lang w:val="hy-AM"/>
              </w:rPr>
            </w:pPr>
          </w:p>
          <w:p>
            <w:pPr>
              <w:pStyle w:val="ListParagraph"/>
              <w:numPr>
                <w:ilvl w:val="0"/>
                <w:numId w:val="39"/>
              </w:numPr>
              <w:spacing w:line="288" w:lineRule="auto"/>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 xml:space="preserve">Տեղեկատվության փոխանակումն իրականացվելու է </w:t>
            </w:r>
            <w:r>
              <w:rPr>
                <w:rFonts w:ascii="GHEA Grapalat" w:eastAsiaTheme="minorEastAsia" w:hAnsi="GHEA Grapalat"/>
                <w:bCs/>
                <w:color w:val="000000"/>
                <w:sz w:val="24"/>
                <w:szCs w:val="24"/>
                <w:shd w:val="clear" w:color="auto" w:fill="FFFFFF"/>
                <w:lang w:val="hy-AM" w:eastAsia="zh-CN"/>
              </w:rPr>
              <w:t xml:space="preserve">API-ների միջոցով, որի առնչությամբ աշխատանքայի կարգով արդեն իրականացվել են քննարկումներ և ամրագրվել է այս եղանակով տեղեկատվական </w:t>
            </w:r>
            <w:r>
              <w:rPr>
                <w:rFonts w:ascii="GHEA Grapalat" w:eastAsiaTheme="minorEastAsia" w:hAnsi="GHEA Grapalat"/>
                <w:bCs/>
                <w:color w:val="000000"/>
                <w:sz w:val="24"/>
                <w:szCs w:val="24"/>
                <w:shd w:val="clear" w:color="auto" w:fill="FFFFFF"/>
                <w:lang w:val="hy-AM" w:eastAsia="zh-CN"/>
              </w:rPr>
              <w:lastRenderedPageBreak/>
              <w:t>համակարգերի միջև տվյալների փոխանակման համատեղելիությունը։</w:t>
            </w:r>
          </w:p>
          <w:p>
            <w:pPr>
              <w:pStyle w:val="ListParagraph"/>
              <w:spacing w:line="288" w:lineRule="auto"/>
              <w:rPr>
                <w:rFonts w:ascii="GHEA Grapalat" w:hAnsi="GHEA Grapalat"/>
                <w:b/>
                <w:color w:val="000000"/>
                <w:sz w:val="24"/>
                <w:szCs w:val="24"/>
                <w:shd w:val="clear" w:color="auto" w:fill="FFFFFF"/>
                <w:lang w:val="hy-AM"/>
              </w:rPr>
            </w:pPr>
          </w:p>
          <w:p>
            <w:pPr>
              <w:pStyle w:val="ListParagraph"/>
              <w:numPr>
                <w:ilvl w:val="0"/>
                <w:numId w:val="39"/>
              </w:numPr>
              <w:spacing w:line="288" w:lineRule="auto"/>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Բանկային հաշիվների ապահովումը ենթադրում է բոլոր առևտրային բանկերի հետ պայմանագրերի կնքում՝ նպատակային հաշիվ բացելու և սպասարկելու վերաբերյալ</w:t>
            </w:r>
          </w:p>
          <w:p>
            <w:pPr>
              <w:pStyle w:val="ListParagraph"/>
              <w:numPr>
                <w:ilvl w:val="0"/>
                <w:numId w:val="39"/>
              </w:numPr>
              <w:spacing w:line="288" w:lineRule="auto"/>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Օրենքով սահմանված է բռնագանձման չափը մինչև 50% կիրառելու կարգավորումը, որի շրջանակում ՀԿԱ ծառայությունը ներկայումս որոշ դեպքերում կիրառում է ավելի նվազ չափ, հետևաբար կառավարությունը մինչև 50% չափ կիրառելու դեպքեր սահմանելու խոչընդոտ չունի։</w:t>
            </w:r>
          </w:p>
          <w:p>
            <w:pPr>
              <w:pStyle w:val="ListParagraph"/>
              <w:numPr>
                <w:ilvl w:val="0"/>
                <w:numId w:val="39"/>
              </w:numPr>
              <w:spacing w:line="288" w:lineRule="auto"/>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Տե՛ս նախորդ մենկնաբանությունը</w:t>
            </w:r>
          </w:p>
          <w:p>
            <w:pPr>
              <w:pStyle w:val="ListParagraph"/>
              <w:spacing w:line="288" w:lineRule="auto"/>
              <w:rPr>
                <w:rFonts w:ascii="GHEA Grapalat" w:hAnsi="GHEA Grapalat"/>
                <w:bCs/>
                <w:color w:val="000000"/>
                <w:sz w:val="24"/>
                <w:szCs w:val="24"/>
                <w:shd w:val="clear" w:color="auto" w:fill="FFFFFF"/>
                <w:lang w:val="hy-AM"/>
              </w:rPr>
            </w:pPr>
          </w:p>
          <w:p>
            <w:pPr>
              <w:pStyle w:val="ListParagraph"/>
              <w:numPr>
                <w:ilvl w:val="0"/>
                <w:numId w:val="39"/>
              </w:numPr>
              <w:spacing w:line="288" w:lineRule="auto"/>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Ենթակետը լրամշակվել է</w:t>
            </w:r>
          </w:p>
          <w:p>
            <w:pPr>
              <w:pStyle w:val="ListParagraph"/>
              <w:rPr>
                <w:rFonts w:ascii="GHEA Grapalat" w:hAnsi="GHEA Grapalat"/>
                <w:bCs/>
                <w:color w:val="000000"/>
                <w:sz w:val="16"/>
                <w:szCs w:val="16"/>
                <w:shd w:val="clear" w:color="auto" w:fill="FFFFFF"/>
                <w:lang w:val="hy-AM"/>
              </w:rPr>
            </w:pPr>
          </w:p>
          <w:p>
            <w:pPr>
              <w:pStyle w:val="ListParagraph"/>
              <w:numPr>
                <w:ilvl w:val="0"/>
                <w:numId w:val="39"/>
              </w:numPr>
              <w:spacing w:line="288" w:lineRule="auto"/>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Ենթակետը լրացվել է</w:t>
            </w:r>
          </w:p>
          <w:p>
            <w:pPr>
              <w:pStyle w:val="ListParagraph"/>
              <w:spacing w:line="288" w:lineRule="auto"/>
              <w:rPr>
                <w:rFonts w:ascii="GHEA Grapalat" w:hAnsi="GHEA Grapalat"/>
                <w:bCs/>
                <w:color w:val="000000"/>
                <w:sz w:val="24"/>
                <w:szCs w:val="24"/>
                <w:shd w:val="clear" w:color="auto" w:fill="FFFFFF"/>
                <w:lang w:val="hy-AM"/>
              </w:rPr>
            </w:pPr>
          </w:p>
          <w:p>
            <w:pPr>
              <w:pStyle w:val="ListParagraph"/>
              <w:numPr>
                <w:ilvl w:val="0"/>
                <w:numId w:val="39"/>
              </w:numPr>
              <w:spacing w:line="288" w:lineRule="auto"/>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 xml:space="preserve">Առաջարկը չի ընդունվել։ Համաձայն առաջարկվող կարգավորման՝ </w:t>
            </w:r>
            <w:r>
              <w:rPr>
                <w:rFonts w:ascii="GHEA Grapalat" w:hAnsi="GHEA Grapalat"/>
                <w:bCs/>
                <w:color w:val="000000"/>
                <w:sz w:val="24"/>
                <w:szCs w:val="24"/>
                <w:shd w:val="clear" w:color="auto" w:fill="FFFFFF"/>
                <w:lang w:val="hy-AM"/>
              </w:rPr>
              <w:lastRenderedPageBreak/>
              <w:t>բջջային հեռախոսահամարը հանդիսանում է նույնականացման միակ գործիքը, հետևաբար այլ անձանց անվամբ հաշվառված լինելը չի ապահովի անձի նույնականացումը</w:t>
            </w:r>
          </w:p>
          <w:p>
            <w:pPr>
              <w:pStyle w:val="ListParagraph"/>
              <w:rPr>
                <w:rFonts w:ascii="GHEA Grapalat" w:hAnsi="GHEA Grapalat"/>
                <w:bCs/>
                <w:color w:val="000000"/>
                <w:sz w:val="24"/>
                <w:szCs w:val="24"/>
                <w:shd w:val="clear" w:color="auto" w:fill="FFFFFF"/>
                <w:lang w:val="hy-AM"/>
              </w:rPr>
            </w:pPr>
          </w:p>
          <w:p>
            <w:pPr>
              <w:pStyle w:val="ListParagraph"/>
              <w:numPr>
                <w:ilvl w:val="0"/>
                <w:numId w:val="39"/>
              </w:numPr>
              <w:spacing w:line="288" w:lineRule="auto"/>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Առաջարկն ընդունվել է</w:t>
            </w:r>
          </w:p>
          <w:p>
            <w:pPr>
              <w:pStyle w:val="ListParagraph"/>
              <w:rPr>
                <w:rFonts w:ascii="GHEA Grapalat" w:hAnsi="GHEA Grapalat"/>
                <w:bCs/>
                <w:color w:val="000000"/>
                <w:sz w:val="24"/>
                <w:szCs w:val="24"/>
                <w:shd w:val="clear" w:color="auto" w:fill="FFFFFF"/>
                <w:lang w:val="hy-AM"/>
              </w:rPr>
            </w:pPr>
          </w:p>
          <w:p>
            <w:pPr>
              <w:pStyle w:val="ListParagraph"/>
              <w:numPr>
                <w:ilvl w:val="0"/>
                <w:numId w:val="39"/>
              </w:numPr>
              <w:spacing w:line="288" w:lineRule="auto"/>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Առաջարկն ընդունվել է</w:t>
            </w:r>
          </w:p>
          <w:p>
            <w:pPr>
              <w:pStyle w:val="ListParagraph"/>
              <w:rPr>
                <w:rFonts w:ascii="GHEA Grapalat" w:hAnsi="GHEA Grapalat"/>
                <w:bCs/>
                <w:color w:val="000000"/>
                <w:sz w:val="24"/>
                <w:szCs w:val="24"/>
                <w:shd w:val="clear" w:color="auto" w:fill="FFFFFF"/>
                <w:lang w:val="hy-AM"/>
              </w:rPr>
            </w:pPr>
          </w:p>
          <w:p>
            <w:pPr>
              <w:pStyle w:val="ListParagraph"/>
              <w:numPr>
                <w:ilvl w:val="0"/>
                <w:numId w:val="39"/>
              </w:numPr>
              <w:spacing w:line="288" w:lineRule="auto"/>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Առաջարկը չի ընդունվել</w:t>
            </w:r>
            <w:r>
              <w:rPr>
                <w:rFonts w:ascii="GHEA Grapalat" w:hAnsi="GHEA Grapalat"/>
                <w:bCs/>
                <w:color w:val="000000"/>
                <w:sz w:val="24"/>
                <w:szCs w:val="24"/>
                <w:shd w:val="clear" w:color="auto" w:fill="FFFFFF"/>
                <w:lang w:val="hy-AM"/>
              </w:rPr>
              <w:t>, քանի որ այն չի բխում ծրագրի նպատակներից</w:t>
            </w:r>
          </w:p>
          <w:p>
            <w:pPr>
              <w:pStyle w:val="ListParagraph"/>
              <w:rPr>
                <w:rFonts w:ascii="GHEA Grapalat" w:hAnsi="GHEA Grapalat"/>
                <w:bCs/>
                <w:color w:val="000000"/>
                <w:sz w:val="24"/>
                <w:szCs w:val="24"/>
                <w:shd w:val="clear" w:color="auto" w:fill="FFFFFF"/>
                <w:lang w:val="hy-AM"/>
              </w:rPr>
            </w:pPr>
          </w:p>
          <w:p>
            <w:pPr>
              <w:pStyle w:val="ListParagraph"/>
              <w:rPr>
                <w:rFonts w:ascii="GHEA Grapalat" w:hAnsi="GHEA Grapalat"/>
                <w:bCs/>
                <w:color w:val="000000"/>
                <w:sz w:val="24"/>
                <w:szCs w:val="24"/>
                <w:shd w:val="clear" w:color="auto" w:fill="FFFFFF"/>
                <w:lang w:val="hy-AM"/>
              </w:rPr>
            </w:pPr>
          </w:p>
          <w:p>
            <w:pPr>
              <w:pStyle w:val="ListParagraph"/>
              <w:rPr>
                <w:rFonts w:ascii="GHEA Grapalat" w:hAnsi="GHEA Grapalat"/>
                <w:bCs/>
                <w:color w:val="000000"/>
                <w:sz w:val="24"/>
                <w:szCs w:val="24"/>
                <w:shd w:val="clear" w:color="auto" w:fill="FFFFFF"/>
                <w:lang w:val="hy-AM"/>
              </w:rPr>
            </w:pPr>
          </w:p>
          <w:p>
            <w:pPr>
              <w:pStyle w:val="ListParagraph"/>
              <w:rPr>
                <w:rFonts w:ascii="GHEA Grapalat" w:hAnsi="GHEA Grapalat"/>
                <w:bCs/>
                <w:color w:val="000000"/>
                <w:sz w:val="24"/>
                <w:szCs w:val="24"/>
                <w:shd w:val="clear" w:color="auto" w:fill="FFFFFF"/>
                <w:lang w:val="hy-AM"/>
              </w:rPr>
            </w:pPr>
          </w:p>
          <w:p>
            <w:pPr>
              <w:pStyle w:val="ListParagraph"/>
              <w:rPr>
                <w:rFonts w:ascii="GHEA Grapalat" w:hAnsi="GHEA Grapalat"/>
                <w:bCs/>
                <w:color w:val="000000"/>
                <w:sz w:val="24"/>
                <w:szCs w:val="24"/>
                <w:shd w:val="clear" w:color="auto" w:fill="FFFFFF"/>
                <w:lang w:val="hy-AM"/>
              </w:rPr>
            </w:pPr>
          </w:p>
          <w:p>
            <w:pPr>
              <w:pStyle w:val="ListParagraph"/>
              <w:rPr>
                <w:rFonts w:ascii="GHEA Grapalat" w:hAnsi="GHEA Grapalat"/>
                <w:bCs/>
                <w:color w:val="000000"/>
                <w:sz w:val="24"/>
                <w:szCs w:val="24"/>
                <w:shd w:val="clear" w:color="auto" w:fill="FFFFFF"/>
                <w:lang w:val="hy-AM"/>
              </w:rPr>
            </w:pPr>
          </w:p>
          <w:p>
            <w:pPr>
              <w:pStyle w:val="ListParagraph"/>
              <w:rPr>
                <w:rFonts w:ascii="GHEA Grapalat" w:hAnsi="GHEA Grapalat"/>
                <w:bCs/>
                <w:color w:val="000000"/>
                <w:sz w:val="12"/>
                <w:szCs w:val="12"/>
                <w:shd w:val="clear" w:color="auto" w:fill="FFFFFF"/>
                <w:lang w:val="hy-AM"/>
              </w:rPr>
            </w:pPr>
          </w:p>
          <w:p>
            <w:pPr>
              <w:pStyle w:val="ListParagraph"/>
              <w:rPr>
                <w:rFonts w:ascii="GHEA Grapalat" w:hAnsi="GHEA Grapalat"/>
                <w:bCs/>
                <w:color w:val="000000"/>
                <w:sz w:val="24"/>
                <w:szCs w:val="24"/>
                <w:shd w:val="clear" w:color="auto" w:fill="FFFFFF"/>
                <w:lang w:val="hy-AM"/>
              </w:rPr>
            </w:pPr>
          </w:p>
          <w:p>
            <w:pPr>
              <w:pStyle w:val="ListParagraph"/>
              <w:numPr>
                <w:ilvl w:val="0"/>
                <w:numId w:val="39"/>
              </w:numPr>
              <w:spacing w:line="288" w:lineRule="auto"/>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Առաջարկն ընդունվել է</w:t>
            </w:r>
          </w:p>
          <w:p>
            <w:pPr>
              <w:pStyle w:val="ListParagraph"/>
              <w:rPr>
                <w:rFonts w:ascii="GHEA Grapalat" w:hAnsi="GHEA Grapalat"/>
                <w:bCs/>
                <w:color w:val="000000"/>
                <w:sz w:val="24"/>
                <w:szCs w:val="24"/>
                <w:shd w:val="clear" w:color="auto" w:fill="FFFFFF"/>
                <w:lang w:val="hy-AM"/>
              </w:rPr>
            </w:pPr>
          </w:p>
          <w:p>
            <w:pPr>
              <w:pStyle w:val="ListParagraph"/>
              <w:rPr>
                <w:rFonts w:ascii="GHEA Grapalat" w:hAnsi="GHEA Grapalat"/>
                <w:bCs/>
                <w:color w:val="000000"/>
                <w:sz w:val="24"/>
                <w:szCs w:val="24"/>
                <w:shd w:val="clear" w:color="auto" w:fill="FFFFFF"/>
                <w:lang w:val="hy-AM"/>
              </w:rPr>
            </w:pPr>
          </w:p>
          <w:p>
            <w:pPr>
              <w:pStyle w:val="ListParagraph"/>
              <w:rPr>
                <w:rFonts w:ascii="GHEA Grapalat" w:hAnsi="GHEA Grapalat"/>
                <w:bCs/>
                <w:color w:val="000000"/>
                <w:sz w:val="24"/>
                <w:szCs w:val="24"/>
                <w:shd w:val="clear" w:color="auto" w:fill="FFFFFF"/>
                <w:lang w:val="hy-AM"/>
              </w:rPr>
            </w:pPr>
          </w:p>
          <w:p>
            <w:pPr>
              <w:pStyle w:val="ListParagraph"/>
              <w:numPr>
                <w:ilvl w:val="0"/>
                <w:numId w:val="39"/>
              </w:numPr>
              <w:spacing w:line="288" w:lineRule="auto"/>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Առաջարկն ընդունվել է</w:t>
            </w:r>
          </w:p>
        </w:tc>
      </w:tr>
      <w:tr>
        <w:tc>
          <w:tcPr>
            <w:tcW w:w="9918" w:type="dxa"/>
            <w:vAlign w:val="center"/>
          </w:tcPr>
          <w:p>
            <w:pPr>
              <w:pStyle w:val="ListParagraph"/>
              <w:numPr>
                <w:ilvl w:val="0"/>
                <w:numId w:val="2"/>
              </w:numPr>
              <w:spacing w:line="360" w:lineRule="auto"/>
              <w:jc w:val="center"/>
              <w:rPr>
                <w:rFonts w:ascii="GHEA Grapalat" w:hAnsi="GHEA Grapalat"/>
                <w:b/>
                <w:spacing w:val="-6"/>
                <w:sz w:val="24"/>
                <w:szCs w:val="24"/>
              </w:rPr>
            </w:pPr>
            <w:r>
              <w:rPr>
                <w:rFonts w:ascii="GHEA Grapalat" w:hAnsi="GHEA Grapalat"/>
                <w:b/>
                <w:spacing w:val="-6"/>
                <w:sz w:val="24"/>
                <w:szCs w:val="24"/>
                <w:lang w:val="hy-AM"/>
              </w:rPr>
              <w:lastRenderedPageBreak/>
              <w:t>Հայաստանի բանկերի միություն</w:t>
            </w:r>
          </w:p>
        </w:tc>
        <w:tc>
          <w:tcPr>
            <w:tcW w:w="5103" w:type="dxa"/>
          </w:tcPr>
          <w:p>
            <w:pPr>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05.12.2023</w:t>
            </w:r>
          </w:p>
          <w:p>
            <w:pPr>
              <w:widowControl w:val="0"/>
              <w:spacing w:line="276" w:lineRule="auto"/>
              <w:ind w:right="210"/>
              <w:contextualSpacing/>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Ստացվել է աշխատանքային կարգով</w:t>
            </w:r>
          </w:p>
        </w:tc>
      </w:tr>
      <w:tr>
        <w:tc>
          <w:tcPr>
            <w:tcW w:w="9918" w:type="dxa"/>
          </w:tcPr>
          <w:p>
            <w:pPr>
              <w:pStyle w:val="BodyText"/>
              <w:numPr>
                <w:ilvl w:val="0"/>
                <w:numId w:val="38"/>
              </w:numPr>
              <w:spacing w:before="240" w:line="276" w:lineRule="auto"/>
              <w:ind w:left="360"/>
              <w:rPr>
                <w:rFonts w:ascii="GHEA Grapalat" w:hAnsi="GHEA Grapalat" w:cs="Calibri"/>
                <w:color w:val="000000"/>
                <w:lang w:val="hy-AM"/>
              </w:rPr>
            </w:pPr>
            <w:r>
              <w:rPr>
                <w:rFonts w:ascii="GHEA Grapalat" w:hAnsi="GHEA Grapalat" w:cs="Calibri"/>
                <w:color w:val="000000"/>
                <w:lang w:val="hy-AM"/>
              </w:rPr>
              <w:t>Նպատակահարմար կլիներ տեսնել նախագծի ընդունման արդյունքում պոտենցիալ շահառուների վիճակագրությունը՝ հասկանալու համար մարման աջակցություն ստացող վարկերի ընդհանուր ծավալը և՝ ծրագրի մասշտաբը։ Այս հաշվարկը ենթադրում ենք, որ պետք է լիներ նախագծի հիմնավորման մեջ՝ պետական բյուջեի ծախսերը գնահատելու պահանջի իրականացման համար։ Այս գնահատումը կարևոր է նաև, հասկանալու համար ակնկալվող դրական արդյունքը, առ այն, որ նախատեսվող ծրագիրն այս տեսքով ընդունելու դեպքում բանկերի կողմից ներդրվելու են մի շարք ռեսուրսներ՝ ՏՏ ենթակառուցվածքում, բիզնես պրոցեսներում և այլն։ Այս շրջանակներում, Նախագծի կարգավորումներից հասկանալի չէ նաև, թե Նախագծով սահմանված աջակցության ծրագրի շրջանակներում կատարողական ծախսերը արդյո՞ք ներառվում են մարման ենթակա պարտավորությունների հաշվարկի մեջ։</w:t>
            </w:r>
          </w:p>
          <w:p>
            <w:pPr>
              <w:pStyle w:val="BodyText"/>
              <w:numPr>
                <w:ilvl w:val="0"/>
                <w:numId w:val="38"/>
              </w:numPr>
              <w:spacing w:before="240" w:line="276" w:lineRule="auto"/>
              <w:ind w:left="360"/>
              <w:rPr>
                <w:rFonts w:ascii="GHEA Grapalat" w:hAnsi="GHEA Grapalat" w:cs="Calibri Light"/>
                <w:lang w:val="hy-AM"/>
              </w:rPr>
            </w:pPr>
            <w:r>
              <w:rPr>
                <w:rFonts w:ascii="GHEA Grapalat" w:hAnsi="GHEA Grapalat" w:cs="Calibri"/>
                <w:color w:val="000000"/>
                <w:lang w:val="hy-AM"/>
              </w:rPr>
              <w:t>Նախագծի հավելված 2-ի 5-րդ կետի կարգավորումից հասկանալի չէ, թե տվյալ կետով սահմանված կարգով դիմումը մերժվելու դեպքում արդյո՞ք անձը կարող է կրկին դիմում ներկայացնել՝ Շահառու ճանաչվելու համար։</w:t>
            </w:r>
          </w:p>
          <w:p>
            <w:pPr>
              <w:pStyle w:val="BodyText"/>
              <w:numPr>
                <w:ilvl w:val="0"/>
                <w:numId w:val="38"/>
              </w:numPr>
              <w:spacing w:before="240" w:line="276" w:lineRule="auto"/>
              <w:ind w:left="360"/>
              <w:rPr>
                <w:rFonts w:ascii="GHEA Grapalat" w:hAnsi="GHEA Grapalat" w:cs="Calibri Light"/>
                <w:lang w:val="hy-AM"/>
              </w:rPr>
            </w:pPr>
            <w:r>
              <w:rPr>
                <w:rFonts w:ascii="GHEA Grapalat" w:hAnsi="GHEA Grapalat" w:cs="Calibri"/>
                <w:color w:val="000000"/>
                <w:lang w:val="hy-AM"/>
              </w:rPr>
              <w:t>Նախագծի հավելված 2-ի 8-րդ կետում առաջարկում ենք նախատեսել կարգավորում առ այն, որ աջակցության  տրամադրումը դադարեցվելու դեպքում պետք է այդ մասին տեղեկատվություն տրամադրվի ԱՆ ՀԿ ապահովող ծառայությանը, որպեսզի վերջինս աշխատավարձի գումարի բռնագանձման 20 տոկոսի սահմանափակումը վերացնի։</w:t>
            </w:r>
          </w:p>
          <w:p>
            <w:pPr>
              <w:pStyle w:val="BodyText"/>
              <w:numPr>
                <w:ilvl w:val="0"/>
                <w:numId w:val="38"/>
              </w:numPr>
              <w:spacing w:before="240" w:line="276" w:lineRule="auto"/>
              <w:ind w:left="360"/>
              <w:rPr>
                <w:rFonts w:ascii="GHEA Grapalat" w:hAnsi="GHEA Grapalat" w:cs="Calibri Light"/>
                <w:lang w:val="hy-AM"/>
              </w:rPr>
            </w:pPr>
            <w:r>
              <w:rPr>
                <w:rFonts w:ascii="GHEA Grapalat" w:eastAsia="Calibri" w:hAnsi="GHEA Grapalat"/>
                <w:szCs w:val="24"/>
                <w:lang w:val="hy-AM"/>
              </w:rPr>
              <w:lastRenderedPageBreak/>
              <w:t>Նախագծի հ</w:t>
            </w:r>
            <w:r>
              <w:rPr>
                <w:rFonts w:ascii="GHEA Grapalat" w:hAnsi="GHEA Grapalat" w:cs="Calibri"/>
                <w:color w:val="000000"/>
                <w:lang w:val="hy-AM"/>
              </w:rPr>
              <w:t>ավելված 2-ի</w:t>
            </w:r>
            <w:r>
              <w:rPr>
                <w:rFonts w:ascii="GHEA Grapalat" w:eastAsia="Calibri" w:hAnsi="GHEA Grapalat"/>
                <w:szCs w:val="24"/>
                <w:lang w:val="hy-AM"/>
              </w:rPr>
              <w:t xml:space="preserve"> 11-րդ կետով նախատեսվում է, որ Շահառուին տրվող աջակցության գումարը բանկի կողմից ուղղվում է Շահառուի համապատասխան վարկային հաշվին: Այս կետը որոշակիորեն խնդրահարույց ենք համարում, քանի որ առաջացնում է հաճախորդների պատշաճ նույնականացման խնդիրներ, ինչպես նաև գործառնական ռիսկեր և դժվարություններ, լրացուցիչ ռեսուրսների կիրառման անհրաժեշտություն: Այս կապակցությամբ, վարկերի պատշաճ նույնականացումն իրականացնելու համար, առաջարկում ենք գործընթացը կանոնակարգել այնպես, որ հնարավոր լինի իրավասու մարմնի կողմից դրամական փոխանցումներն իրականացնել վարկային կոդի կիրառմամբ` դրա իրականացումն առավել դյուրին դարձնելու նպատակով:</w:t>
            </w:r>
          </w:p>
          <w:p>
            <w:pPr>
              <w:pStyle w:val="BodyText"/>
              <w:numPr>
                <w:ilvl w:val="0"/>
                <w:numId w:val="38"/>
              </w:numPr>
              <w:spacing w:before="240" w:line="276" w:lineRule="auto"/>
              <w:ind w:left="360"/>
              <w:rPr>
                <w:rFonts w:ascii="GHEA Grapalat" w:hAnsi="GHEA Grapalat" w:cs="Calibri Light"/>
                <w:lang w:val="hy-AM"/>
              </w:rPr>
            </w:pPr>
            <w:r>
              <w:rPr>
                <w:rFonts w:ascii="GHEA Grapalat" w:hAnsi="GHEA Grapalat"/>
                <w:lang w:val="hy-AM"/>
              </w:rPr>
              <w:t>Առաջարկում ենք հստակեցնել, թե Նախագծի Հավելված 2-ի 11-րդ և 12-րդ կետերում «համամասնություն» եզրույթին վերաբերելի բիզնես գործընթացը։</w:t>
            </w:r>
          </w:p>
          <w:p>
            <w:pPr>
              <w:pStyle w:val="BodyText"/>
              <w:numPr>
                <w:ilvl w:val="0"/>
                <w:numId w:val="38"/>
              </w:numPr>
              <w:spacing w:before="240" w:line="276" w:lineRule="auto"/>
              <w:ind w:left="360"/>
              <w:rPr>
                <w:rFonts w:ascii="GHEA Grapalat" w:hAnsi="GHEA Grapalat" w:cs="Calibri Light"/>
                <w:lang w:val="hy-AM"/>
              </w:rPr>
            </w:pPr>
            <w:r>
              <w:rPr>
                <w:rFonts w:ascii="GHEA Grapalat" w:eastAsia="Calibri" w:hAnsi="GHEA Grapalat"/>
                <w:szCs w:val="24"/>
                <w:lang w:val="hy-AM"/>
              </w:rPr>
              <w:t>Նախագծի հ</w:t>
            </w:r>
            <w:r>
              <w:rPr>
                <w:rFonts w:ascii="GHEA Grapalat" w:hAnsi="GHEA Grapalat" w:cs="Calibri"/>
                <w:color w:val="000000"/>
                <w:lang w:val="hy-AM"/>
              </w:rPr>
              <w:t>ավելված 2-ի</w:t>
            </w:r>
            <w:r>
              <w:rPr>
                <w:rFonts w:ascii="GHEA Grapalat" w:eastAsia="Calibri" w:hAnsi="GHEA Grapalat"/>
                <w:szCs w:val="24"/>
                <w:lang w:val="hy-AM"/>
              </w:rPr>
              <w:t xml:space="preserve"> 13-րդ կետում նշված է, որ եթե </w:t>
            </w:r>
            <w:r>
              <w:rPr>
                <w:rFonts w:ascii="GHEA Grapalat" w:eastAsia="Calibri" w:hAnsi="GHEA Grapalat"/>
                <w:bCs/>
                <w:szCs w:val="24"/>
                <w:lang w:val="hy-AM"/>
              </w:rPr>
              <w:t>որևէ պատճառով (տեխնիկական կամ այլ) բանկի կողմից հնարավոր չէ գումարը փոխանցել Շահառուի վարկային հաշվին, ապա բանկը ավել փոխանցված գումարը հետ է վերադարձնում Հայաստանի Հանրապետության պետական բյուջե՝ Միասնական սոցիալական ծառայությանը տրամադրելով տվյալ Շահառուների տվյալները: Առաջարկում ենք գումարը հետ փոխանցելիս վճարման հանձնարարականի «նպատակ» դաշտում Բանկի կողմից նշվեն ստացող անձի նույնակացման տվյալները, ինչը հնարավորություն կտա խուսափել լրացուցիչ հաշվետվությունների ներկայացումից, և կնպաստի գործընթացի արդյունավետությանը:</w:t>
            </w:r>
          </w:p>
          <w:p>
            <w:pPr>
              <w:pStyle w:val="BodyText"/>
              <w:numPr>
                <w:ilvl w:val="0"/>
                <w:numId w:val="38"/>
              </w:numPr>
              <w:spacing w:before="240" w:line="276" w:lineRule="auto"/>
              <w:ind w:left="360"/>
              <w:rPr>
                <w:rFonts w:ascii="GHEA Grapalat" w:hAnsi="GHEA Grapalat" w:cs="Calibri Light"/>
                <w:lang w:val="hy-AM"/>
              </w:rPr>
            </w:pPr>
            <w:r>
              <w:rPr>
                <w:rFonts w:ascii="GHEA Grapalat" w:hAnsi="GHEA Grapalat" w:cs="Calibri"/>
                <w:color w:val="000000"/>
                <w:lang w:val="hy-AM"/>
              </w:rPr>
              <w:t xml:space="preserve">Առաջարկում ենք Նախագծի Շահառու համարվելու չափանիշներում սահմանել պայման, ըստ որի Շահառուն, բացի Նախագծի պահանջներին համապատասխանող </w:t>
            </w:r>
            <w:r>
              <w:rPr>
                <w:rFonts w:ascii="GHEA Grapalat" w:hAnsi="GHEA Grapalat" w:cs="Calibri"/>
                <w:color w:val="000000"/>
                <w:lang w:val="hy-AM"/>
              </w:rPr>
              <w:lastRenderedPageBreak/>
              <w:t>անհուսալի վարկերից, այլ՝ բռնագանձման ենթակա գործող վարկեր չունի։ Հակառակ դեպքում կարող է լինել իրավիճակ, երբ հաճախորդը բացի անհուսալի վարկերից, ունենա նաև դեռևս անհուսալի չդասակարգված և ԱՆ ՀԿ ապահովող ծառայության կողմից բռնագանձման փուլում գտնվող վարկ/վարկեր։ Այդ դեպքում, եթե Նախագծով սահմանված կարգով հաճախորդը ճանաչվի Շահառու, ապա աշխատավարձից բռնագանձման ենթակա գումարի չափը 20 տոկոս սահմանվելու դեպքում վտանգվում է անհուսալի չճանաչված վարկ/եր/ի վերադարձնելիությունը։</w:t>
            </w:r>
          </w:p>
          <w:p>
            <w:pPr>
              <w:pStyle w:val="BodyText"/>
              <w:numPr>
                <w:ilvl w:val="0"/>
                <w:numId w:val="38"/>
              </w:numPr>
              <w:spacing w:before="240" w:line="276" w:lineRule="auto"/>
              <w:ind w:left="360"/>
              <w:rPr>
                <w:rFonts w:ascii="GHEA Grapalat" w:hAnsi="GHEA Grapalat"/>
                <w:lang w:val="hy-AM"/>
              </w:rPr>
            </w:pPr>
            <w:r>
              <w:rPr>
                <w:rFonts w:ascii="GHEA Grapalat" w:hAnsi="GHEA Grapalat" w:cs="Calibri"/>
                <w:color w:val="000000"/>
                <w:lang w:val="hy-AM"/>
              </w:rPr>
              <w:t>Առաջարկում ենք Նախագծով հստակեցնել, թե 1 միլիոն դրամը վերաբերում է միայն վարկի մայր գումարին, թե ամբողջ վարկային պարտավորությանը։  Եթե վերաբերում է ամբողջ վարկային պարտավորությանը, ապա, եթե Շահառու դառնալուց հետո տվյալ վարկի գծով տոկոսների/տուժանքի կուտակման կամ հաճախորդի այլ վարկ/եր/ի 3 տարին լրանալու դեպքում (որը հաճախորդի Շահառու դառնալու պահին դեռևս Նախագծի իմաստով անհուսալի վարկ չէր համարվում), եթե անհուսալի վարկերի գծով պարտքի հանրագումարը գերազանցի 1 մլն դրամը, արդյո՞ք տվյալ անձը կշարունակի համարվել Շահառու։ Այսինքն, ե</w:t>
            </w:r>
            <w:r>
              <w:rPr>
                <w:rFonts w:ascii="GHEA Grapalat" w:hAnsi="GHEA Grapalat"/>
                <w:lang w:val="hy-AM"/>
              </w:rPr>
              <w:t>թե տոկոսների և տույժերի հաշվեգրումը չդադարեցվի կամ շահառուին տրամադրվի նոր վարկ և շահառուի պարտքը որոշակի ժամանակ անց գերազանցի 1 մլն դրամը, արդյոք շահառուն դուրս կմնա այդ ծրագրից:</w:t>
            </w:r>
          </w:p>
          <w:p>
            <w:pPr>
              <w:pStyle w:val="BodyText"/>
              <w:numPr>
                <w:ilvl w:val="0"/>
                <w:numId w:val="38"/>
              </w:numPr>
              <w:spacing w:before="240" w:line="276" w:lineRule="auto"/>
              <w:ind w:left="360"/>
              <w:rPr>
                <w:rFonts w:ascii="GHEA Grapalat" w:hAnsi="GHEA Grapalat" w:cs="Calibri Light"/>
                <w:lang w:val="hy-AM"/>
              </w:rPr>
            </w:pPr>
            <w:r>
              <w:rPr>
                <w:rFonts w:ascii="GHEA Grapalat" w:hAnsi="GHEA Grapalat" w:cs="Calibri"/>
                <w:color w:val="000000"/>
                <w:lang w:val="hy-AM"/>
              </w:rPr>
              <w:t>Միաժամանակ անհրաժեշտ է հստակեցնել, թե վարկերի մարումները որ օրվա դրությամբ են իրականացվելու՝ բանկի կողմից վարկի փաստացի մարման, թե՞ աջակցության գումարի ստացման։</w:t>
            </w:r>
          </w:p>
          <w:p>
            <w:pPr>
              <w:pStyle w:val="BodyText"/>
              <w:numPr>
                <w:ilvl w:val="0"/>
                <w:numId w:val="38"/>
              </w:numPr>
              <w:spacing w:before="240" w:line="276" w:lineRule="auto"/>
              <w:ind w:left="360"/>
              <w:rPr>
                <w:rFonts w:ascii="GHEA Grapalat" w:hAnsi="GHEA Grapalat"/>
                <w:lang w:val="hy-AM"/>
              </w:rPr>
            </w:pPr>
            <w:r>
              <w:rPr>
                <w:rFonts w:ascii="GHEA Grapalat" w:hAnsi="GHEA Grapalat"/>
                <w:lang w:val="hy-AM"/>
              </w:rPr>
              <w:t xml:space="preserve">Կլինեն բազմաթիվ դեպքեր, երբ պարտապանի աշխատավարձից գանձված գումարի և աջակցությամբ տրամադրվող գումարների հանրագումարը չի բավարարի 24 ամսվա ընթացքում պարտավորությունների ամբողջական մարմանը: Ուստի գտնում </w:t>
            </w:r>
            <w:r>
              <w:rPr>
                <w:rFonts w:ascii="GHEA Grapalat" w:hAnsi="GHEA Grapalat"/>
                <w:lang w:val="hy-AM"/>
              </w:rPr>
              <w:lastRenderedPageBreak/>
              <w:t>ենք, որ ծրագրում անհրաժեշտ է հստակ նշել, որ աջակցության ժամկետի ավարտից հետո պարտապանի աշխատավարձից գանձումները կշարունակվեն մինչ պարտավորությունների ամբողջական մարումը: Տվյալ տեղեկատվությունը պետք է հստակ հաղորդվի/փոխանցվի շահառուներին հետագայում ավելորդ շահարկումներից, տարակարծություններից զերծ մնալու նպատակով:</w:t>
            </w:r>
          </w:p>
          <w:p>
            <w:pPr>
              <w:pStyle w:val="BodyText"/>
              <w:numPr>
                <w:ilvl w:val="0"/>
                <w:numId w:val="38"/>
              </w:numPr>
              <w:spacing w:before="240" w:line="276" w:lineRule="auto"/>
              <w:ind w:left="360"/>
              <w:rPr>
                <w:rFonts w:ascii="GHEA Grapalat" w:hAnsi="GHEA Grapalat"/>
                <w:lang w:val="hy-AM"/>
              </w:rPr>
            </w:pPr>
            <w:r>
              <w:rPr>
                <w:rFonts w:ascii="GHEA Grapalat" w:hAnsi="GHEA Grapalat"/>
                <w:lang w:val="hy-AM"/>
              </w:rPr>
              <w:t>Նախագծի ընդունմանը զուգահեռ անհրաժեշտ է նաև իրականացնել օրենսդրական փոփոխություններ, քանի որ ՀՀ գործող օրենսդրությամբ արդեն իսկ սահմանված է բռնագանձման նվազագույն չափ, որը գերազանցում է նշված 20%:</w:t>
            </w:r>
          </w:p>
          <w:p>
            <w:pPr>
              <w:pStyle w:val="BodyText"/>
              <w:numPr>
                <w:ilvl w:val="0"/>
                <w:numId w:val="38"/>
              </w:numPr>
              <w:spacing w:before="240" w:line="276" w:lineRule="auto"/>
              <w:ind w:left="360"/>
              <w:rPr>
                <w:rFonts w:ascii="GHEA Grapalat" w:hAnsi="GHEA Grapalat"/>
                <w:lang w:val="hy-AM"/>
              </w:rPr>
            </w:pPr>
            <w:r>
              <w:rPr>
                <w:rFonts w:ascii="GHEA Grapalat" w:hAnsi="GHEA Grapalat"/>
                <w:lang w:val="hy-AM"/>
              </w:rPr>
              <w:t xml:space="preserve">Նախագծից հստակեցված չէ, արդյո՞ք ծրագրի շահառու կարող են լինել այն վարկառուները, որոնք ունեն մինչև մեկ միլիոն ՀՀ դրամ պարտավորություն, սակայն միևնույն ժամանակ հանդիսանում են այլ վարկերի երաշխավոր: </w:t>
            </w:r>
          </w:p>
          <w:p>
            <w:pPr>
              <w:pStyle w:val="BodyText"/>
              <w:numPr>
                <w:ilvl w:val="0"/>
                <w:numId w:val="38"/>
              </w:numPr>
              <w:spacing w:before="240" w:line="276" w:lineRule="auto"/>
              <w:ind w:left="360"/>
              <w:rPr>
                <w:rFonts w:ascii="GHEA Grapalat" w:hAnsi="GHEA Grapalat"/>
                <w:lang w:val="hy-AM"/>
              </w:rPr>
            </w:pPr>
            <w:r>
              <w:rPr>
                <w:rFonts w:ascii="GHEA Grapalat" w:hAnsi="GHEA Grapalat"/>
                <w:lang w:val="hy-AM"/>
              </w:rPr>
              <w:t>Հստակեցված չէ, թե արդյո՞ք ծրագրի շահառու կարող են լինել այն վարկառուները, որոնք ունեն անշարժ գույքով ապահովված պարտավորություն:</w:t>
            </w:r>
          </w:p>
          <w:p>
            <w:pPr>
              <w:pStyle w:val="BodyText"/>
              <w:numPr>
                <w:ilvl w:val="0"/>
                <w:numId w:val="38"/>
              </w:numPr>
              <w:spacing w:before="240" w:line="276" w:lineRule="auto"/>
              <w:ind w:left="360"/>
              <w:rPr>
                <w:rFonts w:ascii="GHEA Grapalat" w:hAnsi="GHEA Grapalat"/>
                <w:lang w:val="hy-AM"/>
              </w:rPr>
            </w:pPr>
            <w:r>
              <w:rPr>
                <w:rFonts w:ascii="GHEA Grapalat" w:hAnsi="GHEA Grapalat"/>
                <w:lang w:val="hy-AM"/>
              </w:rPr>
              <w:t>Արդյո՞ք կարող է նախատեսվել նման վարկերի գծով պարտքի զիջումների կամ տոկոսների և տույժերի հաշվեգրման դադարեցումների որոշակի մեխանիզմներ, ինչպես նաև դրանով պայմանավորված շահութահարկի բազայի ճշգրտումներ, այդ թվում’ 1 մլն դրամը գերազանցող պարտավորությունների մասով, որոնց գծով որոշակի զիջումները հնարավորություն կտան վարկառուին դառնալ ծրագրի շահառու:</w:t>
            </w:r>
          </w:p>
          <w:p>
            <w:pPr>
              <w:pStyle w:val="BodyText"/>
              <w:numPr>
                <w:ilvl w:val="0"/>
                <w:numId w:val="38"/>
              </w:numPr>
              <w:spacing w:before="240" w:line="276" w:lineRule="auto"/>
              <w:ind w:left="360"/>
              <w:rPr>
                <w:rFonts w:ascii="GHEA Grapalat" w:hAnsi="GHEA Grapalat"/>
                <w:lang w:val="hy-AM"/>
              </w:rPr>
            </w:pPr>
            <w:r>
              <w:rPr>
                <w:rFonts w:ascii="GHEA Grapalat" w:hAnsi="GHEA Grapalat"/>
                <w:lang w:val="hy-AM"/>
              </w:rPr>
              <w:t>Արդյո՞ք հնարավոր է, որ շահառուն Նախագծով սահմանված աջակցության ընթացքում օգտվի սոցիալական այլ ծրագրերից, օրինակ' ստանալ հիփոթեքային վարկերի գծով վճարված տոկոսագումարի մասով եկամտահարկի վերադարձ։</w:t>
            </w:r>
          </w:p>
          <w:p>
            <w:pPr>
              <w:pStyle w:val="BodyText"/>
              <w:numPr>
                <w:ilvl w:val="0"/>
                <w:numId w:val="38"/>
              </w:numPr>
              <w:spacing w:before="240" w:line="276" w:lineRule="auto"/>
              <w:ind w:left="360"/>
              <w:rPr>
                <w:rFonts w:ascii="GHEA Grapalat" w:hAnsi="GHEA Grapalat"/>
                <w:lang w:val="hy-AM"/>
              </w:rPr>
            </w:pPr>
            <w:r>
              <w:rPr>
                <w:rFonts w:ascii="GHEA Grapalat" w:hAnsi="GHEA Grapalat"/>
                <w:lang w:val="hy-AM"/>
              </w:rPr>
              <w:lastRenderedPageBreak/>
              <w:t>Եթե իրականացվի պարտքի վերակառուցում և վարկառուն որոշակի ժամանակ պարտաճանաչ իրականացնի ամսական վճարումները, արդյո՞ք հնարավոր է ծրագրով նախատեսված 24 ամսվա ընթացքում վարկառուի ռիսկի դասի որոշակի բարելավում (օրինակ' դասակարգում կասկածելի դասով), թե՞ այդ դեպքում շահառուն դուրս կմնա ծրագրից:</w:t>
            </w:r>
          </w:p>
          <w:p>
            <w:pPr>
              <w:pStyle w:val="BodyText"/>
              <w:numPr>
                <w:ilvl w:val="0"/>
                <w:numId w:val="38"/>
              </w:numPr>
              <w:spacing w:before="240" w:line="276" w:lineRule="auto"/>
              <w:ind w:left="360"/>
              <w:rPr>
                <w:rFonts w:ascii="GHEA Grapalat" w:hAnsi="GHEA Grapalat"/>
                <w:lang w:val="hy-AM"/>
              </w:rPr>
            </w:pPr>
            <w:r>
              <w:rPr>
                <w:rFonts w:ascii="GHEA Grapalat" w:hAnsi="GHEA Grapalat"/>
                <w:lang w:val="hy-AM"/>
              </w:rPr>
              <w:t>Արդյո՞ք շահառուի աշխատավարձից բռնագանձման ենթակա սահմանված առավելագույն 20% շեմը կիրառվելու է միայն բանկերի և վարկային կազմակերպությունների նկատմամբ պարտավորությունների նկատմամբ, թե կիրառվելու է շահառուի բոլոր պարտավորությունների նկատմամբ:</w:t>
            </w:r>
          </w:p>
          <w:p>
            <w:pPr>
              <w:pStyle w:val="BodyText"/>
              <w:numPr>
                <w:ilvl w:val="0"/>
                <w:numId w:val="38"/>
              </w:numPr>
              <w:spacing w:before="240" w:line="276" w:lineRule="auto"/>
              <w:ind w:left="360"/>
              <w:rPr>
                <w:rFonts w:ascii="GHEA Grapalat" w:hAnsi="GHEA Grapalat"/>
                <w:lang w:val="hy-AM"/>
              </w:rPr>
            </w:pPr>
            <w:r>
              <w:rPr>
                <w:rFonts w:ascii="GHEA Grapalat" w:hAnsi="GHEA Grapalat"/>
                <w:lang w:val="hy-AM"/>
              </w:rPr>
              <w:t>Արդյո՞ք ծրագրի շահառու կարող են հադիսանալ ԿԲ կողմից լիցենզավորված, սակայն ծրագրի ներդրման պահին լիցենզիայից զրկված բանկերի և վարկային կազմակերպությունների վարկառուները և արդյոք այդ բանկերում և վարկային կազմակերպություններում առկա պարտավորությունները ներառվելու են 1 մլն դրամի հաշվարկում:</w:t>
            </w:r>
          </w:p>
          <w:p>
            <w:pPr>
              <w:pStyle w:val="BodyText"/>
              <w:numPr>
                <w:ilvl w:val="0"/>
                <w:numId w:val="38"/>
              </w:numPr>
              <w:spacing w:before="240" w:line="276" w:lineRule="auto"/>
              <w:ind w:left="360"/>
              <w:rPr>
                <w:rFonts w:ascii="GHEA Grapalat" w:hAnsi="GHEA Grapalat"/>
                <w:lang w:val="hy-AM"/>
              </w:rPr>
            </w:pPr>
            <w:r>
              <w:rPr>
                <w:rFonts w:ascii="GHEA Grapalat" w:hAnsi="GHEA Grapalat"/>
                <w:lang w:val="hy-AM"/>
              </w:rPr>
              <w:t>Հնարավոր են որոշակի խնդիրներ վարկառուների ամբողջական պարտքը որոշելու/հաշվարկելու և այդ չափանիշով շահառու ճանաչելու համար, քանի որ վարկային բյուրո չի ներկայացվում/թարմացվում վարկառուների ամբողջական պարտքը (առնվազն կուտակված տույժերի և տուգանային տոկոսների վերաբերյալ տեղեկատվությունը): Ընդ որում' նման վաղեմության անհուսալի պարտքերի գծով որոշ դեպքերում այդ հաշվարկը Բանկում չի իրականացվում ավտոմատ եղանակով, քանի որ առանձին դեպքերով առկա են դատարանի կողմից սահմանված պարտքի հաշվարկման տարբերվող որոշումներ:</w:t>
            </w:r>
          </w:p>
          <w:p>
            <w:pPr>
              <w:pStyle w:val="BodyText"/>
              <w:numPr>
                <w:ilvl w:val="0"/>
                <w:numId w:val="38"/>
              </w:numPr>
              <w:spacing w:before="240" w:line="276" w:lineRule="auto"/>
              <w:ind w:left="360"/>
              <w:rPr>
                <w:rFonts w:ascii="GHEA Grapalat" w:hAnsi="GHEA Grapalat" w:cs="Calibri Light"/>
                <w:lang w:val="hy-AM"/>
              </w:rPr>
            </w:pPr>
            <w:r>
              <w:rPr>
                <w:rFonts w:ascii="GHEA Grapalat" w:hAnsi="GHEA Grapalat"/>
                <w:lang w:val="hy-AM"/>
              </w:rPr>
              <w:lastRenderedPageBreak/>
              <w:t>Առաջարկում ենք հստակեցնել, թե արդյոք աջակցության գումարների ստացումը և դրանք Նախագծով սահմանված վարկերի մարմանն ուղղումը ենթադրում է ծրագրային միասնական համակարգի ստեղծում և գործընթացի ավտոմատացում։ Եթե այո, ապա առաջարկում ենք մինչ Միջոցառման գործարկումը կազմակերպել հանդիպում միջոցառման մասնակից պետական մարմինների և բանկերի ներկայացուցչների մասնակցությամբ՝ տեխնիկական և ծրագրային հարցերի հետ կապված մանրամասները քննարկելու նպատակով։</w:t>
            </w:r>
          </w:p>
          <w:p>
            <w:pPr>
              <w:pStyle w:val="NormalWeb"/>
              <w:shd w:val="clear" w:color="auto" w:fill="FFFFFF"/>
              <w:spacing w:before="0" w:beforeAutospacing="0" w:after="0" w:afterAutospacing="0" w:line="288" w:lineRule="auto"/>
              <w:jc w:val="both"/>
              <w:rPr>
                <w:rFonts w:ascii="GHEA Grapalat" w:hAnsi="GHEA Grapalat"/>
                <w:color w:val="000000" w:themeColor="text1"/>
                <w:lang w:val="hy-AM"/>
              </w:rPr>
            </w:pPr>
          </w:p>
        </w:tc>
        <w:tc>
          <w:tcPr>
            <w:tcW w:w="5103" w:type="dxa"/>
          </w:tcPr>
          <w:p>
            <w:pPr>
              <w:pStyle w:val="ListParagraph"/>
              <w:spacing w:line="288" w:lineRule="auto"/>
              <w:ind w:left="462"/>
              <w:rPr>
                <w:rFonts w:ascii="GHEA Grapalat" w:hAnsi="GHEA Grapalat"/>
                <w:b/>
                <w:color w:val="000000"/>
                <w:sz w:val="14"/>
                <w:szCs w:val="14"/>
                <w:shd w:val="clear" w:color="auto" w:fill="FFFFFF"/>
                <w:lang w:val="hy-AM"/>
              </w:rPr>
            </w:pPr>
          </w:p>
          <w:p>
            <w:pPr>
              <w:pStyle w:val="ListParagraph"/>
              <w:numPr>
                <w:ilvl w:val="0"/>
                <w:numId w:val="35"/>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ընդունվել է. </w:t>
            </w:r>
            <w:r>
              <w:rPr>
                <w:rFonts w:ascii="GHEA Grapalat" w:hAnsi="GHEA Grapalat"/>
                <w:bCs/>
                <w:color w:val="000000"/>
                <w:sz w:val="24"/>
                <w:szCs w:val="24"/>
                <w:shd w:val="clear" w:color="auto" w:fill="FFFFFF"/>
                <w:lang w:val="hy-AM"/>
              </w:rPr>
              <w:t>հիմնավորման մեջ</w:t>
            </w:r>
            <w:r>
              <w:rPr>
                <w:rFonts w:ascii="GHEA Grapalat" w:hAnsi="GHEA Grapalat"/>
                <w:b/>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կատարվել են համապատասխան փոփոխություններ։</w:t>
            </w: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numPr>
                <w:ilvl w:val="0"/>
                <w:numId w:val="35"/>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Դիտարկման կապակցությամբ </w:t>
            </w:r>
            <w:r>
              <w:rPr>
                <w:rFonts w:ascii="GHEA Grapalat" w:hAnsi="GHEA Grapalat"/>
                <w:bCs/>
                <w:color w:val="000000"/>
                <w:sz w:val="24"/>
                <w:szCs w:val="24"/>
                <w:shd w:val="clear" w:color="auto" w:fill="FFFFFF"/>
                <w:lang w:val="hy-AM"/>
              </w:rPr>
              <w:t>հստակեցվել են համապատասխան դրույթները</w:t>
            </w:r>
          </w:p>
          <w:p>
            <w:pPr>
              <w:pStyle w:val="ListParagraph"/>
              <w:rPr>
                <w:rFonts w:ascii="GHEA Grapalat" w:hAnsi="GHEA Grapalat"/>
                <w:b/>
                <w:color w:val="000000"/>
                <w:sz w:val="14"/>
                <w:szCs w:val="14"/>
                <w:shd w:val="clear" w:color="auto" w:fill="FFFFFF"/>
                <w:lang w:val="hy-AM"/>
              </w:rPr>
            </w:pPr>
          </w:p>
          <w:p>
            <w:pPr>
              <w:pStyle w:val="ListParagraph"/>
              <w:numPr>
                <w:ilvl w:val="0"/>
                <w:numId w:val="35"/>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ընդունվել է. </w:t>
            </w:r>
            <w:r>
              <w:rPr>
                <w:rFonts w:ascii="GHEA Grapalat" w:hAnsi="GHEA Grapalat"/>
                <w:bCs/>
                <w:color w:val="000000"/>
                <w:sz w:val="24"/>
                <w:szCs w:val="24"/>
                <w:shd w:val="clear" w:color="auto" w:fill="FFFFFF"/>
                <w:lang w:val="hy-AM"/>
              </w:rPr>
              <w:t>նախագծի 2-րդ հավելվածի 14-րդ և 15-րդ կետերում կատարվել են համապատասխան լրամշակումներ</w:t>
            </w:r>
          </w:p>
          <w:p>
            <w:pPr>
              <w:pStyle w:val="ListParagraph"/>
              <w:rPr>
                <w:rFonts w:ascii="GHEA Grapalat" w:hAnsi="GHEA Grapalat"/>
                <w:bCs/>
                <w:color w:val="000000"/>
                <w:sz w:val="24"/>
                <w:szCs w:val="24"/>
                <w:shd w:val="clear" w:color="auto" w:fill="FFFFFF"/>
                <w:lang w:val="hy-AM"/>
              </w:rPr>
            </w:pPr>
          </w:p>
          <w:p>
            <w:pPr>
              <w:pStyle w:val="ListParagraph"/>
              <w:numPr>
                <w:ilvl w:val="0"/>
                <w:numId w:val="35"/>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Առաջարկն ընդունվել է.</w:t>
            </w:r>
            <w:r>
              <w:rPr>
                <w:rFonts w:ascii="GHEA Grapalat" w:hAnsi="GHEA Grapalat"/>
                <w:bCs/>
                <w:color w:val="000000"/>
                <w:sz w:val="24"/>
                <w:szCs w:val="24"/>
                <w:shd w:val="clear" w:color="auto" w:fill="FFFFFF"/>
                <w:lang w:val="hy-AM"/>
              </w:rPr>
              <w:t xml:space="preserve"> ավելացվել է վարկային կոդի ստացման պահանջը</w:t>
            </w:r>
          </w:p>
          <w:p>
            <w:pPr>
              <w:pStyle w:val="ListParagraph"/>
              <w:rPr>
                <w:rFonts w:ascii="GHEA Grapalat" w:hAnsi="GHEA Grapalat"/>
                <w:b/>
                <w:color w:val="000000"/>
                <w:sz w:val="24"/>
                <w:szCs w:val="24"/>
                <w:shd w:val="clear" w:color="auto" w:fill="FFFFFF"/>
                <w:lang w:val="hy-AM"/>
              </w:rPr>
            </w:pPr>
          </w:p>
          <w:p>
            <w:pPr>
              <w:pStyle w:val="ListParagraph"/>
              <w:numPr>
                <w:ilvl w:val="0"/>
                <w:numId w:val="35"/>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Առաջարկն ընդունվել է.</w:t>
            </w:r>
            <w:r>
              <w:rPr>
                <w:rFonts w:ascii="GHEA Grapalat" w:hAnsi="GHEA Grapalat"/>
                <w:bCs/>
                <w:color w:val="000000"/>
                <w:sz w:val="24"/>
                <w:szCs w:val="24"/>
                <w:shd w:val="clear" w:color="auto" w:fill="FFFFFF"/>
                <w:lang w:val="hy-AM"/>
              </w:rPr>
              <w:t xml:space="preserve"> կետը լրամշակվել է</w:t>
            </w:r>
          </w:p>
          <w:p>
            <w:pPr>
              <w:pStyle w:val="ListParagraph"/>
              <w:spacing w:line="288" w:lineRule="auto"/>
              <w:ind w:left="462"/>
              <w:rPr>
                <w:rFonts w:ascii="GHEA Grapalat" w:hAnsi="GHEA Grapalat"/>
                <w:bCs/>
                <w:color w:val="000000"/>
                <w:sz w:val="12"/>
                <w:szCs w:val="12"/>
                <w:shd w:val="clear" w:color="auto" w:fill="FFFFFF"/>
                <w:lang w:val="hy-AM"/>
              </w:rPr>
            </w:pPr>
          </w:p>
          <w:p>
            <w:pPr>
              <w:pStyle w:val="ListParagraph"/>
              <w:numPr>
                <w:ilvl w:val="0"/>
                <w:numId w:val="35"/>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Առաջարկն ընդունվել է.</w:t>
            </w:r>
            <w:r>
              <w:rPr>
                <w:rFonts w:ascii="GHEA Grapalat" w:hAnsi="GHEA Grapalat"/>
                <w:bCs/>
                <w:color w:val="000000"/>
                <w:sz w:val="24"/>
                <w:szCs w:val="24"/>
                <w:shd w:val="clear" w:color="auto" w:fill="FFFFFF"/>
                <w:lang w:val="hy-AM"/>
              </w:rPr>
              <w:t xml:space="preserve"> կետը լրամշակվել է</w:t>
            </w:r>
          </w:p>
          <w:p>
            <w:pPr>
              <w:pStyle w:val="ListParagraph"/>
              <w:rPr>
                <w:rFonts w:ascii="GHEA Grapalat" w:hAnsi="GHEA Grapalat"/>
                <w:bCs/>
                <w:color w:val="000000"/>
                <w:sz w:val="24"/>
                <w:szCs w:val="24"/>
                <w:shd w:val="clear" w:color="auto" w:fill="FFFFFF"/>
                <w:lang w:val="hy-AM"/>
              </w:rPr>
            </w:pPr>
          </w:p>
          <w:p>
            <w:pPr>
              <w:pStyle w:val="ListParagraph"/>
              <w:numPr>
                <w:ilvl w:val="0"/>
                <w:numId w:val="35"/>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Առաջարկն ընդունվել է</w:t>
            </w:r>
            <w:r>
              <w:rPr>
                <w:rFonts w:ascii="Cambria Math" w:hAnsi="Cambria Math"/>
                <w:b/>
                <w:color w:val="000000"/>
                <w:sz w:val="24"/>
                <w:szCs w:val="24"/>
                <w:shd w:val="clear" w:color="auto" w:fill="FFFFFF"/>
                <w:lang w:val="hy-AM"/>
              </w:rPr>
              <w:t>․</w:t>
            </w:r>
            <w:r>
              <w:rPr>
                <w:rFonts w:ascii="Cambria Math" w:hAnsi="Cambria Math"/>
                <w:bCs/>
                <w:color w:val="000000"/>
                <w:sz w:val="24"/>
                <w:szCs w:val="24"/>
                <w:shd w:val="clear" w:color="auto" w:fill="FFFFFF"/>
                <w:lang w:val="hy-AM"/>
              </w:rPr>
              <w:t xml:space="preserve"> </w:t>
            </w:r>
            <w:r>
              <w:rPr>
                <w:rFonts w:ascii="GHEA Grapalat" w:hAnsi="GHEA Grapalat"/>
                <w:bCs/>
                <w:color w:val="000000"/>
                <w:sz w:val="24"/>
                <w:szCs w:val="24"/>
                <w:shd w:val="clear" w:color="auto" w:fill="FFFFFF"/>
                <w:lang w:val="hy-AM"/>
              </w:rPr>
              <w:t xml:space="preserve">Շահառուի սահմանման մեջ պարտադիր պահանջ </w:t>
            </w:r>
            <w:r>
              <w:rPr>
                <w:rFonts w:ascii="GHEA Grapalat" w:hAnsi="GHEA Grapalat"/>
                <w:bCs/>
                <w:color w:val="000000"/>
                <w:sz w:val="24"/>
                <w:szCs w:val="24"/>
                <w:shd w:val="clear" w:color="auto" w:fill="FFFFFF"/>
                <w:lang w:val="hy-AM"/>
              </w:rPr>
              <w:lastRenderedPageBreak/>
              <w:t>է վերանայվել է, ըստ որի շահառուի բոլոր վարկերն առնվազն 3 տարի առաջ դասակարգված պիտի լինեն անհուսալի դասով, հետևաբար այլ չաշխատող վարկեր շահառուն չի կարող ունենալ։</w:t>
            </w:r>
          </w:p>
          <w:p>
            <w:pPr>
              <w:pStyle w:val="ListParagraph"/>
              <w:rPr>
                <w:rFonts w:ascii="GHEA Grapalat" w:hAnsi="GHEA Grapalat"/>
                <w:bCs/>
                <w:color w:val="000000"/>
                <w:sz w:val="24"/>
                <w:szCs w:val="24"/>
                <w:shd w:val="clear" w:color="auto" w:fill="FFFFFF"/>
                <w:lang w:val="hy-AM"/>
              </w:rPr>
            </w:pPr>
          </w:p>
          <w:p>
            <w:pPr>
              <w:pStyle w:val="ListParagraph"/>
              <w:numPr>
                <w:ilvl w:val="0"/>
                <w:numId w:val="35"/>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Առաջարկն ընդունվել է</w:t>
            </w:r>
            <w:r>
              <w:rPr>
                <w:rFonts w:ascii="Cambria Math" w:hAnsi="Cambria Math"/>
                <w:b/>
                <w:color w:val="000000"/>
                <w:sz w:val="24"/>
                <w:szCs w:val="24"/>
                <w:shd w:val="clear" w:color="auto" w:fill="FFFFFF"/>
                <w:lang w:val="hy-AM"/>
              </w:rPr>
              <w:t>․</w:t>
            </w:r>
            <w:r>
              <w:rPr>
                <w:rFonts w:ascii="Cambria Math" w:hAnsi="Cambria Math"/>
                <w:bCs/>
                <w:color w:val="000000"/>
                <w:sz w:val="24"/>
                <w:szCs w:val="24"/>
                <w:shd w:val="clear" w:color="auto" w:fill="FFFFFF"/>
                <w:lang w:val="hy-AM"/>
              </w:rPr>
              <w:t xml:space="preserve"> ն</w:t>
            </w:r>
            <w:r>
              <w:rPr>
                <w:rFonts w:ascii="GHEA Grapalat" w:hAnsi="GHEA Grapalat"/>
                <w:bCs/>
                <w:color w:val="000000"/>
                <w:sz w:val="24"/>
                <w:szCs w:val="24"/>
                <w:shd w:val="clear" w:color="auto" w:fill="FFFFFF"/>
                <w:lang w:val="hy-AM"/>
              </w:rPr>
              <w:t xml:space="preserve">ախագծում հստակեցվել է, որ 1 մլն դրամի շեմը չի վերաբերվում </w:t>
            </w:r>
            <w:r>
              <w:rPr>
                <w:rFonts w:ascii="GHEA Grapalat" w:eastAsia="Calibri" w:hAnsi="GHEA Grapalat" w:cs="Calibri"/>
                <w:bCs/>
                <w:sz w:val="24"/>
                <w:szCs w:val="24"/>
                <w:lang w:val="hy-AM"/>
              </w:rPr>
              <w:t>ժամկետանց տոկոսագումարներին, տույժերին և տուգանքներին</w:t>
            </w:r>
          </w:p>
          <w:p>
            <w:pPr>
              <w:pStyle w:val="ListParagraph"/>
              <w:rPr>
                <w:rFonts w:ascii="GHEA Grapalat" w:hAnsi="GHEA Grapalat"/>
                <w:bCs/>
                <w:color w:val="000000"/>
                <w:sz w:val="24"/>
                <w:szCs w:val="24"/>
                <w:shd w:val="clear" w:color="auto" w:fill="FFFFFF"/>
                <w:lang w:val="hy-AM"/>
              </w:rPr>
            </w:pPr>
          </w:p>
          <w:p>
            <w:pPr>
              <w:pStyle w:val="ListParagraph"/>
              <w:numPr>
                <w:ilvl w:val="0"/>
                <w:numId w:val="35"/>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Դիտարկումն ընդունվել է.</w:t>
            </w:r>
            <w:r>
              <w:rPr>
                <w:rFonts w:ascii="GHEA Grapalat" w:hAnsi="GHEA Grapalat"/>
                <w:bCs/>
                <w:color w:val="000000"/>
                <w:sz w:val="24"/>
                <w:szCs w:val="24"/>
                <w:shd w:val="clear" w:color="auto" w:fill="FFFFFF"/>
                <w:lang w:val="hy-AM"/>
              </w:rPr>
              <w:t xml:space="preserve"> Նախագծում հստակեցվել է աջակցության գումարի՝ վարկի մարմանն ուղղելու ժամկետը</w:t>
            </w:r>
          </w:p>
          <w:p>
            <w:pPr>
              <w:pStyle w:val="ListParagraph"/>
              <w:rPr>
                <w:rFonts w:ascii="GHEA Grapalat" w:hAnsi="GHEA Grapalat"/>
                <w:bCs/>
                <w:color w:val="000000"/>
                <w:sz w:val="24"/>
                <w:szCs w:val="24"/>
                <w:shd w:val="clear" w:color="auto" w:fill="FFFFFF"/>
                <w:lang w:val="hy-AM"/>
              </w:rPr>
            </w:pPr>
          </w:p>
          <w:p>
            <w:pPr>
              <w:pStyle w:val="ListParagraph"/>
              <w:numPr>
                <w:ilvl w:val="0"/>
                <w:numId w:val="35"/>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Դիտարկումն ընդունվել է.</w:t>
            </w:r>
            <w:r>
              <w:rPr>
                <w:rFonts w:ascii="GHEA Grapalat" w:hAnsi="GHEA Grapalat"/>
                <w:bCs/>
                <w:color w:val="000000"/>
                <w:sz w:val="24"/>
                <w:szCs w:val="24"/>
                <w:shd w:val="clear" w:color="auto" w:fill="FFFFFF"/>
                <w:lang w:val="hy-AM"/>
              </w:rPr>
              <w:t xml:space="preserve"> Նախագծում հստակեցվել են ժամկետները</w:t>
            </w:r>
          </w:p>
          <w:p>
            <w:pPr>
              <w:pStyle w:val="ListParagraph"/>
              <w:rPr>
                <w:rFonts w:ascii="GHEA Grapalat" w:hAnsi="GHEA Grapalat"/>
                <w:bCs/>
                <w:color w:val="000000"/>
                <w:sz w:val="24"/>
                <w:szCs w:val="24"/>
                <w:shd w:val="clear" w:color="auto" w:fill="FFFFFF"/>
                <w:lang w:val="hy-AM"/>
              </w:rPr>
            </w:pPr>
          </w:p>
          <w:p>
            <w:pPr>
              <w:pStyle w:val="ListParagraph"/>
              <w:rPr>
                <w:rFonts w:ascii="GHEA Grapalat" w:hAnsi="GHEA Grapalat"/>
                <w:bCs/>
                <w:color w:val="000000"/>
                <w:sz w:val="24"/>
                <w:szCs w:val="24"/>
                <w:shd w:val="clear" w:color="auto" w:fill="FFFFFF"/>
                <w:lang w:val="hy-AM"/>
              </w:rPr>
            </w:pPr>
          </w:p>
          <w:p>
            <w:pPr>
              <w:pStyle w:val="ListParagraph"/>
              <w:rPr>
                <w:rFonts w:ascii="GHEA Grapalat" w:hAnsi="GHEA Grapalat"/>
                <w:bCs/>
                <w:color w:val="000000"/>
                <w:sz w:val="16"/>
                <w:szCs w:val="16"/>
                <w:shd w:val="clear" w:color="auto" w:fill="FFFFFF"/>
                <w:lang w:val="hy-AM"/>
              </w:rPr>
            </w:pPr>
          </w:p>
          <w:p>
            <w:pPr>
              <w:pStyle w:val="ListParagraph"/>
              <w:rPr>
                <w:rFonts w:ascii="GHEA Grapalat" w:hAnsi="GHEA Grapalat"/>
                <w:bCs/>
                <w:color w:val="000000"/>
                <w:sz w:val="24"/>
                <w:szCs w:val="24"/>
                <w:shd w:val="clear" w:color="auto" w:fill="FFFFFF"/>
                <w:lang w:val="hy-AM"/>
              </w:rPr>
            </w:pPr>
          </w:p>
          <w:p>
            <w:pPr>
              <w:pStyle w:val="ListParagraph"/>
              <w:numPr>
                <w:ilvl w:val="0"/>
                <w:numId w:val="35"/>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Առաջարկը չի ընդունվել.</w:t>
            </w:r>
            <w:r>
              <w:rPr>
                <w:rFonts w:ascii="GHEA Grapalat" w:hAnsi="GHEA Grapalat"/>
                <w:bCs/>
                <w:color w:val="000000"/>
                <w:sz w:val="24"/>
                <w:szCs w:val="24"/>
                <w:shd w:val="clear" w:color="auto" w:fill="FFFFFF"/>
                <w:lang w:val="hy-AM"/>
              </w:rPr>
              <w:t xml:space="preserve"> «Դատական ակտերի հարկադիր կատարման մասին» ՀՀ օրենքի 58-րդ հոդվածով սահմանված է աշխատավարձից բռնագանձման ոչ թե նվազագույն, այլ առավելագույն չափ, որը կազում է 50%</w:t>
            </w:r>
          </w:p>
          <w:p>
            <w:pPr>
              <w:pStyle w:val="ListParagraph"/>
              <w:rPr>
                <w:rFonts w:ascii="GHEA Grapalat" w:hAnsi="GHEA Grapalat"/>
                <w:bCs/>
                <w:color w:val="000000"/>
                <w:sz w:val="24"/>
                <w:szCs w:val="24"/>
                <w:shd w:val="clear" w:color="auto" w:fill="FFFFFF"/>
                <w:lang w:val="hy-AM"/>
              </w:rPr>
            </w:pPr>
          </w:p>
          <w:p>
            <w:pPr>
              <w:pStyle w:val="ListParagraph"/>
              <w:numPr>
                <w:ilvl w:val="0"/>
                <w:numId w:val="35"/>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Դիտարկումն ընդունվել է.</w:t>
            </w:r>
            <w:r>
              <w:rPr>
                <w:rFonts w:ascii="GHEA Grapalat" w:hAnsi="GHEA Grapalat"/>
                <w:bCs/>
                <w:color w:val="000000"/>
                <w:sz w:val="24"/>
                <w:szCs w:val="24"/>
                <w:shd w:val="clear" w:color="auto" w:fill="FFFFFF"/>
                <w:lang w:val="hy-AM"/>
              </w:rPr>
              <w:t xml:space="preserve"> Նախագծում կատարվել են հստակեցումներ</w:t>
            </w:r>
          </w:p>
          <w:p>
            <w:pPr>
              <w:pStyle w:val="ListParagraph"/>
              <w:rPr>
                <w:rFonts w:ascii="GHEA Grapalat" w:hAnsi="GHEA Grapalat"/>
                <w:bCs/>
                <w:color w:val="000000"/>
                <w:sz w:val="24"/>
                <w:szCs w:val="24"/>
                <w:shd w:val="clear" w:color="auto" w:fill="FFFFFF"/>
                <w:lang w:val="hy-AM"/>
              </w:rPr>
            </w:pPr>
          </w:p>
          <w:p>
            <w:pPr>
              <w:pStyle w:val="ListParagraph"/>
              <w:numPr>
                <w:ilvl w:val="0"/>
                <w:numId w:val="35"/>
              </w:numPr>
              <w:spacing w:line="288" w:lineRule="auto"/>
              <w:ind w:left="462"/>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Նման սահմանափակում չկա, հետևաբար կարող են</w:t>
            </w:r>
          </w:p>
          <w:p>
            <w:pPr>
              <w:pStyle w:val="ListParagraph"/>
              <w:rPr>
                <w:rFonts w:ascii="GHEA Grapalat" w:hAnsi="GHEA Grapalat"/>
                <w:bCs/>
                <w:color w:val="000000"/>
                <w:sz w:val="24"/>
                <w:szCs w:val="24"/>
                <w:shd w:val="clear" w:color="auto" w:fill="FFFFFF"/>
                <w:lang w:val="hy-AM"/>
              </w:rPr>
            </w:pPr>
          </w:p>
          <w:p>
            <w:pPr>
              <w:pStyle w:val="ListParagraph"/>
              <w:numPr>
                <w:ilvl w:val="0"/>
                <w:numId w:val="35"/>
              </w:numPr>
              <w:spacing w:line="288" w:lineRule="auto"/>
              <w:ind w:left="462"/>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Գաղափարը քննարկվել է ԿԲ և ՀԲՄ գործընկերների հետ, արդյունքում նախագծում շահառու դառնալու պարտավորության 1 մլն չափը նախատեսված է ֆիքսել 2024թ. հունիսի 1-ի դրությամբ, հետևաբար նրանք, ովքեր ունեն 1 մլն-ից ավել անհուսալի վարկ, ապա հնարավորություն կունենան այն նվազեցնել մինչև հունիսի 1-ը մինչև 1 մլն դրամ և դառնալ ծրագրի շահառու</w:t>
            </w:r>
          </w:p>
          <w:p>
            <w:pPr>
              <w:pStyle w:val="ListParagraph"/>
              <w:numPr>
                <w:ilvl w:val="0"/>
                <w:numId w:val="35"/>
              </w:numPr>
              <w:spacing w:line="288" w:lineRule="auto"/>
              <w:ind w:left="462"/>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lastRenderedPageBreak/>
              <w:t>Ծրագրում նմանատիպ սահմանափակում նախատեսված չէ</w:t>
            </w: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numPr>
                <w:ilvl w:val="0"/>
                <w:numId w:val="35"/>
              </w:numPr>
              <w:spacing w:line="288" w:lineRule="auto"/>
              <w:ind w:left="462"/>
              <w:rPr>
                <w:rFonts w:ascii="GHEA Grapalat" w:hAnsi="GHEA Grapalat"/>
                <w:bCs/>
                <w:color w:val="000000"/>
                <w:sz w:val="26"/>
                <w:szCs w:val="26"/>
                <w:shd w:val="clear" w:color="auto" w:fill="FFFFFF"/>
                <w:lang w:val="hy-AM"/>
              </w:rPr>
            </w:pPr>
            <w:r>
              <w:rPr>
                <w:rFonts w:ascii="GHEA Grapalat" w:hAnsi="GHEA Grapalat"/>
                <w:sz w:val="24"/>
                <w:szCs w:val="24"/>
                <w:lang w:val="hy-AM"/>
              </w:rPr>
              <w:t>Շահառու դառնալուց հետո շահառու լինելուց դադարելը տեղի է ունենում, երբ ավարտվել է աջակցության ժամկետը կամ ամբողջությամբ մարվել է պարտավորությունը, հետևաբար վարկի դասի փոփոխությունը չի բերի շահառուի՝ նախագծից դուրս մնալուն</w:t>
            </w:r>
          </w:p>
          <w:p>
            <w:pPr>
              <w:spacing w:line="288" w:lineRule="auto"/>
              <w:rPr>
                <w:rFonts w:ascii="GHEA Grapalat" w:hAnsi="GHEA Grapalat"/>
                <w:bCs/>
                <w:color w:val="000000"/>
                <w:sz w:val="24"/>
                <w:szCs w:val="24"/>
                <w:shd w:val="clear" w:color="auto" w:fill="FFFFFF"/>
                <w:lang w:val="hy-AM"/>
              </w:rPr>
            </w:pPr>
          </w:p>
          <w:p>
            <w:pPr>
              <w:pStyle w:val="ListParagraph"/>
              <w:numPr>
                <w:ilvl w:val="0"/>
                <w:numId w:val="35"/>
              </w:numPr>
              <w:spacing w:line="288" w:lineRule="auto"/>
              <w:ind w:left="462"/>
              <w:rPr>
                <w:rFonts w:ascii="GHEA Grapalat" w:hAnsi="GHEA Grapalat"/>
                <w:b/>
                <w:color w:val="000000"/>
                <w:sz w:val="24"/>
                <w:szCs w:val="24"/>
                <w:shd w:val="clear" w:color="auto" w:fill="FFFFFF"/>
                <w:lang w:val="hy-AM"/>
              </w:rPr>
            </w:pPr>
            <w:r>
              <w:rPr>
                <w:rFonts w:ascii="GHEA Grapalat" w:hAnsi="GHEA Grapalat"/>
                <w:sz w:val="24"/>
                <w:szCs w:val="24"/>
                <w:lang w:val="hy-AM"/>
              </w:rPr>
              <w:t>բոլոր պարտավորությունների նկատմամբ, հստակեցվել է նախագիծը</w:t>
            </w:r>
          </w:p>
          <w:p>
            <w:pPr>
              <w:pStyle w:val="ListParagraph"/>
              <w:rPr>
                <w:rFonts w:ascii="GHEA Grapalat" w:hAnsi="GHEA Grapalat"/>
                <w:b/>
                <w:color w:val="000000"/>
                <w:sz w:val="24"/>
                <w:szCs w:val="24"/>
                <w:shd w:val="clear" w:color="auto" w:fill="FFFFFF"/>
                <w:lang w:val="hy-AM"/>
              </w:rPr>
            </w:pPr>
          </w:p>
          <w:p>
            <w:pPr>
              <w:pStyle w:val="ListParagraph"/>
              <w:numPr>
                <w:ilvl w:val="0"/>
                <w:numId w:val="35"/>
              </w:numPr>
              <w:spacing w:line="288" w:lineRule="auto"/>
              <w:ind w:left="462"/>
              <w:rPr>
                <w:rFonts w:ascii="GHEA Grapalat" w:hAnsi="GHEA Grapalat"/>
                <w:sz w:val="24"/>
                <w:szCs w:val="24"/>
                <w:lang w:val="hy-AM"/>
              </w:rPr>
            </w:pPr>
            <w:r>
              <w:rPr>
                <w:rFonts w:ascii="GHEA Grapalat" w:hAnsi="GHEA Grapalat"/>
                <w:sz w:val="24"/>
                <w:szCs w:val="24"/>
                <w:lang w:val="hy-AM"/>
              </w:rPr>
              <w:t>նախագծով նախատեսվում է, որ վարկավորողը պետք է լինի լիցենզավորված ԿԲ-ի կողմից, հետևաբար լիցենզիան դադարեցված կազմակերպությունների վարկառուն տվյալ վ/կ-ից ստացված վարկի մասով չի կարող դառնալ շահառու</w:t>
            </w:r>
          </w:p>
          <w:p>
            <w:pPr>
              <w:pStyle w:val="ListParagraph"/>
              <w:rPr>
                <w:rFonts w:ascii="GHEA Grapalat" w:hAnsi="GHEA Grapalat"/>
                <w:sz w:val="24"/>
                <w:szCs w:val="24"/>
                <w:lang w:val="hy-AM"/>
              </w:rPr>
            </w:pPr>
          </w:p>
          <w:p>
            <w:pPr>
              <w:pStyle w:val="ListParagraph"/>
              <w:numPr>
                <w:ilvl w:val="0"/>
                <w:numId w:val="35"/>
              </w:numPr>
              <w:spacing w:line="288" w:lineRule="auto"/>
              <w:ind w:left="462"/>
              <w:rPr>
                <w:rFonts w:ascii="GHEA Grapalat" w:hAnsi="GHEA Grapalat"/>
                <w:sz w:val="24"/>
                <w:szCs w:val="24"/>
                <w:lang w:val="hy-AM"/>
              </w:rPr>
            </w:pPr>
            <w:r>
              <w:rPr>
                <w:rFonts w:ascii="GHEA Grapalat" w:hAnsi="GHEA Grapalat"/>
                <w:sz w:val="24"/>
                <w:szCs w:val="24"/>
                <w:lang w:val="hy-AM"/>
              </w:rPr>
              <w:t xml:space="preserve">Վարկառուների անհուսալի վարկերի գծով կուտակված ժամկետանց տոկոսների, տույժերի և տուգանքների </w:t>
            </w:r>
            <w:r>
              <w:rPr>
                <w:rFonts w:ascii="GHEA Grapalat" w:hAnsi="GHEA Grapalat"/>
                <w:sz w:val="24"/>
                <w:szCs w:val="24"/>
                <w:lang w:val="hy-AM"/>
              </w:rPr>
              <w:lastRenderedPageBreak/>
              <w:t>ներման թեմայով ՀԲՄ-ի կողմից քննարկումներ են անցկացվել բանկերի հետ, և միասնական մոտեցում է որդեգրվել, որ վարկառուի կուտակված ժամկետանց տոկոսների, տույժերի և տուգանքների 80%-ը կներվի շահառու ճանաչվելուց հետո, իսկ չափը որոշվել է՝ հաշվի առնելով ներման հետևանքով առաջացող հարկային պարտավորությունները</w:t>
            </w:r>
          </w:p>
          <w:p>
            <w:pPr>
              <w:pStyle w:val="ListParagraph"/>
              <w:rPr>
                <w:rFonts w:ascii="GHEA Grapalat" w:hAnsi="GHEA Grapalat"/>
                <w:sz w:val="24"/>
                <w:szCs w:val="24"/>
                <w:lang w:val="hy-AM"/>
              </w:rPr>
            </w:pPr>
          </w:p>
          <w:p>
            <w:pPr>
              <w:pStyle w:val="ListParagraph"/>
              <w:numPr>
                <w:ilvl w:val="0"/>
                <w:numId w:val="35"/>
              </w:numPr>
              <w:spacing w:line="288" w:lineRule="auto"/>
              <w:ind w:left="462"/>
              <w:rPr>
                <w:rFonts w:ascii="GHEA Grapalat" w:hAnsi="GHEA Grapalat"/>
                <w:sz w:val="24"/>
                <w:szCs w:val="24"/>
                <w:lang w:val="hy-AM"/>
              </w:rPr>
            </w:pPr>
            <w:r>
              <w:rPr>
                <w:rFonts w:ascii="GHEA Grapalat" w:hAnsi="GHEA Grapalat"/>
                <w:sz w:val="24"/>
                <w:szCs w:val="24"/>
                <w:lang w:val="hy-AM"/>
              </w:rPr>
              <w:t>Աջակցության գումարները բանկերին ուղղվելու են կենսաթոշակների, նպաստների և պետական ֆինանսական այլ աջակցությունների վճարման մեխանիզմով, հետևաբար նոր համակարգի մշակում չի նախատեսվում</w:t>
            </w:r>
          </w:p>
        </w:tc>
      </w:tr>
      <w:tr>
        <w:tc>
          <w:tcPr>
            <w:tcW w:w="9918" w:type="dxa"/>
            <w:vAlign w:val="center"/>
          </w:tcPr>
          <w:p>
            <w:pPr>
              <w:pStyle w:val="ListParagraph"/>
              <w:numPr>
                <w:ilvl w:val="0"/>
                <w:numId w:val="2"/>
              </w:numPr>
              <w:spacing w:line="360" w:lineRule="auto"/>
              <w:jc w:val="center"/>
              <w:rPr>
                <w:rFonts w:ascii="GHEA Grapalat" w:hAnsi="GHEA Grapalat"/>
                <w:b/>
                <w:spacing w:val="-6"/>
                <w:sz w:val="24"/>
                <w:szCs w:val="24"/>
                <w:lang w:val="hy-AM"/>
              </w:rPr>
            </w:pPr>
            <w:r>
              <w:rPr>
                <w:rFonts w:ascii="GHEA Grapalat" w:hAnsi="GHEA Grapalat"/>
                <w:b/>
                <w:spacing w:val="-6"/>
                <w:sz w:val="24"/>
                <w:szCs w:val="24"/>
                <w:lang w:val="hy-AM"/>
              </w:rPr>
              <w:lastRenderedPageBreak/>
              <w:t>«ՀՀ</w:t>
            </w:r>
            <w:r>
              <w:rPr>
                <w:rFonts w:ascii="Calibri" w:hAnsi="Calibri" w:cs="Calibri"/>
                <w:b/>
                <w:spacing w:val="-6"/>
                <w:sz w:val="24"/>
                <w:szCs w:val="24"/>
                <w:lang w:val="hy-AM"/>
              </w:rPr>
              <w:t> </w:t>
            </w:r>
            <w:r>
              <w:rPr>
                <w:rFonts w:ascii="GHEA Grapalat" w:hAnsi="GHEA Grapalat"/>
                <w:b/>
                <w:spacing w:val="-6"/>
                <w:sz w:val="24"/>
                <w:szCs w:val="24"/>
                <w:lang w:val="hy-AM"/>
              </w:rPr>
              <w:t>Վարկային կազմակերպությունների ասոցիացիա» ՀԿ</w:t>
            </w:r>
          </w:p>
        </w:tc>
        <w:tc>
          <w:tcPr>
            <w:tcW w:w="5103" w:type="dxa"/>
          </w:tcPr>
          <w:p>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02.04.2024</w:t>
            </w:r>
          </w:p>
          <w:p>
            <w:pPr>
              <w:widowControl w:val="0"/>
              <w:spacing w:line="276" w:lineRule="auto"/>
              <w:ind w:right="210"/>
              <w:contextualSpacing/>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05-01/2</w:t>
            </w:r>
          </w:p>
        </w:tc>
      </w:tr>
      <w:tr>
        <w:tc>
          <w:tcPr>
            <w:tcW w:w="9918" w:type="dxa"/>
          </w:tcPr>
          <w:p>
            <w:pPr>
              <w:pStyle w:val="BodyText"/>
              <w:numPr>
                <w:ilvl w:val="0"/>
                <w:numId w:val="36"/>
              </w:numPr>
              <w:spacing w:before="240" w:line="276" w:lineRule="auto"/>
              <w:ind w:left="360"/>
              <w:rPr>
                <w:rFonts w:ascii="GHEA Grapalat" w:hAnsi="GHEA Grapalat"/>
                <w:szCs w:val="24"/>
                <w:lang w:val="hy-AM"/>
              </w:rPr>
            </w:pPr>
            <w:r>
              <w:rPr>
                <w:rFonts w:ascii="GHEA Grapalat" w:hAnsi="GHEA Grapalat"/>
                <w:szCs w:val="24"/>
                <w:lang w:val="hy-AM"/>
              </w:rPr>
              <w:t xml:space="preserve">Անհուսալի վարկային դասի սահմանում - Նախագծով առաջարկվող ձևակերպումից հստակ չէ, թե արդյո՞ք տվյալ սահմանումը վերաբերում է նաև սուբյեկտիվ մոտեցմամբ անհուսալի դասակարգված վարկերին ևս՝ անկախ ժամկետանց օրերի քանակից։ Առաջարկվում է Նախագծով հստակեցնել նշվածը, որի պարագայում անհրաժեշտ է սահմանման մեջ հղում տալ ԿԲ և Ֆինանսների նախարարության կողմից համատեղ որոշմամբ հաստատված կարգին (առանց կարգի կոնկրետ կետի հղման և ժամկետանց օրերի քանակը նշելու)՝ նշելով որ. </w:t>
            </w:r>
            <w:r>
              <w:rPr>
                <w:rFonts w:ascii="GHEA Grapalat" w:hAnsi="GHEA Grapalat"/>
                <w:i/>
                <w:iCs/>
                <w:szCs w:val="24"/>
                <w:lang w:val="hy-AM"/>
              </w:rPr>
              <w:t xml:space="preserve">«Հայաստանի Հանրապետության ֆինանսների նախարարի՝ 2021 թվականի հունիսի 16-ի թիվ 2-Ն և Հայաստանի Հանրապետության կենտրոնական բանկի խորհրդի՝ 2021 թվականի մարտի 30-ի թիվ 39-Ն՝ «Հայաստանի Հանրապետության տարածքում գործող բանկերի և վարկային կազմակերպությունների ֆինանսական ակտիվների դասակարգման և հնարավոր կորուստների պահուստների ձևավորման կարգը սահմանելու և Հայաստանի Հանրապետության կենտրոնական բանկի խորհրդի 1999 թվականի ապրիլի 23-ի թիվ 63 որոշումն ուժը կորցրած ճանաչելու մասին» համատեղ որոշմամբ հաստատված՝ </w:t>
            </w:r>
            <w:r>
              <w:rPr>
                <w:rFonts w:ascii="GHEA Grapalat" w:hAnsi="GHEA Grapalat"/>
                <w:i/>
                <w:iCs/>
                <w:szCs w:val="24"/>
                <w:lang w:val="hy-AM"/>
              </w:rPr>
              <w:lastRenderedPageBreak/>
              <w:t>«Հայաստանի Հանրապետության տարածքում գործող բանկերի և վարկային կազմակերպությունների ֆինանսական ակտիվների դասակարգման և հնարավոր կորուստների պահուստների ձևավորման կարգի» համաձայն համարվում է անհուսալի դասով դասակարգված վարկ, որն ունի առնվազն 3 տարվա վաղեմություն։</w:t>
            </w:r>
          </w:p>
          <w:p>
            <w:pPr>
              <w:pStyle w:val="BodyText"/>
              <w:numPr>
                <w:ilvl w:val="0"/>
                <w:numId w:val="36"/>
              </w:numPr>
              <w:spacing w:before="240" w:line="276" w:lineRule="auto"/>
              <w:ind w:left="360"/>
              <w:rPr>
                <w:rFonts w:ascii="GHEA Grapalat" w:hAnsi="GHEA Grapalat"/>
                <w:szCs w:val="24"/>
                <w:lang w:val="hy-AM"/>
              </w:rPr>
            </w:pPr>
            <w:r>
              <w:rPr>
                <w:rFonts w:ascii="GHEA Grapalat" w:hAnsi="GHEA Grapalat"/>
                <w:szCs w:val="24"/>
                <w:lang w:val="hy-AM"/>
              </w:rPr>
              <w:t>Աշխատողի սահմանում - արդյո՞ք ներառում է նաև ԱՁ և Ծառայությունների մատուցման պայմանագրով աշխատողներին։</w:t>
            </w:r>
          </w:p>
          <w:p>
            <w:pPr>
              <w:pStyle w:val="BodyText"/>
              <w:numPr>
                <w:ilvl w:val="0"/>
                <w:numId w:val="36"/>
              </w:numPr>
              <w:spacing w:before="240" w:line="276" w:lineRule="auto"/>
              <w:ind w:left="360"/>
              <w:rPr>
                <w:rFonts w:ascii="GHEA Grapalat" w:hAnsi="GHEA Grapalat"/>
                <w:szCs w:val="24"/>
                <w:lang w:val="hy-AM"/>
              </w:rPr>
            </w:pPr>
            <w:r>
              <w:rPr>
                <w:rFonts w:ascii="GHEA Grapalat" w:hAnsi="GHEA Grapalat"/>
                <w:szCs w:val="24"/>
                <w:lang w:val="hy-AM"/>
              </w:rPr>
              <w:t>Արդյո՞ք բոլոր վարկերը պետք է լինեն անհուսալի և արդյո՞ք միաժամանակ բոլոր անհուսալի վարկերն էլ լինեն առնվազն 3 տարվա վաղեմություն ունեցող, որպեսզի տվյալ անձը  հանդիսանա ծրագրի շահառու, քանի որ հնարավոր են դեպքեր, երբ տվյալ անձը ունենա միայն անհուսալի դասով դասակարգված վարկեր, բայց մեկ վարկը ունենա 3 տարի և ավել անհուսալի դասով դասակարգում, սակայն մեկ այլ վարկ՝ չնայած անհուսալի լինելուն, ավելի կարճ վաղեմության ժամկետ։</w:t>
            </w:r>
          </w:p>
          <w:p>
            <w:pPr>
              <w:pStyle w:val="BodyText"/>
              <w:numPr>
                <w:ilvl w:val="0"/>
                <w:numId w:val="36"/>
              </w:numPr>
              <w:spacing w:before="240" w:line="276" w:lineRule="auto"/>
              <w:ind w:left="360"/>
              <w:rPr>
                <w:rFonts w:ascii="GHEA Grapalat" w:hAnsi="GHEA Grapalat"/>
                <w:szCs w:val="24"/>
                <w:lang w:val="hy-AM"/>
              </w:rPr>
            </w:pPr>
            <w:r>
              <w:rPr>
                <w:rFonts w:ascii="GHEA Grapalat" w:hAnsi="GHEA Grapalat"/>
                <w:szCs w:val="24"/>
                <w:lang w:val="hy-AM"/>
              </w:rPr>
              <w:t>Անհրաժեշտ է հստակեցնել, թե արդյո՞ք երաշխավորները ևս կարող են համարվել Ծրագրի շահառու և ո՞ր պայմանների դեպքում (հարցը արդիական է հատկապես միաժամանակ վարկառու և երաշխավոր լինելու պարագայում)։</w:t>
            </w:r>
          </w:p>
          <w:p>
            <w:pPr>
              <w:pStyle w:val="BodyText"/>
              <w:numPr>
                <w:ilvl w:val="0"/>
                <w:numId w:val="36"/>
              </w:numPr>
              <w:spacing w:before="240" w:line="276" w:lineRule="auto"/>
              <w:ind w:left="360"/>
              <w:rPr>
                <w:rFonts w:ascii="GHEA Grapalat" w:hAnsi="GHEA Grapalat"/>
                <w:szCs w:val="24"/>
                <w:lang w:val="hy-AM"/>
              </w:rPr>
            </w:pPr>
            <w:r>
              <w:rPr>
                <w:rFonts w:ascii="GHEA Grapalat" w:hAnsi="GHEA Grapalat"/>
                <w:szCs w:val="24"/>
                <w:lang w:val="hy-AM"/>
              </w:rPr>
              <w:t xml:space="preserve">Անհրաժեշտ է հստակեցնել ժամկետային և ժամկետանց տոկոսագումարներ հասկացությունները: Վերոնշված հանգամանքը կարևոր է, քանի որ այս պարագայում, կախված ձևակերպումից, կարող են ծագել խնդիրներ վարկառուների ամբողջական պարտքը որոշելու/հաշվարկելու և այդ չափանիշով շահառու ճանաչելու համար, քանի որ վարկային բյուրո չի ներկայացվում/թարմացվում վարկառուների ամբողջական պարտքը՝ առնվազն ամսական սպասարկման վճարների, կուտակված տույժերի և տուգանային տոկոսների վերաբերյալ տեղեկատվությունը և միգուցե </w:t>
            </w:r>
            <w:r>
              <w:rPr>
                <w:rFonts w:ascii="GHEA Grapalat" w:hAnsi="GHEA Grapalat"/>
                <w:szCs w:val="24"/>
                <w:lang w:val="hy-AM"/>
              </w:rPr>
              <w:lastRenderedPageBreak/>
              <w:t>առավել նպատակահարմար է դիտարկել միայն մայր գումարի մնացորդների հանրագումարը 1 մլն-ը չգերազանցելու պայմանը, քանի որ տոկոսագումարների հաշվեգրման դադարեցումը յուրաքանչյուր ֆինանսական կազմակերպություն կարող է ինքնուրույն որոշել և արդյունքում կարող է առաջանալ ասիմետրիկ պատկեր։</w:t>
            </w:r>
          </w:p>
          <w:p>
            <w:pPr>
              <w:pStyle w:val="BodyText"/>
              <w:spacing w:before="240" w:line="276" w:lineRule="auto"/>
              <w:ind w:left="360"/>
              <w:rPr>
                <w:rFonts w:ascii="GHEA Grapalat" w:hAnsi="GHEA Grapalat"/>
                <w:szCs w:val="24"/>
                <w:lang w:val="hy-AM"/>
              </w:rPr>
            </w:pPr>
            <w:r>
              <w:rPr>
                <w:rFonts w:ascii="GHEA Grapalat" w:hAnsi="GHEA Grapalat"/>
                <w:szCs w:val="24"/>
                <w:lang w:val="hy-AM"/>
              </w:rPr>
              <w:t>Այս առումով, որպես խնդրի լուծման համար առաջարկվող տարբերակ, հնարավոր է Նախագծում տալ հետևյալ ձևակերպումը՝</w:t>
            </w:r>
          </w:p>
          <w:p>
            <w:pPr>
              <w:pStyle w:val="BodyText"/>
              <w:spacing w:before="240" w:line="276" w:lineRule="auto"/>
              <w:ind w:left="360"/>
              <w:rPr>
                <w:rFonts w:ascii="GHEA Grapalat" w:hAnsi="GHEA Grapalat"/>
                <w:szCs w:val="24"/>
                <w:lang w:val="hy-AM"/>
              </w:rPr>
            </w:pPr>
            <w:r>
              <w:rPr>
                <w:rFonts w:ascii="GHEA Grapalat" w:hAnsi="GHEA Grapalat"/>
                <w:szCs w:val="24"/>
                <w:lang w:val="hy-AM"/>
              </w:rPr>
              <w:t>«2024 թվականի ապրիլի 1-ի դրությամբ Հայաստանի Հանրապետության կենտրոնական բանկի կողմից լիցենզավորված առևտրային բանկ(եր)ում և (կամ) վարկային կազմակերպություն (ներ)ում, այդ թվում՝ որպես երաշխավոր կամ օրինական ժառանգորդ, ունեցած բոլոր վարկերն անհուսալի են, որի (որոնց) հանրագումարը (վարկի մայր գումարը և վարկի դուրս գրման պահի դրությամբ հաշվեգրված տոկոսագումարները), բացառությամբ տույժերի և տուգանքների՝ չի գերազանցում</w:t>
            </w:r>
            <w:r>
              <w:rPr>
                <w:rFonts w:ascii="Cambria Math" w:hAnsi="Cambria Math" w:cs="Cambria Math"/>
                <w:szCs w:val="24"/>
                <w:lang w:val="hy-AM"/>
              </w:rPr>
              <w:t>․․․</w:t>
            </w:r>
            <w:r>
              <w:rPr>
                <w:rFonts w:ascii="GHEA Grapalat" w:hAnsi="GHEA Grapalat"/>
                <w:szCs w:val="24"/>
                <w:lang w:val="hy-AM"/>
              </w:rPr>
              <w:t>»</w:t>
            </w:r>
          </w:p>
          <w:p>
            <w:pPr>
              <w:pStyle w:val="BodyText"/>
              <w:numPr>
                <w:ilvl w:val="0"/>
                <w:numId w:val="36"/>
              </w:numPr>
              <w:spacing w:before="240" w:line="276" w:lineRule="auto"/>
              <w:ind w:left="360"/>
              <w:rPr>
                <w:rFonts w:ascii="GHEA Grapalat" w:hAnsi="GHEA Grapalat"/>
                <w:szCs w:val="24"/>
                <w:lang w:val="hy-AM"/>
              </w:rPr>
            </w:pPr>
            <w:r>
              <w:rPr>
                <w:rFonts w:ascii="GHEA Grapalat" w:hAnsi="GHEA Grapalat"/>
                <w:szCs w:val="24"/>
                <w:lang w:val="hy-AM"/>
              </w:rPr>
              <w:t>Եթե շահառուն մահացել է, սակայն կա իրավահաջորդ, ապա անհրաժեշտ է Նախագծում հստակեցնել, որ այդ դեպքում բանկին փոխանցված աջակցության գումարը հետ չի վերադարձվում բյուջե և շարունակվում է պարտավորության մարումը։</w:t>
            </w:r>
          </w:p>
          <w:p>
            <w:pPr>
              <w:pStyle w:val="BodyText"/>
              <w:numPr>
                <w:ilvl w:val="0"/>
                <w:numId w:val="36"/>
              </w:numPr>
              <w:spacing w:before="240" w:line="276" w:lineRule="auto"/>
              <w:ind w:left="360"/>
              <w:rPr>
                <w:rFonts w:ascii="GHEA Grapalat" w:hAnsi="GHEA Grapalat"/>
                <w:szCs w:val="24"/>
                <w:lang w:val="hy-AM"/>
              </w:rPr>
            </w:pPr>
            <w:r>
              <w:rPr>
                <w:rFonts w:ascii="GHEA Grapalat" w:hAnsi="GHEA Grapalat"/>
                <w:szCs w:val="24"/>
                <w:lang w:val="hy-AM"/>
              </w:rPr>
              <w:t xml:space="preserve">Նախագծի ընդունման պարագայում իրավական նորմերի տարաբնույթ մեկնաբանություններից և հետագա թյուրիմացություններից խուսափելու, ինչպես նաև պարտապանների/ժամկետանց վարկառուների մոտ անհարկի սպասելիքներ և սխալ ակնկալիքներ չստեղծելու նկատառումից ելնելով՝ առաջարկվում է Նախագծում հստակեցնել, որ անհուսալի վարկեր ունեցող անձանց տնտեսական ակտիվության խթանման միջոցառման շահառու կարող են հանդիսանալ միայն այն </w:t>
            </w:r>
            <w:r>
              <w:rPr>
                <w:rFonts w:ascii="GHEA Grapalat" w:hAnsi="GHEA Grapalat"/>
                <w:szCs w:val="24"/>
                <w:lang w:val="hy-AM"/>
              </w:rPr>
              <w:lastRenderedPageBreak/>
              <w:t>պարտապանները, որոնք չունեն գույք, կամ եղած գույքը բավարար չէ կատարողական վարույթի շրջանակներում բռնագանձվող գումարը մարելու համար, ինչպես նաև կատարվում է պարբերաբար մուծումների բռնագանձման վերաբերյալ վճիռ։ Միաժամանակ առաջարկվում է բացառել այն շահառուներին, ում գծով առկա է Քաղաքացիական Օրենսգրքի 200-րդ հոդվածի հիման վրա դատական վճիռ: Այդ տեղեկությունը կարող է տրամադրվել ՀԿԱ ծառայության կողմից և ներառվել շահառուների նախնական ֆիլտրի մեջ:</w:t>
            </w:r>
          </w:p>
          <w:p>
            <w:pPr>
              <w:pStyle w:val="BodyText"/>
              <w:numPr>
                <w:ilvl w:val="0"/>
                <w:numId w:val="36"/>
              </w:numPr>
              <w:spacing w:before="240" w:line="276" w:lineRule="auto"/>
              <w:ind w:left="360"/>
              <w:rPr>
                <w:rFonts w:ascii="GHEA Grapalat" w:hAnsi="GHEA Grapalat"/>
                <w:szCs w:val="24"/>
                <w:lang w:val="hy-AM"/>
              </w:rPr>
            </w:pPr>
            <w:r>
              <w:rPr>
                <w:rFonts w:ascii="GHEA Grapalat" w:hAnsi="GHEA Grapalat"/>
                <w:szCs w:val="24"/>
                <w:lang w:val="hy-AM"/>
              </w:rPr>
              <w:t>Կարևոր է մինչև Նախագծի կիրառումը բոլոր հասարակական հարթակներով կատարել  քաղաքացիների պատշաճ իրազեկում, որպեսզի նվազագույնի հասցվի Նախագծին չհավակնող քաղաքացիների հոսքը դեպի բանկեր և վարկային ընկերություններ: Անհրաժեշտ է տեղեկացնել նաև նախաձեռնության ժամանակավոր լինելու մասին, որպեսզի քաղաքացիների մոտ սպասումներ չառաջանան՝ պետության կողմից անհուսալի վարկառուների աջակցության շարունակական լինելու վերաբերյալ: Պետք է հաշվի առնել բարեխիղճ վարկառուների վրա վարքագծային բացասական ազդեցություն չունենալու և սոցիալական անարդարության զգացում չհաղորդելու կարևորությունը և նշել, որ ծրագիրը տարածվում է այն անձանց վրա, ովքեր տևական ժամանակ է չեն կարողանում դուրս գալ ծանր ֆինանսական իրավիճակից և անհրաժեշտություն է առաջացել աջակցել վերջիններիս՝ վերականգնելու իրենց տնտեսական դերը հասարակությունում։</w:t>
            </w:r>
          </w:p>
          <w:p>
            <w:pPr>
              <w:pStyle w:val="BodyText"/>
              <w:numPr>
                <w:ilvl w:val="0"/>
                <w:numId w:val="36"/>
              </w:numPr>
              <w:spacing w:before="240" w:line="276" w:lineRule="auto"/>
              <w:ind w:left="360"/>
              <w:rPr>
                <w:rFonts w:ascii="GHEA Grapalat" w:hAnsi="GHEA Grapalat"/>
                <w:szCs w:val="24"/>
                <w:lang w:val="hy-AM"/>
              </w:rPr>
            </w:pPr>
            <w:r>
              <w:rPr>
                <w:rFonts w:ascii="GHEA Grapalat" w:hAnsi="GHEA Grapalat"/>
                <w:szCs w:val="24"/>
                <w:lang w:val="hy-AM"/>
              </w:rPr>
              <w:t xml:space="preserve">Նախագծի կարգավորումներից հասկանալի չէ նաև, թե Նախագծով սահմանված աջակցության ծրագրի շրջանակներում դատական ծախսերը արդյո՞ք ներառվում են մարման ենթակա պարտավորությունների հաշվարկի մեջ, եթե ոչ, ապա առաջարկվում է դա ևս ներառել։ Այդ մասին տեղեկությունը սակայն, հասանելի է միայն ֆինանսական ընկերություններին և ՀԿԱ ծառայությանը և ընդհանուր </w:t>
            </w:r>
            <w:r>
              <w:rPr>
                <w:rFonts w:ascii="GHEA Grapalat" w:hAnsi="GHEA Grapalat"/>
                <w:szCs w:val="24"/>
                <w:lang w:val="hy-AM"/>
              </w:rPr>
              <w:lastRenderedPageBreak/>
              <w:t>շտեմարաններում այն բացակայում է։ Վերոնշված ծախսերի մասով հստակեցումը կարևոր է նաև այն տեսանկյունից, երբ աջակցության դադարեցման մասին ՀԿԱ ծառայությունը Համակարգի միջոցով ստանում է ինքնաշխատ հաղորդագրություն և պետք է ստուգի իր մոտ առկա դատական ծախսի առկայությունը և նոր զրոյացնի պարտքը:</w:t>
            </w:r>
          </w:p>
          <w:p>
            <w:pPr>
              <w:pStyle w:val="BodyText"/>
              <w:numPr>
                <w:ilvl w:val="0"/>
                <w:numId w:val="36"/>
              </w:numPr>
              <w:spacing w:before="240" w:line="276" w:lineRule="auto"/>
              <w:ind w:left="360"/>
              <w:rPr>
                <w:rFonts w:ascii="GHEA Grapalat" w:hAnsi="GHEA Grapalat"/>
                <w:szCs w:val="24"/>
                <w:lang w:val="hy-AM"/>
              </w:rPr>
            </w:pPr>
            <w:r>
              <w:rPr>
                <w:rFonts w:ascii="GHEA Grapalat" w:hAnsi="GHEA Grapalat"/>
                <w:szCs w:val="24"/>
                <w:lang w:val="hy-AM"/>
              </w:rPr>
              <w:t>Բնակչության մեծ մասը չի տիրապետում Եսեմ համակարգին, առավել ևս չունի սարքեր, որոնցով  կարող են գործածել ծրագիրը: Առաջարկվում է ենք սոցիալական տարածքային կենտրոններում նշված անձանց համար ապահովել դիմելու հնարավորություն: Միաժամանակ, դիմումում բջջային հեռախոսահամար լրացնելու պայմանը հասկանալի չէ։</w:t>
            </w:r>
          </w:p>
          <w:p>
            <w:pPr>
              <w:pStyle w:val="BodyText"/>
              <w:numPr>
                <w:ilvl w:val="0"/>
                <w:numId w:val="36"/>
              </w:numPr>
              <w:spacing w:before="240" w:line="276" w:lineRule="auto"/>
              <w:ind w:left="360"/>
              <w:rPr>
                <w:rFonts w:ascii="GHEA Grapalat" w:hAnsi="GHEA Grapalat"/>
                <w:szCs w:val="24"/>
                <w:lang w:val="hy-AM"/>
              </w:rPr>
            </w:pPr>
            <w:r>
              <w:rPr>
                <w:rFonts w:ascii="GHEA Grapalat" w:hAnsi="GHEA Grapalat"/>
                <w:szCs w:val="24"/>
                <w:lang w:val="hy-AM"/>
              </w:rPr>
              <w:t xml:space="preserve">Կարող են լինել բազմաթիվ դեպքեր, երբ պարտապանի աշխատավարձից գանձված գումարի և աջակցությամբ տրամադրվող գումարների հանրագումարը չի բավարարի 24 ամսվա ընթացքում պարտավորությունների ամբողջական մարմանը: Ուստի առաջարկվում է Նախագծում հստակ նշել, որ աջակցության ժամկետի ավարտից հետո պարտապանի աշխատավարձից գանձումները կշարունակվեն մինչ պարտավորությունների ամբողջական մարումը: Տվյալ տեղեկատվությունը պետք է հստակ հաղորդվի/փոխանցվի շահառուներին հետագայում ավելորդ շահարկումներից զերծ մնալու նպատակով: </w:t>
            </w:r>
          </w:p>
          <w:p>
            <w:pPr>
              <w:pStyle w:val="BodyText"/>
              <w:numPr>
                <w:ilvl w:val="0"/>
                <w:numId w:val="36"/>
              </w:numPr>
              <w:spacing w:before="240" w:line="276" w:lineRule="auto"/>
              <w:ind w:left="360"/>
              <w:rPr>
                <w:rFonts w:ascii="GHEA Grapalat" w:hAnsi="GHEA Grapalat"/>
                <w:szCs w:val="24"/>
                <w:lang w:val="hy-AM"/>
              </w:rPr>
            </w:pPr>
            <w:r>
              <w:rPr>
                <w:rFonts w:ascii="GHEA Grapalat" w:hAnsi="GHEA Grapalat"/>
                <w:szCs w:val="24"/>
                <w:lang w:val="hy-AM"/>
              </w:rPr>
              <w:t>Որոշման մեջ անհրաժեշտ է կատարել լրացում, որի համաձայն՝ Շահառուների աջակցության ցուցակը և աջակցության գումարների փոխանցումը կատարվում է բանկերին և վարկային կազմակերպություններին:</w:t>
            </w:r>
          </w:p>
          <w:p>
            <w:pPr>
              <w:pStyle w:val="BodyText"/>
              <w:numPr>
                <w:ilvl w:val="0"/>
                <w:numId w:val="36"/>
              </w:numPr>
              <w:spacing w:before="240" w:line="276" w:lineRule="auto"/>
              <w:ind w:left="360"/>
              <w:rPr>
                <w:rFonts w:ascii="GHEA Grapalat" w:hAnsi="GHEA Grapalat"/>
                <w:szCs w:val="24"/>
                <w:lang w:val="hy-AM"/>
              </w:rPr>
            </w:pPr>
            <w:r>
              <w:rPr>
                <w:rFonts w:ascii="GHEA Grapalat" w:hAnsi="GHEA Grapalat"/>
                <w:szCs w:val="24"/>
                <w:lang w:val="hy-AM"/>
              </w:rPr>
              <w:t xml:space="preserve">Առաջարկվում է շահառուների ցուցակներից բացառել լուծարված ֆինանսական ընկերությունների պարտավորությունները (Բանկերի միության կողմից առաջարկվել </w:t>
            </w:r>
            <w:r>
              <w:rPr>
                <w:rFonts w:ascii="GHEA Grapalat" w:hAnsi="GHEA Grapalat"/>
                <w:szCs w:val="24"/>
                <w:lang w:val="hy-AM"/>
              </w:rPr>
              <w:lastRenderedPageBreak/>
              <w:t>է Ծրագրի ներքո դիտարկել նաև լուծարված ֆինանսական կազմակերպությունների վարկերը, եթե դրանք ցեսիայով են գնվել):</w:t>
            </w:r>
          </w:p>
        </w:tc>
        <w:tc>
          <w:tcPr>
            <w:tcW w:w="5103" w:type="dxa"/>
          </w:tcPr>
          <w:p>
            <w:pPr>
              <w:spacing w:line="288" w:lineRule="auto"/>
              <w:ind w:left="360"/>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Ստացվել է աշխատանքային կարգով</w:t>
            </w:r>
          </w:p>
          <w:p>
            <w:pPr>
              <w:pStyle w:val="ListParagraph"/>
              <w:numPr>
                <w:ilvl w:val="0"/>
                <w:numId w:val="37"/>
              </w:numPr>
              <w:spacing w:line="288" w:lineRule="auto"/>
              <w:ind w:left="462"/>
              <w:rPr>
                <w:rFonts w:ascii="GHEA Grapalat" w:hAnsi="GHEA Grapalat"/>
                <w:b/>
                <w:bCs/>
                <w:color w:val="000000"/>
                <w:sz w:val="24"/>
                <w:szCs w:val="24"/>
                <w:shd w:val="clear" w:color="auto" w:fill="FFFFFF"/>
                <w:lang w:val="hy-AM"/>
              </w:rPr>
            </w:pPr>
            <w:r>
              <w:rPr>
                <w:rFonts w:ascii="GHEA Grapalat" w:hAnsi="GHEA Grapalat"/>
                <w:b/>
                <w:bCs/>
                <w:sz w:val="24"/>
                <w:szCs w:val="24"/>
                <w:lang w:val="hy-AM"/>
              </w:rPr>
              <w:t xml:space="preserve">Առաջարկությունն ընդունվել է </w:t>
            </w: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numPr>
                <w:ilvl w:val="0"/>
                <w:numId w:val="37"/>
              </w:numPr>
              <w:spacing w:line="288" w:lineRule="auto"/>
              <w:ind w:left="462"/>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Այո, ներառում է: հստակեցվել է «Աշխատող» հասկացությունը նախագծում</w:t>
            </w:r>
          </w:p>
          <w:p>
            <w:pPr>
              <w:pStyle w:val="ListParagraph"/>
              <w:numPr>
                <w:ilvl w:val="0"/>
                <w:numId w:val="37"/>
              </w:numPr>
              <w:spacing w:line="288" w:lineRule="auto"/>
              <w:ind w:left="462"/>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«Անհուսալի վարկ» հասկացության սահմանմամբ բոլոր վարկերը պետք է ունենան անհուսալիության 3 տարվա վաղեմություն</w:t>
            </w:r>
          </w:p>
          <w:p>
            <w:pPr>
              <w:spacing w:line="288" w:lineRule="auto"/>
              <w:rPr>
                <w:rFonts w:ascii="GHEA Grapalat" w:hAnsi="GHEA Grapalat"/>
                <w:bCs/>
                <w:color w:val="000000"/>
                <w:sz w:val="24"/>
                <w:szCs w:val="24"/>
                <w:shd w:val="clear" w:color="auto" w:fill="FFFFFF"/>
                <w:lang w:val="hy-AM"/>
              </w:rPr>
            </w:pPr>
          </w:p>
          <w:p>
            <w:pPr>
              <w:spacing w:line="288" w:lineRule="auto"/>
              <w:rPr>
                <w:rFonts w:ascii="GHEA Grapalat" w:hAnsi="GHEA Grapalat"/>
                <w:bCs/>
                <w:color w:val="000000"/>
                <w:sz w:val="24"/>
                <w:szCs w:val="24"/>
                <w:shd w:val="clear" w:color="auto" w:fill="FFFFFF"/>
                <w:lang w:val="hy-AM"/>
              </w:rPr>
            </w:pPr>
          </w:p>
          <w:p>
            <w:pPr>
              <w:pStyle w:val="ListParagraph"/>
              <w:numPr>
                <w:ilvl w:val="0"/>
                <w:numId w:val="37"/>
              </w:numPr>
              <w:spacing w:line="288" w:lineRule="auto"/>
              <w:ind w:left="462"/>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Շահառուի չափորոշիչներում երաշխավորը նույնպես հանդես է գալիս որպես պոտենցիալ շահառու, եթե համապատասխանում է շահառուին ներկայացվող մնացած բոլոր չափանիշներին</w:t>
            </w:r>
          </w:p>
          <w:p>
            <w:pPr>
              <w:pStyle w:val="ListParagraph"/>
              <w:numPr>
                <w:ilvl w:val="0"/>
                <w:numId w:val="37"/>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Առաջարկն ընդունվել է մասամբ։ </w:t>
            </w:r>
            <w:r>
              <w:rPr>
                <w:rFonts w:ascii="GHEA Grapalat" w:hAnsi="GHEA Grapalat"/>
                <w:bCs/>
                <w:color w:val="000000"/>
                <w:sz w:val="24"/>
                <w:szCs w:val="24"/>
                <w:shd w:val="clear" w:color="auto" w:fill="FFFFFF"/>
                <w:lang w:val="hy-AM"/>
              </w:rPr>
              <w:t>Որպես հաշվարկի հիմք է վերցվել բոլոր անհուսալի վարկերի մայր գումարների հանրագումարը</w:t>
            </w: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numPr>
                <w:ilvl w:val="0"/>
                <w:numId w:val="37"/>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Առաջարկը չի ընդունվել։</w:t>
            </w:r>
            <w:r>
              <w:rPr>
                <w:rFonts w:ascii="GHEA Grapalat" w:hAnsi="GHEA Grapalat"/>
                <w:bCs/>
                <w:color w:val="000000"/>
                <w:sz w:val="24"/>
                <w:szCs w:val="24"/>
                <w:shd w:val="clear" w:color="auto" w:fill="FFFFFF"/>
                <w:lang w:val="hy-AM"/>
              </w:rPr>
              <w:t xml:space="preserve"> Հստակեցման կարիք չկա, քանի որ շահառուի մահը աջակցության գումարի վերադարձ չի ենթադրում (նախատեսում)</w:t>
            </w:r>
          </w:p>
          <w:p>
            <w:pPr>
              <w:pStyle w:val="ListParagraph"/>
              <w:numPr>
                <w:ilvl w:val="0"/>
                <w:numId w:val="37"/>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Առաջարկը չի ընդունվել։</w:t>
            </w:r>
            <w:r>
              <w:rPr>
                <w:rFonts w:ascii="GHEA Grapalat" w:hAnsi="GHEA Grapalat"/>
                <w:bCs/>
                <w:color w:val="000000"/>
                <w:sz w:val="24"/>
                <w:szCs w:val="24"/>
                <w:shd w:val="clear" w:color="auto" w:fill="FFFFFF"/>
                <w:lang w:val="hy-AM"/>
              </w:rPr>
              <w:t xml:space="preserve"> Ծրագրի շահառու դառնալու պայմաններն արդեն քննարկված և համաձայնեցված են բոլոր շահագրգիռ կողմերի հետ, և առաջարկվող փոփոխությունը կբերի ծրագրի պայմանների էական </w:t>
            </w:r>
            <w:r>
              <w:rPr>
                <w:rFonts w:ascii="GHEA Grapalat" w:hAnsi="GHEA Grapalat"/>
                <w:bCs/>
                <w:color w:val="000000"/>
                <w:sz w:val="24"/>
                <w:szCs w:val="24"/>
                <w:shd w:val="clear" w:color="auto" w:fill="FFFFFF"/>
                <w:lang w:val="hy-AM"/>
              </w:rPr>
              <w:lastRenderedPageBreak/>
              <w:t>փոփոխությունների, ինչը այս փուլում այլևս նպատակահարմար չէ</w:t>
            </w: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numPr>
                <w:ilvl w:val="0"/>
                <w:numId w:val="37"/>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Առաջարկությունն ընդունվել է</w:t>
            </w:r>
            <w:r>
              <w:rPr>
                <w:rFonts w:ascii="GHEA Grapalat" w:hAnsi="GHEA Grapalat"/>
                <w:bCs/>
                <w:color w:val="000000"/>
                <w:sz w:val="24"/>
                <w:szCs w:val="24"/>
                <w:shd w:val="clear" w:color="auto" w:fill="FFFFFF"/>
                <w:lang w:val="hy-AM"/>
              </w:rPr>
              <w:t>։ Նախատեսվում է ծրագրի վերաբերյալ պատշաճ իրազեկում ապահովել</w:t>
            </w:r>
          </w:p>
          <w:p>
            <w:pPr>
              <w:spacing w:line="288" w:lineRule="auto"/>
              <w:rPr>
                <w:rFonts w:ascii="GHEA Grapalat" w:hAnsi="GHEA Grapalat"/>
                <w:bCs/>
                <w:color w:val="000000"/>
                <w:sz w:val="24"/>
                <w:szCs w:val="24"/>
                <w:shd w:val="clear" w:color="auto" w:fill="FFFFFF"/>
                <w:lang w:val="hy-AM"/>
              </w:rPr>
            </w:pPr>
          </w:p>
          <w:p>
            <w:pPr>
              <w:spacing w:line="288" w:lineRule="auto"/>
              <w:rPr>
                <w:rFonts w:ascii="GHEA Grapalat" w:hAnsi="GHEA Grapalat"/>
                <w:bCs/>
                <w:color w:val="000000"/>
                <w:sz w:val="24"/>
                <w:szCs w:val="24"/>
                <w:shd w:val="clear" w:color="auto" w:fill="FFFFFF"/>
                <w:lang w:val="hy-AM"/>
              </w:rPr>
            </w:pPr>
          </w:p>
          <w:p>
            <w:pPr>
              <w:spacing w:line="288" w:lineRule="auto"/>
              <w:rPr>
                <w:rFonts w:ascii="GHEA Grapalat" w:hAnsi="GHEA Grapalat"/>
                <w:bCs/>
                <w:color w:val="000000"/>
                <w:sz w:val="24"/>
                <w:szCs w:val="24"/>
                <w:shd w:val="clear" w:color="auto" w:fill="FFFFFF"/>
                <w:lang w:val="hy-AM"/>
              </w:rPr>
            </w:pPr>
          </w:p>
          <w:p>
            <w:pPr>
              <w:spacing w:line="288" w:lineRule="auto"/>
              <w:rPr>
                <w:rFonts w:ascii="GHEA Grapalat" w:hAnsi="GHEA Grapalat"/>
                <w:bCs/>
                <w:color w:val="000000"/>
                <w:sz w:val="24"/>
                <w:szCs w:val="24"/>
                <w:shd w:val="clear" w:color="auto" w:fill="FFFFFF"/>
                <w:lang w:val="hy-AM"/>
              </w:rPr>
            </w:pPr>
          </w:p>
          <w:p>
            <w:pPr>
              <w:spacing w:line="288" w:lineRule="auto"/>
              <w:rPr>
                <w:rFonts w:ascii="GHEA Grapalat" w:hAnsi="GHEA Grapalat"/>
                <w:bCs/>
                <w:color w:val="000000"/>
                <w:sz w:val="24"/>
                <w:szCs w:val="24"/>
                <w:shd w:val="clear" w:color="auto" w:fill="FFFFFF"/>
                <w:lang w:val="hy-AM"/>
              </w:rPr>
            </w:pPr>
          </w:p>
          <w:p>
            <w:pPr>
              <w:spacing w:line="288" w:lineRule="auto"/>
              <w:rPr>
                <w:rFonts w:ascii="GHEA Grapalat" w:hAnsi="GHEA Grapalat"/>
                <w:bCs/>
                <w:color w:val="000000"/>
                <w:sz w:val="24"/>
                <w:szCs w:val="24"/>
                <w:shd w:val="clear" w:color="auto" w:fill="FFFFFF"/>
                <w:lang w:val="hy-AM"/>
              </w:rPr>
            </w:pPr>
          </w:p>
          <w:p>
            <w:pPr>
              <w:spacing w:line="288" w:lineRule="auto"/>
              <w:rPr>
                <w:rFonts w:ascii="GHEA Grapalat" w:hAnsi="GHEA Grapalat"/>
                <w:bCs/>
                <w:color w:val="000000"/>
                <w:sz w:val="24"/>
                <w:szCs w:val="24"/>
                <w:shd w:val="clear" w:color="auto" w:fill="FFFFFF"/>
                <w:lang w:val="hy-AM"/>
              </w:rPr>
            </w:pPr>
          </w:p>
          <w:p>
            <w:pPr>
              <w:spacing w:line="288" w:lineRule="auto"/>
              <w:rPr>
                <w:rFonts w:ascii="GHEA Grapalat" w:hAnsi="GHEA Grapalat"/>
                <w:bCs/>
                <w:color w:val="000000"/>
                <w:sz w:val="24"/>
                <w:szCs w:val="24"/>
                <w:shd w:val="clear" w:color="auto" w:fill="FFFFFF"/>
                <w:lang w:val="hy-AM"/>
              </w:rPr>
            </w:pPr>
          </w:p>
          <w:p>
            <w:pPr>
              <w:spacing w:line="288" w:lineRule="auto"/>
              <w:rPr>
                <w:rFonts w:ascii="GHEA Grapalat" w:hAnsi="GHEA Grapalat"/>
                <w:bCs/>
                <w:color w:val="000000"/>
                <w:sz w:val="24"/>
                <w:szCs w:val="24"/>
                <w:shd w:val="clear" w:color="auto" w:fill="FFFFFF"/>
                <w:lang w:val="hy-AM"/>
              </w:rPr>
            </w:pPr>
          </w:p>
          <w:p>
            <w:pPr>
              <w:pStyle w:val="ListParagraph"/>
              <w:numPr>
                <w:ilvl w:val="0"/>
                <w:numId w:val="37"/>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Առաջարկությունը չի ընդունվել։</w:t>
            </w:r>
            <w:r>
              <w:rPr>
                <w:rFonts w:ascii="GHEA Grapalat" w:hAnsi="GHEA Grapalat"/>
                <w:bCs/>
                <w:color w:val="000000"/>
                <w:sz w:val="24"/>
                <w:szCs w:val="24"/>
                <w:shd w:val="clear" w:color="auto" w:fill="FFFFFF"/>
                <w:lang w:val="hy-AM"/>
              </w:rPr>
              <w:t xml:space="preserve"> Դատական ծախսերը, որպես ածանցյալ վճարումներ, ուղղակի չեն բխում կոնկրետ վարկային պարտավորության պայմաններից (մայր գումար, տոկոսագումար, ժամկետ և այլն), </w:t>
            </w:r>
            <w:r>
              <w:rPr>
                <w:rFonts w:ascii="GHEA Grapalat" w:hAnsi="GHEA Grapalat"/>
                <w:bCs/>
                <w:color w:val="000000"/>
                <w:sz w:val="24"/>
                <w:szCs w:val="24"/>
                <w:shd w:val="clear" w:color="auto" w:fill="FFFFFF"/>
                <w:lang w:val="hy-AM"/>
              </w:rPr>
              <w:lastRenderedPageBreak/>
              <w:t>հետևաբար նպատակահարմար չէ հարակից ծախսերը ներառել պետական աջակցության մեջ։</w:t>
            </w: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numPr>
                <w:ilvl w:val="0"/>
                <w:numId w:val="37"/>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Առաջարկը չի ընդունվել։</w:t>
            </w:r>
            <w:r>
              <w:rPr>
                <w:rFonts w:ascii="GHEA Grapalat" w:hAnsi="GHEA Grapalat"/>
                <w:bCs/>
                <w:color w:val="000000"/>
                <w:sz w:val="24"/>
                <w:szCs w:val="24"/>
                <w:shd w:val="clear" w:color="auto" w:fill="FFFFFF"/>
                <w:lang w:val="hy-AM"/>
              </w:rPr>
              <w:t xml:space="preserve"> «Եսեմ» համակարգը կիրառելու հնարավորությունները շատ պարզ են, հետևաբար այն մեծ հաշվով չի կարող խոչընդոտ հանդիսանալ ծրագրի իրացման համար, իսկ բջջային հեռախոսահամարի տրամադրումն անհրաժեշտ է հետագա ծանուցումների և հետադարձ կապն ապահովելու համար։</w:t>
            </w:r>
          </w:p>
          <w:p>
            <w:pPr>
              <w:pStyle w:val="ListParagraph"/>
              <w:numPr>
                <w:ilvl w:val="0"/>
                <w:numId w:val="37"/>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Առաջարկությունը չի ընդունվել։</w:t>
            </w:r>
            <w:r>
              <w:rPr>
                <w:rFonts w:ascii="GHEA Grapalat" w:hAnsi="GHEA Grapalat"/>
                <w:bCs/>
                <w:color w:val="000000"/>
                <w:sz w:val="24"/>
                <w:szCs w:val="24"/>
                <w:shd w:val="clear" w:color="auto" w:fill="FFFFFF"/>
                <w:lang w:val="hy-AM"/>
              </w:rPr>
              <w:t xml:space="preserve"> Ծրագրի նպատակը այն է, որ շահառուն ջանքեր գործադրի, որ մինչև 1 մլն դրամ իր պարտավորությունը 24 ամսվա ընթացքում իրականացնի, հավելյալ երաշխիքները կթուլացնի նպատակին ուղղված մոտիվացիաները։</w:t>
            </w:r>
          </w:p>
          <w:p>
            <w:pPr>
              <w:pStyle w:val="ListParagraph"/>
              <w:numPr>
                <w:ilvl w:val="0"/>
                <w:numId w:val="37"/>
              </w:numPr>
              <w:spacing w:line="288" w:lineRule="auto"/>
              <w:ind w:left="462"/>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Առաջարկը նախատեսված է Հավելվածի 10-րդ կետով</w:t>
            </w:r>
          </w:p>
          <w:p>
            <w:pPr>
              <w:pStyle w:val="ListParagraph"/>
              <w:numPr>
                <w:ilvl w:val="0"/>
                <w:numId w:val="37"/>
              </w:numPr>
              <w:spacing w:line="288" w:lineRule="auto"/>
              <w:ind w:left="462"/>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Առաջարկը ներառված է Հավելվածում</w:t>
            </w:r>
          </w:p>
        </w:tc>
      </w:tr>
      <w:tr>
        <w:tc>
          <w:tcPr>
            <w:tcW w:w="9918" w:type="dxa"/>
            <w:vAlign w:val="center"/>
          </w:tcPr>
          <w:p>
            <w:pPr>
              <w:pStyle w:val="ListParagraph"/>
              <w:numPr>
                <w:ilvl w:val="0"/>
                <w:numId w:val="2"/>
              </w:numPr>
              <w:spacing w:line="360" w:lineRule="auto"/>
              <w:jc w:val="center"/>
              <w:rPr>
                <w:rFonts w:ascii="GHEA Grapalat" w:hAnsi="GHEA Grapalat"/>
                <w:b/>
                <w:spacing w:val="-6"/>
                <w:sz w:val="24"/>
                <w:szCs w:val="24"/>
              </w:rPr>
            </w:pPr>
            <w:r>
              <w:rPr>
                <w:rFonts w:ascii="GHEA Grapalat" w:hAnsi="GHEA Grapalat"/>
                <w:b/>
                <w:spacing w:val="-6"/>
                <w:sz w:val="24"/>
                <w:szCs w:val="24"/>
                <w:lang w:val="hy-AM"/>
              </w:rPr>
              <w:lastRenderedPageBreak/>
              <w:t>Հայաստանի արհմիությունների կոնֆեդերացիա</w:t>
            </w:r>
          </w:p>
        </w:tc>
        <w:tc>
          <w:tcPr>
            <w:tcW w:w="5103" w:type="dxa"/>
          </w:tcPr>
          <w:p>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16.01.2024</w:t>
            </w:r>
          </w:p>
          <w:p>
            <w:pPr>
              <w:widowControl w:val="0"/>
              <w:spacing w:line="276" w:lineRule="auto"/>
              <w:ind w:right="210"/>
              <w:contextualSpacing/>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05-01/2</w:t>
            </w:r>
          </w:p>
        </w:tc>
      </w:tr>
      <w:tr>
        <w:tc>
          <w:tcPr>
            <w:tcW w:w="9918" w:type="dxa"/>
          </w:tcPr>
          <w:p>
            <w:pPr>
              <w:pStyle w:val="NormalWeb"/>
              <w:shd w:val="clear" w:color="auto" w:fill="FFFFFF"/>
              <w:spacing w:before="0" w:beforeAutospacing="0" w:after="0" w:afterAutospacing="0" w:line="288" w:lineRule="auto"/>
              <w:jc w:val="both"/>
              <w:rPr>
                <w:rFonts w:ascii="GHEA Grapalat" w:hAnsi="GHEA Grapalat"/>
                <w:color w:val="000000" w:themeColor="text1"/>
                <w:lang w:val="hy-AM"/>
              </w:rPr>
            </w:pPr>
            <w:r>
              <w:rPr>
                <w:rFonts w:ascii="GHEA Grapalat" w:hAnsi="GHEA Grapalat"/>
                <w:color w:val="000000" w:themeColor="text1"/>
                <w:lang w:val="hy-AM"/>
              </w:rPr>
              <w:t>ՀՀ կառավարության որոշման նախագծի վերաբերյալ առաջարկություններ չունենք։</w:t>
            </w:r>
          </w:p>
        </w:tc>
        <w:tc>
          <w:tcPr>
            <w:tcW w:w="5103" w:type="dxa"/>
          </w:tcPr>
          <w:p>
            <w:pPr>
              <w:spacing w:line="288" w:lineRule="auto"/>
              <w:ind w:left="360"/>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tc>
      </w:tr>
      <w:tr>
        <w:tc>
          <w:tcPr>
            <w:tcW w:w="9918" w:type="dxa"/>
            <w:vAlign w:val="center"/>
          </w:tcPr>
          <w:p>
            <w:pPr>
              <w:pStyle w:val="ListParagraph"/>
              <w:numPr>
                <w:ilvl w:val="0"/>
                <w:numId w:val="2"/>
              </w:numPr>
              <w:spacing w:line="360" w:lineRule="auto"/>
              <w:jc w:val="center"/>
              <w:rPr>
                <w:rFonts w:ascii="GHEA Grapalat" w:hAnsi="GHEA Grapalat"/>
                <w:b/>
                <w:spacing w:val="-6"/>
                <w:sz w:val="24"/>
                <w:szCs w:val="24"/>
              </w:rPr>
            </w:pPr>
            <w:r>
              <w:rPr>
                <w:rFonts w:ascii="GHEA Grapalat" w:hAnsi="GHEA Grapalat"/>
                <w:b/>
                <w:spacing w:val="-6"/>
                <w:sz w:val="24"/>
                <w:szCs w:val="24"/>
                <w:lang w:val="hy-AM"/>
              </w:rPr>
              <w:t>Ֆինանսների նախարարություն</w:t>
            </w:r>
          </w:p>
        </w:tc>
        <w:tc>
          <w:tcPr>
            <w:tcW w:w="5103" w:type="dxa"/>
          </w:tcPr>
          <w:p>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14.11.2024</w:t>
            </w:r>
          </w:p>
          <w:p>
            <w:pPr>
              <w:widowControl w:val="0"/>
              <w:spacing w:line="276" w:lineRule="auto"/>
              <w:ind w:right="210"/>
              <w:contextualSpacing/>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 </w:t>
            </w:r>
            <w:r>
              <w:rPr>
                <w:rFonts w:ascii="GHEA Grapalat" w:hAnsi="GHEA Grapalat" w:cs="Times New Roman"/>
                <w:b/>
                <w:sz w:val="24"/>
                <w:szCs w:val="24"/>
                <w:lang w:val="hy-AM"/>
              </w:rPr>
              <w:t>01/34-2/24144-2024</w:t>
            </w:r>
          </w:p>
        </w:tc>
      </w:tr>
      <w:tr>
        <w:tc>
          <w:tcPr>
            <w:tcW w:w="9918" w:type="dxa"/>
          </w:tcPr>
          <w:p>
            <w:pPr>
              <w:pStyle w:val="NormalWeb"/>
              <w:numPr>
                <w:ilvl w:val="0"/>
                <w:numId w:val="40"/>
              </w:numPr>
              <w:shd w:val="clear" w:color="auto" w:fill="FFFFFF"/>
              <w:spacing w:before="0" w:beforeAutospacing="0" w:after="0" w:afterAutospacing="0" w:line="288" w:lineRule="auto"/>
              <w:jc w:val="both"/>
              <w:rPr>
                <w:rFonts w:ascii="GHEA Grapalat" w:hAnsi="GHEA Grapalat"/>
                <w:color w:val="000000" w:themeColor="text1"/>
                <w:lang w:val="hy-AM"/>
              </w:rPr>
            </w:pPr>
            <w:r>
              <w:rPr>
                <w:rFonts w:ascii="GHEA Grapalat" w:hAnsi="GHEA Grapalat"/>
                <w:lang w:val="hy-AM"/>
              </w:rPr>
              <w:t>Հայտնում ենք, որ հիմնախնդիրը կարիք ունի ավելի խորը ուսումնասիրության՝ պարզելու համար, թե անհուսալի վարկերի որ մասն է, որ պայմանավորված է օբյեկտիվ պատճառներով ի հայտ եկած անվճարունակությամբ, և որ մասն է, որ կապված է ֆիզիկական անձանց ոչ բարեխիղճ վարքագծով, որպեսզի չստացվի, որ կառավարությունը աջակցում է անբարեխիղճ վարքագծի դրսևորմանը։  Ընդ որում, կարևոր է հաշվի առնել, որ հիմնախնդիրը մի քանի հարթություններ ունի, որոնց թվում է անվճարունակության հետ կապված հարաբերությունները կարգավորող օրենսդրությունը, ֆինանսական կայունությունը (բացասական խթաններ չստեղծելը), ինչպես նաև զբաղվածության ապահովումն ու սոցիալական խնդիրները։ Հետևաբար, հիմնախնդրի լուծման ռազմավարական մոտեցումը պահանջում է ախտորոշել բոլոր հարթություններում առկա խնդիրներն ու առաջարկել համալիր լուծումներ։</w:t>
            </w: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numPr>
                <w:ilvl w:val="0"/>
                <w:numId w:val="40"/>
              </w:numPr>
              <w:shd w:val="clear" w:color="auto" w:fill="FFFFFF"/>
              <w:spacing w:before="0" w:beforeAutospacing="0" w:after="0" w:afterAutospacing="0" w:line="288" w:lineRule="auto"/>
              <w:jc w:val="both"/>
              <w:rPr>
                <w:rFonts w:ascii="GHEA Grapalat" w:hAnsi="GHEA Grapalat"/>
                <w:lang w:val="hy-AM"/>
              </w:rPr>
            </w:pPr>
            <w:r>
              <w:rPr>
                <w:rFonts w:ascii="GHEA Grapalat" w:hAnsi="GHEA Grapalat"/>
                <w:lang w:val="hy-AM"/>
              </w:rPr>
              <w:t xml:space="preserve">Ինչ վերաբերում է հենց Նախագծով առաջարկվող լուծմանը, ապա, ի լրումն նախորդ դիտարկման, պետք է նկատել, որ Նախագծի առաջացրած հնարավոր ծախսային բեռը և ռիսկերը պետական բյուջեի համար ամբողջությամբ բացահայտված չեն: Այսպես, Նախագծում հիմք ընդունված շահառուների քանակն ավելացվել է Նախագծի առաջնային տարբերակի համեմատությամբ (ամսական միջինում 11000 նոր շահառու, 12 ամիսների ընթացքում 133000` նախորդ տարբերակում ենթադրված ամսական միջինում 1000, 9 ամիսների ընթացքում 9000 շահառու ցուցանիշի դիմաց), սակայն առկա չեն ենթադրվող ցուցանիշի հիմքում ընկած հաշվարկները։ </w:t>
            </w: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numPr>
                <w:ilvl w:val="0"/>
                <w:numId w:val="40"/>
              </w:numPr>
              <w:shd w:val="clear" w:color="auto" w:fill="FFFFFF"/>
              <w:spacing w:before="0" w:beforeAutospacing="0" w:after="0" w:afterAutospacing="0" w:line="288" w:lineRule="auto"/>
              <w:jc w:val="both"/>
              <w:rPr>
                <w:rFonts w:ascii="GHEA Grapalat" w:hAnsi="GHEA Grapalat"/>
                <w:lang w:val="hy-AM"/>
              </w:rPr>
            </w:pPr>
            <w:r>
              <w:rPr>
                <w:rFonts w:ascii="GHEA Grapalat" w:hAnsi="GHEA Grapalat"/>
                <w:lang w:val="hy-AM"/>
              </w:rPr>
              <w:t xml:space="preserve">Միաժամանակ, հիմնավոր չէ այն ենթադրությունը, որ ծրագրի գործարկման դեպքում վարկը տրամադրած ֆինանսական կազմակերպությունները կներեն շահառուների՝ վարկի գծով առաջացած տույժերն ու տուգանքները 80%-ի չափով, ինչի հաշվառմամբ մեկ անձի գծով մարման ենթակա վարկային բեռը կկազմի </w:t>
            </w:r>
            <w:r>
              <w:rPr>
                <w:rFonts w:ascii="GHEA Grapalat" w:hAnsi="GHEA Grapalat"/>
                <w:lang w:val="hy-AM"/>
              </w:rPr>
              <w:lastRenderedPageBreak/>
              <w:t>434,600.0 դրամ։ Այսպիսի ենթադրությունները հարկաբյուջետային ռիսկեր են ստեղծում, որոնց կառավարման համար մեխանիզմներ չեն առաջարկվում։ Իրավական ակտի հիմնավորման մեջ նման ձևակերպումն ու ենթադրությունը բազմաթիվ խնդիրներ ու ռիսկեր է պարունակում՝ շուկայական հարաբերությունների խեղաթյուրման, ինչպես նաև հետագայում «բարոյական ռիսկերի» (moral hazard) առաջացման տեսքով։ Մասնավորապես, այն կարող է նպաստել տնտեսվարողների կողմից երկարաժամկետում անպատասխանատու ֆինանսական վարքագծին, ինչը կբարձրացնի ֆինանսական կայունության ռիսկերը (այս տեսանկյունից, կարևոր է ՀՀ ԿԲ դիրքորոշումը՝ որպես ֆինանսական կայունությունը ապահովելու սահմանադրական մանդատով օժտված կառույցի)։</w:t>
            </w: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numPr>
                <w:ilvl w:val="0"/>
                <w:numId w:val="40"/>
              </w:numPr>
              <w:shd w:val="clear" w:color="auto" w:fill="FFFFFF"/>
              <w:spacing w:before="0" w:beforeAutospacing="0" w:after="0" w:afterAutospacing="0" w:line="288" w:lineRule="auto"/>
              <w:jc w:val="both"/>
              <w:rPr>
                <w:rFonts w:ascii="GHEA Grapalat" w:hAnsi="GHEA Grapalat"/>
                <w:color w:val="000000" w:themeColor="text1"/>
                <w:lang w:val="hy-AM"/>
              </w:rPr>
            </w:pPr>
            <w:r>
              <w:rPr>
                <w:rFonts w:ascii="GHEA Grapalat" w:hAnsi="GHEA Grapalat"/>
                <w:lang w:val="hy-AM"/>
              </w:rPr>
              <w:t xml:space="preserve">Հաշվի առնելով հիմնավորման 1.1 կետում նշված ցուցանիշները (անհուսալի վարկ ունեցող ֆորմալ զբաղվածության մեջ գտնվող ֆիզիկական անձ վարկառուների 76%-ի աշխատավարձը ամսական 150,000.0 դրամից ցածր է, իսկ 60%-ինը՝ </w:t>
            </w:r>
            <w:r>
              <w:rPr>
                <w:rFonts w:ascii="GHEA Grapalat" w:hAnsi="GHEA Grapalat"/>
                <w:lang w:val="hy-AM"/>
              </w:rPr>
              <w:lastRenderedPageBreak/>
              <w:t>նվազագույն աշխատավարձից ցածր, իսկ միջին աշխատավարձը՝ շուրջ 145,000.0 է)` կարծում ենք, որ նպատակահարմար չէ ֆինանսական միջոցների հաշվարկում օգտագործել 2024թ.-ի օգոստոս ամսվա դրությամբ 282,568.0 դրամ կամ 25% դիսկոնտի չափի կիրառումից հետո 211,926.0 դրամ անվանական աշխատավարձի չափը։ Ընդ որում, անհրաժեշտ ֆինանսական միջոցների հաշվարկի հիմքում 145,000.0 դրամ միջին աշխատավարձի կիրառման դեպքում ձևավորվող եկամտային հարկը կազմում է ամսական 29,000.0 դրամ, իսկ ՀՀ ԱՆ ԴԱՀԿ ծառայության միջոցով վարկի մարմանն ուղղվող մասը 30,690.0 դրամ, արդյունքում` պետության աջակցության շնորհիվ վարկի մարմանն ուղղվող ամսական գումարը կկազմի 59,690.0 դրամ, ինչը նշանակում է, որ վարկային պարտավորության ամբողջական մարումը կիրականացվի ավելի քան 7 ամսվա ընթացքում։</w:t>
            </w:r>
          </w:p>
          <w:p>
            <w:pPr>
              <w:pStyle w:val="NormalWeb"/>
              <w:numPr>
                <w:ilvl w:val="0"/>
                <w:numId w:val="40"/>
              </w:numPr>
              <w:shd w:val="clear" w:color="auto" w:fill="FFFFFF"/>
              <w:spacing w:before="0" w:beforeAutospacing="0" w:after="0" w:afterAutospacing="0" w:line="288" w:lineRule="auto"/>
              <w:jc w:val="both"/>
              <w:rPr>
                <w:rFonts w:ascii="GHEA Grapalat" w:hAnsi="GHEA Grapalat"/>
                <w:color w:val="000000" w:themeColor="text1"/>
                <w:lang w:val="hy-AM"/>
              </w:rPr>
            </w:pPr>
            <w:r>
              <w:rPr>
                <w:rFonts w:ascii="GHEA Grapalat" w:hAnsi="GHEA Grapalat" w:cs="Calibri"/>
                <w:bCs/>
                <w:lang w:val="hy-AM"/>
              </w:rPr>
              <w:t xml:space="preserve">Համաձայն ներկայացված Նախագծի՝ շահառու համարվելու նախապայմաններից է այն, որ </w:t>
            </w:r>
            <w:r>
              <w:rPr>
                <w:rFonts w:ascii="GHEA Grapalat" w:hAnsi="GHEA Grapalat"/>
                <w:lang w:val="hy-AM"/>
              </w:rPr>
              <w:t xml:space="preserve">անձի՝ 2025 թվականի հունվարի 1-ի դրությամբ ՀՀ կենտրոնական բանկի կողմից լիցենզավորված առևտրային բանկերում կամ վարկային կազմակերպություններում որպես վարկառու ունեցած բոլոր վարկերն անհուսալի են, որոնց հանրագումարը (միայն վարկերի մայր գումարները) դիմելու օրվա դրությամբ չեն գերազանցում 1.0 մլն դրամը (համարժեք արտարժույթը): Հաշվի առնելով այն փաստը, որ ֆինանսական կառույցը իր փոխառուին տրամադրած վարկերի և դեբիտորական պարտքերի գծով դասակարգումը պետք է իրականացնի ելնելով բոլոր ֆինանսական կառույցների կողմից միևնույն փոխառուին վերոնշյալի գծով տրված միասնական ամենախիստ դասից, ինչը իրենից ենթադրում է, որ եթե վարկառուն, ըստ օբյեկտիվ չափանիշի (ժամկետանց օրերի թիվ), ունի անհուսալի և դեռևս ոչ ժամկետանց վարկ, ապա նրան </w:t>
            </w:r>
            <w:r>
              <w:rPr>
                <w:rFonts w:ascii="GHEA Grapalat" w:hAnsi="GHEA Grapalat"/>
                <w:lang w:val="hy-AM"/>
              </w:rPr>
              <w:lastRenderedPageBreak/>
              <w:t>դասակարգում են ամենախիստ, այն է՝ անհուսալի դասով՝  առաջարկում ենք, հնարավոր թյուրընկալումից խուսափելու համար խմբագրել՝ ձևակերպելով՝ «...եթե վարկառուի որևէ վարկն անհուսալի է...»:</w:t>
            </w:r>
          </w:p>
          <w:p>
            <w:pPr>
              <w:pStyle w:val="NormalWeb"/>
              <w:numPr>
                <w:ilvl w:val="0"/>
                <w:numId w:val="40"/>
              </w:numPr>
              <w:shd w:val="clear" w:color="auto" w:fill="FFFFFF"/>
              <w:spacing w:before="0" w:beforeAutospacing="0" w:after="0" w:afterAutospacing="0" w:line="288" w:lineRule="auto"/>
              <w:jc w:val="both"/>
              <w:rPr>
                <w:rFonts w:ascii="GHEA Grapalat" w:hAnsi="GHEA Grapalat"/>
                <w:lang w:val="hy-AM"/>
              </w:rPr>
            </w:pPr>
            <w:r>
              <w:rPr>
                <w:rFonts w:ascii="GHEA Grapalat" w:hAnsi="GHEA Grapalat"/>
                <w:lang w:val="hy-AM"/>
              </w:rPr>
              <w:t xml:space="preserve">Հիմնավորման մեջ նշվում է, որ տրամադրվելիք աջակցության պարագայում անձի կողմից վարկային պարտավորության մարումը միջինում կիրականացվի 6 ամսվա ընթացքում, մինչդեռ </w:t>
            </w:r>
            <w:r>
              <w:rPr>
                <w:rFonts w:ascii="GHEA Grapalat" w:hAnsi="GHEA Grapalat"/>
                <w:color w:val="000000" w:themeColor="text1"/>
                <w:lang w:val="hy-AM"/>
              </w:rPr>
              <w:t>աջակցությունը</w:t>
            </w:r>
            <w:r>
              <w:rPr>
                <w:rFonts w:ascii="GHEA Grapalat" w:hAnsi="GHEA Grapalat"/>
                <w:lang w:val="hy-AM"/>
              </w:rPr>
              <w:t xml:space="preserve"> նախատեսվում է տրամադրել 24 ամիս, մյուս կողմից 6 ամիս անց վարկային պարտավորությունները մարելուց հետո ակնկալվում է բյուջետային մուտքերի ավելացում՝ միջոցառման շրջանակում ֆորմալ զբաղվածության մեջ ընդգրկված անձանց եկամտային հարկերի տեսքով: Վերոգրյալի կապակցությամբ հարց է առաջանում, թե որն է վարկային պարտավորության կարճ ժամկետում մարման շարժառիթը այն դեպքում, երբ այժմ շուկայում կան բանկեր, որոնք խնդրահարույց հաճախորդների վարկերի մարման համար նախատեսում են նոր ժամանակացույց, մյուս կողմից, ինչպես նշված է Նախագծում, նախատեսվում է Հայաստանի բանկերի միության հետ համագործակցություն՝ Կենտրոնական բանկի կողմից լիցենզավորված բանկերի և վարկային կազմակերպությունների հետ կնքել համաձայնագիր, որով կսահմանվեն միջոցառումից բխող առանձնահատկությունները (հավանաբար վերջինս իր մեջ կընդգրկի նաև տվյալ վարկառուների համար անհուսալի վարկի մարման նոր ժամանակացույցի տրամադրում): </w:t>
            </w:r>
          </w:p>
          <w:p>
            <w:pPr>
              <w:pStyle w:val="NormalWeb"/>
              <w:numPr>
                <w:ilvl w:val="0"/>
                <w:numId w:val="40"/>
              </w:numPr>
              <w:shd w:val="clear" w:color="auto" w:fill="FFFFFF"/>
              <w:spacing w:before="0" w:beforeAutospacing="0" w:after="0" w:afterAutospacing="0" w:line="288" w:lineRule="auto"/>
              <w:jc w:val="both"/>
              <w:rPr>
                <w:rFonts w:ascii="GHEA Grapalat" w:hAnsi="GHEA Grapalat"/>
                <w:lang w:val="hy-AM"/>
              </w:rPr>
            </w:pPr>
            <w:r>
              <w:rPr>
                <w:rFonts w:ascii="GHEA Grapalat" w:hAnsi="GHEA Grapalat"/>
                <w:lang w:val="hy-AM"/>
              </w:rPr>
              <w:t xml:space="preserve">Միաժամանակ, ինչ լծակ կամ համոզմունք է առկա, որ վարկի մարումից հետո վարկառուն դեռևս կմնա ֆորմալ զբաղվածության մեջ՝ ապահովելով բյուջետային մուտքերի հոսք,  հետևաբար արդյոք եկամտային հարկի 100% վերադարձի և եկամուտների 20% բռնագանձման սահմանաչափերի որոշման հարցում հաշվի </w:t>
            </w:r>
            <w:r>
              <w:rPr>
                <w:rFonts w:ascii="GHEA Grapalat" w:hAnsi="GHEA Grapalat"/>
                <w:lang w:val="hy-AM"/>
              </w:rPr>
              <w:lastRenderedPageBreak/>
              <w:t>առնվել է անհուսալի վարկի մարման նոր ժամանակացույցի տրամադրման գործոնը:</w:t>
            </w: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numPr>
                <w:ilvl w:val="0"/>
                <w:numId w:val="40"/>
              </w:numPr>
              <w:shd w:val="clear" w:color="auto" w:fill="FFFFFF"/>
              <w:spacing w:before="0" w:beforeAutospacing="0" w:after="0" w:afterAutospacing="0" w:line="288" w:lineRule="auto"/>
              <w:jc w:val="both"/>
              <w:rPr>
                <w:rFonts w:ascii="GHEA Grapalat" w:hAnsi="GHEA Grapalat"/>
                <w:lang w:val="hy-AM"/>
              </w:rPr>
            </w:pPr>
            <w:r>
              <w:rPr>
                <w:rFonts w:ascii="GHEA Grapalat" w:hAnsi="GHEA Grapalat"/>
                <w:lang w:val="hy-AM"/>
              </w:rPr>
              <w:t xml:space="preserve">Հաշվի առնելով վերոգրյալը՝ անհասկանալի է ինչու  են հաշվարկներն իրականացվել այն ենթադրությամբ, որ ամենամսյա վճարը հստակ կկազմի «100% եկամտային հարկի վերադարձ գումարած 20% աշխատավարձի և դրան հավասարեցված վճարների բռնագանձում» չափով, այն դեպքում, երբ ավելի հավանական է, որ բանկի կողմից ներկայացվող ամսավճարը կլինի ավելի ցածր գումար, քանի որ վարկի 1.0 մլն մայր գումարի, (առավելագույն սահմանաչափ) 2 տարի մարման ժամկետի (աջակցության տրամադրման ժամկետ) և 15% տոկոսադրույքի (ԿԲ կողմից հրապարակվող 1 տարուց ավելի ժամկետով բանկային համակարգի կողմից տրամադրվող վարկերի միջին կշռված ցուցանիշ) պայմաններում ամենամսյա </w:t>
            </w:r>
            <w:r>
              <w:rPr>
                <w:rFonts w:ascii="GHEA Grapalat" w:hAnsi="GHEA Grapalat"/>
                <w:color w:val="000000" w:themeColor="text1"/>
                <w:lang w:val="hy-AM"/>
              </w:rPr>
              <w:t>հավասարաչափ</w:t>
            </w:r>
            <w:r>
              <w:rPr>
                <w:rFonts w:ascii="GHEA Grapalat" w:hAnsi="GHEA Grapalat"/>
                <w:lang w:val="hy-AM"/>
              </w:rPr>
              <w:t xml:space="preserve"> մարումը կազմում է 48,486.0 ՀՀ դրամ: </w:t>
            </w:r>
          </w:p>
          <w:p>
            <w:pPr>
              <w:pStyle w:val="NormalWeb"/>
              <w:numPr>
                <w:ilvl w:val="0"/>
                <w:numId w:val="40"/>
              </w:numPr>
              <w:shd w:val="clear" w:color="auto" w:fill="FFFFFF"/>
              <w:spacing w:before="0" w:beforeAutospacing="0" w:after="0" w:afterAutospacing="0" w:line="288" w:lineRule="auto"/>
              <w:jc w:val="both"/>
              <w:rPr>
                <w:rFonts w:ascii="GHEA Grapalat" w:hAnsi="GHEA Grapalat"/>
                <w:color w:val="000000" w:themeColor="text1"/>
                <w:lang w:val="hy-AM"/>
              </w:rPr>
            </w:pPr>
            <w:r>
              <w:rPr>
                <w:rFonts w:ascii="GHEA Grapalat" w:hAnsi="GHEA Grapalat"/>
                <w:lang w:val="hy-AM"/>
              </w:rPr>
              <w:lastRenderedPageBreak/>
              <w:t>Միաժամանակ, նախորդ դիտարկմամբ առաջարկել էինք սահմանել համապատասխան դրույթ, համաձայն որի՝ շահառուն նախկինում եկամտային հարկի ետվերադարձի այլ ծրագրերից օգտված լինելու դեպքում չի կարող օգտվել տվյալ աջակցությունից:</w:t>
            </w: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lang w:val="hy-AM"/>
              </w:rPr>
            </w:pPr>
          </w:p>
          <w:p>
            <w:pPr>
              <w:pStyle w:val="NormalWeb"/>
              <w:shd w:val="clear" w:color="auto" w:fill="FFFFFF"/>
              <w:spacing w:before="0" w:beforeAutospacing="0" w:after="0" w:afterAutospacing="0" w:line="288" w:lineRule="auto"/>
              <w:ind w:left="720"/>
              <w:jc w:val="both"/>
              <w:rPr>
                <w:rFonts w:ascii="GHEA Grapalat" w:hAnsi="GHEA Grapalat"/>
                <w:color w:val="000000" w:themeColor="text1"/>
                <w:lang w:val="hy-AM"/>
              </w:rPr>
            </w:pPr>
          </w:p>
          <w:p>
            <w:pPr>
              <w:pStyle w:val="NormalWeb"/>
              <w:numPr>
                <w:ilvl w:val="0"/>
                <w:numId w:val="40"/>
              </w:numPr>
              <w:shd w:val="clear" w:color="auto" w:fill="FFFFFF"/>
              <w:spacing w:before="0" w:beforeAutospacing="0" w:after="0" w:afterAutospacing="0" w:line="288" w:lineRule="auto"/>
              <w:jc w:val="both"/>
              <w:rPr>
                <w:rFonts w:ascii="GHEA Grapalat" w:hAnsi="GHEA Grapalat"/>
                <w:color w:val="000000"/>
                <w:lang w:val="hy-AM"/>
              </w:rPr>
            </w:pPr>
            <w:r>
              <w:rPr>
                <w:rFonts w:ascii="GHEA Grapalat" w:hAnsi="GHEA Grapalat"/>
                <w:color w:val="000000" w:themeColor="text1"/>
                <w:lang w:val="hy-AM"/>
              </w:rPr>
              <w:t>Առաջարկվել</w:t>
            </w:r>
            <w:r>
              <w:rPr>
                <w:rFonts w:ascii="GHEA Grapalat" w:hAnsi="GHEA Grapalat"/>
                <w:lang w:val="hy-AM"/>
              </w:rPr>
              <w:t xml:space="preserve"> էր քննարկել նաև վարկառուի ստանձնած պարտավորությունների պատշաճ կատարման համար երաշխավոր</w:t>
            </w:r>
            <w:r>
              <w:rPr>
                <w:rFonts w:ascii="GHEA Grapalat" w:hAnsi="GHEA Grapalat"/>
                <w:color w:val="000000"/>
                <w:lang w:val="hy-AM"/>
              </w:rPr>
              <w:t xml:space="preserve"> հանդես եկած անձանց նույնպես Նախագծի շահառուների շրջանակներում ներառելու նպատակահարմարության հարցը, քանի որ </w:t>
            </w:r>
            <w:r>
              <w:rPr>
                <w:rFonts w:ascii="GHEA Grapalat" w:hAnsi="GHEA Grapalat"/>
                <w:lang w:val="hy-AM"/>
              </w:rPr>
              <w:t>վերջիններս</w:t>
            </w:r>
            <w:r>
              <w:rPr>
                <w:rFonts w:ascii="GHEA Grapalat" w:hAnsi="GHEA Grapalat"/>
                <w:color w:val="000000"/>
                <w:lang w:val="hy-AM"/>
              </w:rPr>
              <w:t xml:space="preserve"> շատ դեպքերում ակամայից նույնպես հայտնվում են անհուսալի վարկային պարտավորություններ ստանձնածների ցանկում:</w:t>
            </w:r>
          </w:p>
          <w:p>
            <w:pPr>
              <w:pStyle w:val="NormalWeb"/>
              <w:shd w:val="clear" w:color="auto" w:fill="FFFFFF"/>
              <w:spacing w:before="0" w:beforeAutospacing="0" w:after="0" w:afterAutospacing="0" w:line="288" w:lineRule="auto"/>
              <w:jc w:val="both"/>
              <w:rPr>
                <w:rFonts w:ascii="GHEA Grapalat" w:hAnsi="GHEA Grapalat"/>
                <w:color w:val="000000"/>
                <w:lang w:val="hy-AM"/>
              </w:rPr>
            </w:pPr>
          </w:p>
          <w:p>
            <w:pPr>
              <w:pStyle w:val="NormalWeb"/>
              <w:shd w:val="clear" w:color="auto" w:fill="FFFFFF"/>
              <w:spacing w:before="0" w:beforeAutospacing="0" w:after="0" w:afterAutospacing="0" w:line="288" w:lineRule="auto"/>
              <w:jc w:val="both"/>
              <w:rPr>
                <w:rFonts w:ascii="GHEA Grapalat" w:hAnsi="GHEA Grapalat"/>
                <w:color w:val="000000"/>
                <w:lang w:val="hy-AM"/>
              </w:rPr>
            </w:pPr>
          </w:p>
          <w:p>
            <w:pPr>
              <w:pStyle w:val="NormalWeb"/>
              <w:shd w:val="clear" w:color="auto" w:fill="FFFFFF"/>
              <w:spacing w:before="0" w:beforeAutospacing="0" w:after="0" w:afterAutospacing="0" w:line="288" w:lineRule="auto"/>
              <w:jc w:val="both"/>
              <w:rPr>
                <w:rFonts w:ascii="GHEA Grapalat" w:hAnsi="GHEA Grapalat"/>
                <w:color w:val="000000"/>
                <w:lang w:val="hy-AM"/>
              </w:rPr>
            </w:pPr>
          </w:p>
          <w:p>
            <w:pPr>
              <w:pStyle w:val="NormalWeb"/>
              <w:shd w:val="clear" w:color="auto" w:fill="FFFFFF"/>
              <w:spacing w:before="0" w:beforeAutospacing="0" w:after="0" w:afterAutospacing="0" w:line="288" w:lineRule="auto"/>
              <w:jc w:val="both"/>
              <w:rPr>
                <w:rFonts w:ascii="GHEA Grapalat" w:hAnsi="GHEA Grapalat"/>
                <w:color w:val="000000"/>
                <w:lang w:val="hy-AM"/>
              </w:rPr>
            </w:pPr>
          </w:p>
          <w:p>
            <w:pPr>
              <w:pStyle w:val="NormalWeb"/>
              <w:shd w:val="clear" w:color="auto" w:fill="FFFFFF"/>
              <w:spacing w:before="0" w:beforeAutospacing="0" w:after="0" w:afterAutospacing="0" w:line="288" w:lineRule="auto"/>
              <w:jc w:val="both"/>
              <w:rPr>
                <w:rFonts w:ascii="GHEA Grapalat" w:hAnsi="GHEA Grapalat"/>
                <w:color w:val="000000"/>
                <w:lang w:val="hy-AM"/>
              </w:rPr>
            </w:pPr>
          </w:p>
          <w:p>
            <w:pPr>
              <w:pStyle w:val="NormalWeb"/>
              <w:shd w:val="clear" w:color="auto" w:fill="FFFFFF"/>
              <w:spacing w:before="0" w:beforeAutospacing="0" w:after="0" w:afterAutospacing="0" w:line="288" w:lineRule="auto"/>
              <w:jc w:val="both"/>
              <w:rPr>
                <w:rFonts w:ascii="GHEA Grapalat" w:hAnsi="GHEA Grapalat"/>
                <w:color w:val="000000"/>
                <w:lang w:val="hy-AM"/>
              </w:rPr>
            </w:pPr>
          </w:p>
          <w:p>
            <w:pPr>
              <w:pStyle w:val="NormalWeb"/>
              <w:shd w:val="clear" w:color="auto" w:fill="FFFFFF"/>
              <w:spacing w:before="0" w:beforeAutospacing="0" w:after="0" w:afterAutospacing="0" w:line="288" w:lineRule="auto"/>
              <w:jc w:val="both"/>
              <w:rPr>
                <w:rFonts w:ascii="GHEA Grapalat" w:hAnsi="GHEA Grapalat"/>
                <w:color w:val="000000"/>
                <w:lang w:val="hy-AM"/>
              </w:rPr>
            </w:pPr>
          </w:p>
          <w:p>
            <w:pPr>
              <w:pStyle w:val="NormalWeb"/>
              <w:shd w:val="clear" w:color="auto" w:fill="FFFFFF"/>
              <w:spacing w:before="0" w:beforeAutospacing="0" w:after="0" w:afterAutospacing="0" w:line="288" w:lineRule="auto"/>
              <w:jc w:val="both"/>
              <w:rPr>
                <w:rFonts w:ascii="GHEA Grapalat" w:hAnsi="GHEA Grapalat"/>
                <w:color w:val="000000"/>
                <w:lang w:val="hy-AM"/>
              </w:rPr>
            </w:pPr>
          </w:p>
          <w:p>
            <w:pPr>
              <w:pStyle w:val="NormalWeb"/>
              <w:shd w:val="clear" w:color="auto" w:fill="FFFFFF"/>
              <w:spacing w:before="0" w:beforeAutospacing="0" w:after="0" w:afterAutospacing="0" w:line="288" w:lineRule="auto"/>
              <w:jc w:val="both"/>
              <w:rPr>
                <w:rFonts w:ascii="GHEA Grapalat" w:hAnsi="GHEA Grapalat"/>
                <w:color w:val="000000"/>
                <w:lang w:val="hy-AM"/>
              </w:rPr>
            </w:pPr>
          </w:p>
          <w:p>
            <w:pPr>
              <w:pStyle w:val="NormalWeb"/>
              <w:numPr>
                <w:ilvl w:val="0"/>
                <w:numId w:val="40"/>
              </w:numPr>
              <w:shd w:val="clear" w:color="auto" w:fill="FFFFFF"/>
              <w:spacing w:before="0" w:beforeAutospacing="0" w:after="0" w:afterAutospacing="0" w:line="288" w:lineRule="auto"/>
              <w:jc w:val="both"/>
              <w:rPr>
                <w:rFonts w:ascii="GHEA Grapalat" w:hAnsi="GHEA Grapalat"/>
                <w:lang w:val="hy-AM"/>
              </w:rPr>
            </w:pPr>
            <w:r>
              <w:rPr>
                <w:rFonts w:ascii="GHEA Grapalat" w:hAnsi="GHEA Grapalat"/>
                <w:color w:val="000000"/>
                <w:lang w:val="hy-AM"/>
              </w:rPr>
              <w:t>Անդրադառնալով Նախագծի հիմնավորմամբ ներկայացված այն պնդմանը, որ առաջարկվող ծ</w:t>
            </w:r>
            <w:r>
              <w:rPr>
                <w:rFonts w:ascii="GHEA Grapalat" w:hAnsi="GHEA Grapalat"/>
                <w:lang w:val="hy-AM" w:eastAsia="ru-RU"/>
              </w:rPr>
              <w:t xml:space="preserve">րագրի իրականացմամբ ակնկալվում է լրացուցիչ 90,000 անձանց ֆորմալ զբաղվածության ապահովում (ներկայումս 218,000 պոտենցիալ շահառուներից ֆորմալ զբաղվածություն ունի մոտ 43,600-ը)՝ խնդրում ենք այս համատեքստում պարզաբանել, թե ծրագրի բարեհաջող իրականացման դեպքում այն ինչպիսի ազդեցություններ կունենա ներկայումս շրջանառվող </w:t>
            </w:r>
            <w:r>
              <w:rPr>
                <w:rFonts w:ascii="GHEA Grapalat" w:hAnsi="GHEA Grapalat" w:cs="Sylfaen"/>
                <w:lang w:val="hy-AM" w:eastAsia="ru-RU"/>
              </w:rPr>
              <w:t>Զբաղվածության 2024-2030թթ. ռազմավարական հնգամյա ծրագրի նպատակադրված վերջնարդյունքի վրա (շուրջ 870.0 մլրդ դրամ ֆինանսական ռեսուրս ներդնելով մինչև 2030 թվականը՝ ապահովել 250.0 հազար անձանց զբաղվածություն)՝ այդ թվում նախատեսվող ծախսերի գծով հավանական տնտեսումների ապահովման սցենարը:</w:t>
            </w:r>
          </w:p>
          <w:p>
            <w:pPr>
              <w:pStyle w:val="NormalWeb"/>
              <w:numPr>
                <w:ilvl w:val="0"/>
                <w:numId w:val="40"/>
              </w:numPr>
              <w:shd w:val="clear" w:color="auto" w:fill="FFFFFF"/>
              <w:spacing w:before="0" w:beforeAutospacing="0" w:after="0" w:afterAutospacing="0" w:line="288" w:lineRule="auto"/>
              <w:jc w:val="both"/>
              <w:rPr>
                <w:rFonts w:ascii="GHEA Grapalat" w:hAnsi="GHEA Grapalat"/>
                <w:color w:val="000000" w:themeColor="text1"/>
                <w:lang w:val="hy-AM"/>
              </w:rPr>
            </w:pPr>
            <w:r>
              <w:rPr>
                <w:rFonts w:ascii="GHEA Grapalat" w:hAnsi="GHEA Grapalat"/>
                <w:color w:val="000000"/>
                <w:lang w:val="hy-AM"/>
              </w:rPr>
              <w:t>Առաջարկում ենք անհուսալի վարկեր ունեցող անձանց զբաղվածության և տնտեսական ակտիվության հիմնախնդրին առավել համալիր մոտեցում ցուցաբերել՝ այդ թվում դիտարկելով հիմնախնդրի մնացած հարթությունները, ինչպես նաև ուսումնասիրել դրա լուծումների միջազգային փորձը։</w:t>
            </w:r>
          </w:p>
        </w:tc>
        <w:tc>
          <w:tcPr>
            <w:tcW w:w="5103" w:type="dxa"/>
          </w:tcPr>
          <w:p>
            <w:pPr>
              <w:pStyle w:val="ListParagraph"/>
              <w:numPr>
                <w:ilvl w:val="0"/>
                <w:numId w:val="41"/>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Առաջարկությունը չի ընդունվել։</w:t>
            </w:r>
            <w:r>
              <w:rPr>
                <w:rFonts w:ascii="GHEA Grapalat" w:hAnsi="GHEA Grapalat"/>
                <w:bCs/>
                <w:color w:val="000000"/>
                <w:sz w:val="24"/>
                <w:szCs w:val="24"/>
                <w:shd w:val="clear" w:color="auto" w:fill="FFFFFF"/>
                <w:lang w:val="hy-AM"/>
              </w:rPr>
              <w:t xml:space="preserve"> Պոտենցիալ շահառուների այն թիրախը, որը դիտարկվել է Ծրագրի շրջանակում, ունեն առնվազն 3 տարի և 271 օրվա ժամկետանց վարկային պարտավորություն, իսկ նշված ժամանակահատվածը զուգորդվել է սոցիալ-տնտեսական դժվարին իրավիճակներով և երևույթներով (համավարակ, 44-օրյա պատերազմ և այլն), ինչը օբյեկտիվորեն կամ սուբյեկտիվորեն կարող էր բազմաթիվ մարդկանց հասցնել նման իրավիճակի։ Բացի դրանից, առաջարկվող պարտքային վերին շեմը թույլ չի տալիս եզրակացնելու, որ 3 և ավել տարի անհուսալի դասակարգված վարկային </w:t>
            </w:r>
            <w:r>
              <w:rPr>
                <w:rFonts w:ascii="GHEA Grapalat" w:hAnsi="GHEA Grapalat"/>
                <w:bCs/>
                <w:color w:val="000000"/>
                <w:sz w:val="24"/>
                <w:szCs w:val="24"/>
                <w:shd w:val="clear" w:color="auto" w:fill="FFFFFF"/>
                <w:lang w:val="hy-AM"/>
              </w:rPr>
              <w:lastRenderedPageBreak/>
              <w:t>պարտավորություններ ունեցող վարկառուների շրջանակը  ֆինանսական օգուտներ ստանալու նպատակով միտումնավոր դրսևորել է անպարտաճանաչ վարքագիծ՝ հայտնվելով նման բարդ ու անելանելի իրավիճակում։ Հետևաբար, կարծում ենք, խորը հետզոտության անհրաժեշտությունը բացակայում է։</w:t>
            </w:r>
          </w:p>
          <w:p>
            <w:pPr>
              <w:pStyle w:val="ListParagraph"/>
              <w:numPr>
                <w:ilvl w:val="0"/>
                <w:numId w:val="41"/>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Առարկությունն ընդունվել է ի գիտություն։</w:t>
            </w:r>
            <w:r>
              <w:rPr>
                <w:rFonts w:ascii="GHEA Grapalat" w:hAnsi="GHEA Grapalat"/>
                <w:bCs/>
                <w:color w:val="000000"/>
                <w:sz w:val="24"/>
                <w:szCs w:val="24"/>
                <w:shd w:val="clear" w:color="auto" w:fill="FFFFFF"/>
                <w:lang w:val="hy-AM"/>
              </w:rPr>
              <w:t xml:space="preserve"> Դիմելիության և դիմողների թվի հետ կապված հաշվարկների հիմքում դրվել է այն գնահատականը, որ շոտենցիալ շահառուների շուրջ 60%-ը ծրագրի գործողության 1 տարվա ընթացքում հնարավորություն կգտնի գտնելու աշխատանք ֆորմալ զբաղվածությամբ և դառնալ Ծրագրի շահառու։</w:t>
            </w: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numPr>
                <w:ilvl w:val="0"/>
                <w:numId w:val="41"/>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Առարկությունը ընդունելի է, սակայն</w:t>
            </w:r>
            <w:r>
              <w:rPr>
                <w:rFonts w:ascii="GHEA Grapalat" w:hAnsi="GHEA Grapalat"/>
                <w:bCs/>
                <w:color w:val="000000"/>
                <w:sz w:val="24"/>
                <w:szCs w:val="24"/>
                <w:shd w:val="clear" w:color="auto" w:fill="FFFFFF"/>
                <w:lang w:val="hy-AM"/>
              </w:rPr>
              <w:t xml:space="preserve"> ՀՀ կենտրոնական բանկի և Հայաստանի բանկերի միության համատեղ կազմակերպված </w:t>
            </w:r>
            <w:r>
              <w:rPr>
                <w:rFonts w:ascii="GHEA Grapalat" w:hAnsi="GHEA Grapalat"/>
                <w:bCs/>
                <w:color w:val="000000"/>
                <w:sz w:val="24"/>
                <w:szCs w:val="24"/>
                <w:shd w:val="clear" w:color="auto" w:fill="FFFFFF"/>
                <w:lang w:val="hy-AM"/>
              </w:rPr>
              <w:lastRenderedPageBreak/>
              <w:t>քննարկումների արդյունքում ձեռք է բերվել միասնական պայմանավորվածություն գործող բոլոր բանկերի և ՎԿ-ների հետ առ այն, որ ծրագրի հաստատումից հետո կկնքվի համաձայնագիր ԱՍՀ նախարարության և կազմակերպությունների միջև՝ առաջացած տույժերի և տուգանքների 80%-ը ներելու վերաբերյալ։ Բացի այդ, տեղին համարելով բարձրացված հարցը՝ տեղեկացնում ենք, որ համաձայնագրի չկնքման ռիսկի առաջացման դեպքում Ծրագրի գործարկումը կդառնա անհնար, քանի որ դրանով կխաթարվի Ծրագրի տրամաբանությունը և ֆինանսական մոդելը չի գործի։ Այսինքն տվյալ պարագայում Ծրագրի մեկնարկումը տեղի չի ունենա։</w:t>
            </w:r>
          </w:p>
          <w:p>
            <w:pPr>
              <w:pStyle w:val="ListParagraph"/>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numPr>
                <w:ilvl w:val="0"/>
                <w:numId w:val="41"/>
              </w:numPr>
              <w:spacing w:line="288" w:lineRule="auto"/>
              <w:ind w:left="462"/>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 xml:space="preserve">Առաջարկությունը մասամբ ընդունվել է։ Հաշվարկների հիմքում դրվել է Վիճակագրական կոմիտեի կողմից հրապարակված՝ 2023թ. Միջին </w:t>
            </w:r>
            <w:r>
              <w:rPr>
                <w:rFonts w:ascii="GHEA Grapalat" w:hAnsi="GHEA Grapalat"/>
                <w:bCs/>
                <w:color w:val="000000"/>
                <w:sz w:val="24"/>
                <w:szCs w:val="24"/>
                <w:shd w:val="clear" w:color="auto" w:fill="FFFFFF"/>
                <w:lang w:val="hy-AM"/>
              </w:rPr>
              <w:lastRenderedPageBreak/>
              <w:t xml:space="preserve">ամսական անվանական աշխատավարձի ցուցանիշը, և հետևաբար հաշվարկները ճշգրտվել են՝ ըստ նշված ցուցանիշի։ </w:t>
            </w: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numPr>
                <w:ilvl w:val="0"/>
                <w:numId w:val="41"/>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Առաջարկությունն ընդունվել է։</w:t>
            </w:r>
            <w:r>
              <w:rPr>
                <w:rFonts w:ascii="GHEA Grapalat" w:hAnsi="GHEA Grapalat"/>
                <w:bCs/>
                <w:color w:val="000000"/>
                <w:sz w:val="24"/>
                <w:szCs w:val="24"/>
                <w:shd w:val="clear" w:color="auto" w:fill="FFFFFF"/>
                <w:lang w:val="hy-AM"/>
              </w:rPr>
              <w:t xml:space="preserve"> Նախագծում կատարվել է համապատասխան փոփոխություն։</w:t>
            </w: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numPr>
                <w:ilvl w:val="0"/>
                <w:numId w:val="41"/>
              </w:numPr>
              <w:spacing w:line="288" w:lineRule="auto"/>
              <w:ind w:left="462"/>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Առարկությունը չի ընդունվել։ Բանկերի և ՎԿ-ների հետ կնքվելիք համաձայնագիրը բացառապես վերաբերելու է ժամկետանց տույժերի և տուգանքների՝ ֆինանսավորողի կողմից ներելու հարաբերություններին, իսկ նոր մարման ժամանակացույց Ծրագրի շրջանակում չի ենթադրվում, հետևաբար մարման նոր ժամանակացույց կազմելու հետ կապված հարցերը դուրս են Ծրագրի տրամաբանությունից։</w:t>
            </w: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numPr>
                <w:ilvl w:val="0"/>
                <w:numId w:val="41"/>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Առարկությունն ընդունվել է ի գիտություն։</w:t>
            </w:r>
            <w:r>
              <w:rPr>
                <w:rFonts w:ascii="GHEA Grapalat" w:hAnsi="GHEA Grapalat"/>
                <w:bCs/>
                <w:color w:val="000000"/>
                <w:sz w:val="24"/>
                <w:szCs w:val="24"/>
                <w:shd w:val="clear" w:color="auto" w:fill="FFFFFF"/>
                <w:lang w:val="hy-AM"/>
              </w:rPr>
              <w:t xml:space="preserve"> Պետության պոզիտիվ պարտավորությունն է՝ ստեղծել հավասար և մրցակցային պայմաններ աշխատաշուկայում ցանկացած անձի </w:t>
            </w:r>
            <w:r>
              <w:rPr>
                <w:rFonts w:ascii="GHEA Grapalat" w:hAnsi="GHEA Grapalat"/>
                <w:bCs/>
                <w:color w:val="000000"/>
                <w:sz w:val="24"/>
                <w:szCs w:val="24"/>
                <w:shd w:val="clear" w:color="auto" w:fill="FFFFFF"/>
                <w:lang w:val="hy-AM"/>
              </w:rPr>
              <w:lastRenderedPageBreak/>
              <w:t>աշխատանքի իրավունքի իրացման համար, հետևաբար, շահառուն, անցնելով ֆորմալ զբաղվածության, և հատկապես վարկային պարտավորություններն ամբողջությամբ մարելու արդյունքում, կսկսի ստանալ իր կարողությունների և պոտենցիալի իրացման համար մրցակցային աշխատավարձ՝ առանց լրացուցիչ պահումների, ինչը էական խթան կհանդիսանա ավելի բարեկեցիկ ապագա ստեղծելու ուղղությամբ՝ մնալով զբաղվածության մեջ։</w:t>
            </w:r>
          </w:p>
          <w:p>
            <w:pPr>
              <w:pStyle w:val="ListParagraph"/>
              <w:numPr>
                <w:ilvl w:val="0"/>
                <w:numId w:val="41"/>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Առարկությունը չի ընդունվել։</w:t>
            </w:r>
            <w:r>
              <w:rPr>
                <w:rFonts w:ascii="GHEA Grapalat" w:hAnsi="GHEA Grapalat"/>
                <w:bCs/>
                <w:color w:val="000000"/>
                <w:sz w:val="24"/>
                <w:szCs w:val="24"/>
                <w:shd w:val="clear" w:color="auto" w:fill="FFFFFF"/>
                <w:lang w:val="hy-AM"/>
              </w:rPr>
              <w:t xml:space="preserve"> Տես 6-րդ կետի արձագանքը։</w:t>
            </w: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Cs/>
                <w:color w:val="000000"/>
                <w:sz w:val="24"/>
                <w:szCs w:val="24"/>
                <w:shd w:val="clear" w:color="auto" w:fill="FFFFFF"/>
                <w:lang w:val="hy-AM"/>
              </w:rPr>
            </w:pPr>
          </w:p>
          <w:p>
            <w:pPr>
              <w:pStyle w:val="ListParagraph"/>
              <w:numPr>
                <w:ilvl w:val="0"/>
                <w:numId w:val="41"/>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Առաջարկությունը չի ընդունվել։</w:t>
            </w:r>
            <w:r>
              <w:rPr>
                <w:rFonts w:ascii="GHEA Grapalat" w:hAnsi="GHEA Grapalat"/>
                <w:bCs/>
                <w:color w:val="000000"/>
                <w:sz w:val="24"/>
                <w:szCs w:val="24"/>
                <w:shd w:val="clear" w:color="auto" w:fill="FFFFFF"/>
                <w:lang w:val="hy-AM"/>
              </w:rPr>
              <w:t xml:space="preserve"> Նախկինում շահառուի կողմից այս կամ այն աջակցության տեսակներից օգտվելը որևէ կերպ կապված չէ Ծրագրի նպատակների և միջոցների հետ։ Բացի դրանից, նմանատիպ դեպքերի քանակը գնահատվում է, որ կձգտի զրոյի, քանի որ եկամտահարկի վերադարձից օգտվելը կապված է հիփոթեքային վարկի հետ, իսկ վարկատեսակներից խնդրահարույց լինելու մակարդակով ամենացածր ցուցանիշը գրանցվում է հենց հիփոթեքային վարկի դեպքում, հետևաբար առաջարկությունը գտնում ենք ոչ նպատակահարմար։</w:t>
            </w:r>
          </w:p>
          <w:p>
            <w:pPr>
              <w:pStyle w:val="ListParagraph"/>
              <w:numPr>
                <w:ilvl w:val="0"/>
                <w:numId w:val="41"/>
              </w:numPr>
              <w:spacing w:line="288" w:lineRule="auto"/>
              <w:ind w:left="462"/>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 xml:space="preserve">Առաջարկը քննարկվել է ԿԲ և ՀԲՄ գործընկերների հետ, արդյունքում ԱՍՀՆ առաջարկել է երաշխավորներին, որպես շահառու, չընդգրկել Ծրագրում՝ հիմք ընդունելով այն համոզմունքը, որ երաշխավորների միջոցով վարկի մարումը որևէ կերպ ազդեցություն չի ունենա վարկի </w:t>
            </w:r>
            <w:r>
              <w:rPr>
                <w:rFonts w:ascii="GHEA Grapalat" w:hAnsi="GHEA Grapalat"/>
                <w:bCs/>
                <w:color w:val="000000"/>
                <w:sz w:val="24"/>
                <w:szCs w:val="24"/>
                <w:shd w:val="clear" w:color="auto" w:fill="FFFFFF"/>
                <w:lang w:val="hy-AM"/>
              </w:rPr>
              <w:lastRenderedPageBreak/>
              <w:t>իրական շահառուի (վարկառուի), այդ թվում՝ վարքագծային հետագա դրական դրսևորումների առումով, ինչը, կարծում ենք, կարևոր է նման իրավիճակներում կրկին չհայտնվելու տեսանկյունից։</w:t>
            </w:r>
          </w:p>
          <w:p>
            <w:pPr>
              <w:pStyle w:val="ListParagraph"/>
              <w:numPr>
                <w:ilvl w:val="0"/>
                <w:numId w:val="41"/>
              </w:numPr>
              <w:spacing w:line="288" w:lineRule="auto"/>
              <w:ind w:left="462"/>
              <w:rPr>
                <w:rFonts w:ascii="GHEA Grapalat" w:hAnsi="GHEA Grapalat"/>
                <w:bCs/>
                <w:color w:val="000000"/>
                <w:sz w:val="24"/>
                <w:szCs w:val="24"/>
                <w:shd w:val="clear" w:color="auto" w:fill="FFFFFF"/>
                <w:lang w:val="hy-AM"/>
              </w:rPr>
            </w:pPr>
            <w:r>
              <w:rPr>
                <w:rFonts w:ascii="GHEA Grapalat" w:hAnsi="GHEA Grapalat"/>
                <w:bCs/>
                <w:color w:val="000000"/>
                <w:sz w:val="24"/>
                <w:szCs w:val="24"/>
                <w:shd w:val="clear" w:color="auto" w:fill="FFFFFF"/>
                <w:lang w:val="hy-AM"/>
              </w:rPr>
              <w:t xml:space="preserve">Ծրագրի նպատակադրումներին հասնելու պարագայում այն էականորեն կանդրադառնա </w:t>
            </w:r>
            <w:r>
              <w:rPr>
                <w:rFonts w:ascii="GHEA Grapalat" w:eastAsia="Times New Roman" w:hAnsi="GHEA Grapalat" w:cs="Sylfaen"/>
                <w:sz w:val="24"/>
                <w:szCs w:val="24"/>
                <w:lang w:val="hy-AM" w:eastAsia="ru-RU"/>
              </w:rPr>
              <w:t xml:space="preserve"> Զբաղվածության 2024-2030թթ. ռազմավարական ծրագրի նախագծում ամրագրված թիրախների՝ մասնավորապես զբաղվածության մակարդակի նպատակային ցուցանիշի առումով, քանի որ Ծրագիրը ունի պոտենցիալ այդ թիրախին հասնել առաջանցիկ տեմպերով։</w:t>
            </w:r>
          </w:p>
          <w:p>
            <w:pPr>
              <w:pStyle w:val="ListParagraph"/>
              <w:numPr>
                <w:ilvl w:val="0"/>
                <w:numId w:val="41"/>
              </w:numPr>
              <w:spacing w:line="288" w:lineRule="auto"/>
              <w:ind w:left="462"/>
              <w:rPr>
                <w:rFonts w:ascii="GHEA Grapalat" w:hAnsi="GHEA Grapalat"/>
                <w:bCs/>
                <w:color w:val="000000"/>
                <w:sz w:val="24"/>
                <w:szCs w:val="24"/>
                <w:shd w:val="clear" w:color="auto" w:fill="FFFFFF"/>
                <w:lang w:val="hy-AM"/>
              </w:rPr>
            </w:pPr>
            <w:r>
              <w:rPr>
                <w:rFonts w:ascii="GHEA Grapalat" w:hAnsi="GHEA Grapalat"/>
                <w:b/>
                <w:color w:val="000000"/>
                <w:sz w:val="24"/>
                <w:szCs w:val="24"/>
                <w:shd w:val="clear" w:color="auto" w:fill="FFFFFF"/>
                <w:lang w:val="hy-AM"/>
              </w:rPr>
              <w:t>Առաջարկն ընդունվել է</w:t>
            </w:r>
            <w:r>
              <w:rPr>
                <w:rFonts w:ascii="GHEA Grapalat" w:hAnsi="GHEA Grapalat"/>
                <w:bCs/>
                <w:color w:val="000000"/>
                <w:sz w:val="24"/>
                <w:szCs w:val="24"/>
                <w:shd w:val="clear" w:color="auto" w:fill="FFFFFF"/>
                <w:lang w:val="hy-AM"/>
              </w:rPr>
              <w:t xml:space="preserve"> ։ Նշված հարցերին մեծամասամբ անդրադարձ է կատարվել </w:t>
            </w:r>
            <w:r>
              <w:rPr>
                <w:rFonts w:ascii="GHEA Grapalat" w:eastAsia="Times New Roman" w:hAnsi="GHEA Grapalat" w:cs="Sylfaen"/>
                <w:sz w:val="24"/>
                <w:szCs w:val="24"/>
                <w:lang w:val="hy-AM" w:eastAsia="ru-RU"/>
              </w:rPr>
              <w:t xml:space="preserve"> Զբաղվածության 2024-2030թթ. ռազմավարական ծրագրի մշակման համատեքստում, այդ թվում՝ նաև ուսումնասիրելով միջազգային փորձը։ Առաջարկում ենք Զբաղվածության ռազմավարությունից </w:t>
            </w:r>
            <w:r>
              <w:rPr>
                <w:rFonts w:ascii="GHEA Grapalat" w:eastAsia="Times New Roman" w:hAnsi="GHEA Grapalat" w:cs="Sylfaen"/>
                <w:sz w:val="24"/>
                <w:szCs w:val="24"/>
                <w:lang w:val="hy-AM" w:eastAsia="ru-RU"/>
              </w:rPr>
              <w:lastRenderedPageBreak/>
              <w:t>բխող յուրաքանչյուր ծրագրի հիմքում դնել առաջարկվող մոտեցումը։</w:t>
            </w:r>
          </w:p>
        </w:tc>
      </w:tr>
      <w:tr>
        <w:tc>
          <w:tcPr>
            <w:tcW w:w="9918" w:type="dxa"/>
            <w:vAlign w:val="center"/>
          </w:tcPr>
          <w:p>
            <w:pPr>
              <w:pStyle w:val="ListParagraph"/>
              <w:numPr>
                <w:ilvl w:val="0"/>
                <w:numId w:val="2"/>
              </w:numPr>
              <w:spacing w:line="360" w:lineRule="auto"/>
              <w:jc w:val="center"/>
              <w:rPr>
                <w:rFonts w:ascii="GHEA Grapalat" w:hAnsi="GHEA Grapalat"/>
                <w:b/>
                <w:spacing w:val="-6"/>
                <w:sz w:val="24"/>
                <w:szCs w:val="24"/>
              </w:rPr>
            </w:pPr>
            <w:r>
              <w:rPr>
                <w:rFonts w:ascii="GHEA Grapalat" w:hAnsi="GHEA Grapalat"/>
                <w:b/>
                <w:spacing w:val="-6"/>
                <w:sz w:val="24"/>
                <w:szCs w:val="24"/>
                <w:lang w:val="hy-AM"/>
              </w:rPr>
              <w:lastRenderedPageBreak/>
              <w:t>Կենտորնական բանկ</w:t>
            </w:r>
          </w:p>
        </w:tc>
        <w:tc>
          <w:tcPr>
            <w:tcW w:w="5103" w:type="dxa"/>
          </w:tcPr>
          <w:p>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18.11.2024</w:t>
            </w:r>
          </w:p>
          <w:p>
            <w:pPr>
              <w:widowControl w:val="0"/>
              <w:spacing w:line="276" w:lineRule="auto"/>
              <w:ind w:right="210"/>
              <w:contextualSpacing/>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 </w:t>
            </w:r>
            <w:r>
              <w:rPr>
                <w:rFonts w:ascii="GHEA Grapalat" w:hAnsi="GHEA Grapalat" w:cs="Times New Roman"/>
                <w:b/>
                <w:sz w:val="24"/>
                <w:szCs w:val="24"/>
                <w:lang w:val="hy-AM"/>
              </w:rPr>
              <w:t>13.3-7/761-24</w:t>
            </w:r>
          </w:p>
        </w:tc>
      </w:tr>
      <w:tr>
        <w:tc>
          <w:tcPr>
            <w:tcW w:w="9918" w:type="dxa"/>
          </w:tcPr>
          <w:p>
            <w:pPr>
              <w:pStyle w:val="NormalWeb"/>
              <w:numPr>
                <w:ilvl w:val="0"/>
                <w:numId w:val="42"/>
              </w:numPr>
              <w:shd w:val="clear" w:color="auto" w:fill="FFFFFF"/>
              <w:spacing w:before="0" w:beforeAutospacing="0" w:after="0" w:afterAutospacing="0" w:line="288" w:lineRule="auto"/>
              <w:jc w:val="both"/>
              <w:rPr>
                <w:rFonts w:ascii="GHEA Grapalat" w:hAnsi="GHEA Grapalat"/>
                <w:color w:val="000000" w:themeColor="text1"/>
                <w:lang w:val="hy-AM"/>
              </w:rPr>
            </w:pPr>
            <w:r>
              <w:rPr>
                <w:rFonts w:ascii="GHEA Grapalat" w:hAnsi="GHEA Grapalat"/>
                <w:color w:val="000000" w:themeColor="text1"/>
                <w:lang w:val="hy-AM"/>
              </w:rPr>
              <w:t xml:space="preserve">Նախագծի 3-րդ կետի 5-րդ ենթակետը վերաշարադրել հետևյալ բովանդակությամբ՝ </w:t>
            </w:r>
            <w:r>
              <w:rPr>
                <w:rFonts w:ascii="GHEA Grapalat" w:hAnsi="GHEA Grapalat"/>
                <w:i/>
                <w:iCs/>
                <w:color w:val="000000"/>
                <w:lang w:val="hy-AM"/>
              </w:rPr>
              <w:t>Հայաստանի բանկերի միության հետ համագործակցելով՝ Կենտրոնական բանկի կողմից լիցենզավորված բանկերի և վարկային կազմակերպությունների և «ԱՔՌԱ Քրեդիտ Ռեփորթինգ» ՓԲԸ-ի հետ կնքել համաձայնագիր, որով կսահմանվեն Միջոցառումից բխող առանձնահատկությունները, այդ թվում՝ Միջոցառման շահառուների անհուսալի վարկերի գծով առաջացած տույժերի, տուգանքների և ժամկետանց տոկոսագումարների հնարավոր ներման դեպքերը, չափը, ժամկետներն ու կարգը։</w:t>
            </w:r>
          </w:p>
          <w:p>
            <w:pPr>
              <w:pStyle w:val="NormalWeb"/>
              <w:numPr>
                <w:ilvl w:val="0"/>
                <w:numId w:val="42"/>
              </w:numPr>
              <w:shd w:val="clear" w:color="auto" w:fill="FFFFFF"/>
              <w:spacing w:before="0" w:beforeAutospacing="0" w:after="0" w:afterAutospacing="0" w:line="288" w:lineRule="auto"/>
              <w:jc w:val="both"/>
              <w:rPr>
                <w:rFonts w:ascii="GHEA Grapalat" w:hAnsi="GHEA Grapalat"/>
                <w:color w:val="000000" w:themeColor="text1"/>
                <w:lang w:val="hy-AM"/>
              </w:rPr>
            </w:pPr>
            <w:r>
              <w:rPr>
                <w:rFonts w:ascii="GHEA Grapalat" w:hAnsi="GHEA Grapalat"/>
                <w:color w:val="000000" w:themeColor="text1"/>
                <w:lang w:val="hy-AM"/>
              </w:rPr>
              <w:t xml:space="preserve">Նախագծի հավելված 2-ի 10-րդ կետը վերաշարադրել հետևյալ բովանդակությամբ՝ </w:t>
            </w:r>
            <w:r>
              <w:rPr>
                <w:rFonts w:ascii="GHEA Grapalat" w:eastAsia="Calibri" w:hAnsi="GHEA Grapalat" w:cs="Calibri"/>
                <w:bCs/>
                <w:i/>
                <w:iCs/>
                <w:lang w:val="hy-AM"/>
              </w:rPr>
              <w:t>Շահառուների աջակցության ցուցակը 3 աշխատանքային օրվա ընթացքում էլեկտրոնային տարբերակով Հայաստանի Հանրապետության կենտրոնական բանկի կողմից սահմանած միջոցներով (Սի-Բի-Էյ-Նեթ ֆինանսական տեղեկատվության փոխանակման համակարգ) ուղարկում է համապատասխան բանկերին և վարկային կազմակերպություններին, որից հետո նույն աշխատանքային օրվա ընթացքում իրականացնում է աջակցության գումարների փոխանցումը բանկերի և վարկային կազմակերպությունների բանկային հաշիվներին։ Ընդ որում, համաձայն Համակարգի շտեմարանի տվյալների, եթե նույն Շահառուն ունի անհուսալի վարկեր մեկից ավել Վարկավորողի մոտ, ապա շտեմարանում տվյալ Շահառուի մասով ձևավորվող ցուցակում տվյալներն ինքնաշխատ գրանցվում են՝ ըստ Վարկավորողի։</w:t>
            </w:r>
          </w:p>
        </w:tc>
        <w:tc>
          <w:tcPr>
            <w:tcW w:w="5103" w:type="dxa"/>
          </w:tcPr>
          <w:p>
            <w:pPr>
              <w:pStyle w:val="ListParagraph"/>
              <w:numPr>
                <w:ilvl w:val="0"/>
                <w:numId w:val="43"/>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Առաջարկն ընդունվել է։</w:t>
            </w:r>
            <w:r>
              <w:rPr>
                <w:rFonts w:ascii="GHEA Grapalat" w:hAnsi="GHEA Grapalat"/>
                <w:bCs/>
                <w:color w:val="000000"/>
                <w:sz w:val="24"/>
                <w:szCs w:val="24"/>
                <w:shd w:val="clear" w:color="auto" w:fill="FFFFFF"/>
                <w:lang w:val="hy-AM"/>
              </w:rPr>
              <w:t xml:space="preserve"> Նախագծում կատարվել է համապատասխան փոփոխությունը։</w:t>
            </w:r>
          </w:p>
          <w:p>
            <w:pPr>
              <w:pStyle w:val="ListParagraph"/>
              <w:numPr>
                <w:ilvl w:val="0"/>
                <w:numId w:val="43"/>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Առաջարկն ընդունվել է։</w:t>
            </w:r>
            <w:r>
              <w:rPr>
                <w:rFonts w:ascii="GHEA Grapalat" w:hAnsi="GHEA Grapalat"/>
                <w:bCs/>
                <w:color w:val="000000"/>
                <w:sz w:val="24"/>
                <w:szCs w:val="24"/>
                <w:shd w:val="clear" w:color="auto" w:fill="FFFFFF"/>
                <w:lang w:val="hy-AM"/>
              </w:rPr>
              <w:t xml:space="preserve"> Նախագծում կատարվել է համապատասխան փոփոխությունը։</w:t>
            </w:r>
          </w:p>
        </w:tc>
      </w:tr>
      <w:tr>
        <w:tc>
          <w:tcPr>
            <w:tcW w:w="9918" w:type="dxa"/>
            <w:vAlign w:val="center"/>
          </w:tcPr>
          <w:p>
            <w:pPr>
              <w:pStyle w:val="ListParagraph"/>
              <w:numPr>
                <w:ilvl w:val="0"/>
                <w:numId w:val="2"/>
              </w:numPr>
              <w:spacing w:line="360" w:lineRule="auto"/>
              <w:jc w:val="center"/>
              <w:rPr>
                <w:rFonts w:ascii="GHEA Grapalat" w:hAnsi="GHEA Grapalat"/>
                <w:b/>
                <w:spacing w:val="-6"/>
                <w:sz w:val="24"/>
                <w:szCs w:val="24"/>
              </w:rPr>
            </w:pPr>
            <w:r>
              <w:rPr>
                <w:rFonts w:ascii="GHEA Grapalat" w:hAnsi="GHEA Grapalat"/>
                <w:b/>
                <w:spacing w:val="-6"/>
                <w:sz w:val="24"/>
                <w:szCs w:val="24"/>
                <w:lang w:val="hy-AM"/>
              </w:rPr>
              <w:lastRenderedPageBreak/>
              <w:t>Էկոնոմիկայի նախարարություն</w:t>
            </w:r>
          </w:p>
        </w:tc>
        <w:tc>
          <w:tcPr>
            <w:tcW w:w="5103" w:type="dxa"/>
          </w:tcPr>
          <w:p>
            <w:pPr>
              <w:spacing w:line="360" w:lineRule="auto"/>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08.11.2024</w:t>
            </w:r>
          </w:p>
          <w:p>
            <w:pPr>
              <w:widowControl w:val="0"/>
              <w:spacing w:line="276" w:lineRule="auto"/>
              <w:ind w:right="210"/>
              <w:contextualSpacing/>
              <w:jc w:val="center"/>
              <w:rPr>
                <w:rFonts w:ascii="GHEA Grapalat" w:hAnsi="GHEA Grapalat"/>
                <w:b/>
                <w:color w:val="000000"/>
                <w:sz w:val="24"/>
                <w:szCs w:val="24"/>
                <w:shd w:val="clear" w:color="auto" w:fill="FFFFFF"/>
                <w:lang w:val="hy-AM"/>
              </w:rPr>
            </w:pPr>
            <w:r>
              <w:rPr>
                <w:rFonts w:ascii="GHEA Grapalat" w:hAnsi="GHEA Grapalat" w:cs="Times New Roman"/>
                <w:b/>
                <w:sz w:val="24"/>
                <w:szCs w:val="24"/>
                <w:lang w:val="hy-AM"/>
              </w:rPr>
              <w:t>№ Մ/53462-2024</w:t>
            </w:r>
          </w:p>
        </w:tc>
      </w:tr>
      <w:tr>
        <w:tc>
          <w:tcPr>
            <w:tcW w:w="9918" w:type="dxa"/>
          </w:tcPr>
          <w:p>
            <w:pPr>
              <w:pStyle w:val="NormalWeb"/>
              <w:numPr>
                <w:ilvl w:val="0"/>
                <w:numId w:val="44"/>
              </w:numPr>
              <w:shd w:val="clear" w:color="auto" w:fill="FFFFFF"/>
              <w:spacing w:before="0" w:beforeAutospacing="0" w:after="0" w:afterAutospacing="0" w:line="288" w:lineRule="auto"/>
              <w:jc w:val="both"/>
              <w:rPr>
                <w:rFonts w:ascii="GHEA Grapalat" w:hAnsi="GHEA Grapalat"/>
                <w:color w:val="000000" w:themeColor="text1"/>
                <w:lang w:val="hy-AM"/>
              </w:rPr>
            </w:pPr>
            <w:r>
              <w:rPr>
                <w:rFonts w:ascii="GHEA Grapalat" w:hAnsi="GHEA Grapalat"/>
                <w:color w:val="000000" w:themeColor="text1"/>
                <w:lang w:val="hy-AM"/>
              </w:rPr>
              <w:t>Լրացուցիչ հիմնավորել վճարումներից (քաղաքացիաիրավական պայմանագրի շրջանակներում ստացված եկամտից) պահվող (բռնագանձվող) չափը 20% դրույքաչափի ընտրությունը։ Հատկապես, որ Նախագծի հիմնավորման մեջ նշվում է, որ «անհուսալի» վարկառուների մեծ մասը գտնվում է ոչ ֆորմալ զբաղվածության մեջ, իսկ նրանց մի մասն էլ, որպես «անապահով ընտանիք», հաշվառված է անապահովության գնահատման համակարգում և պետությունից ստանում է նպաստ։ Գտնում ենք, որ այս պարագայում նշված դրույքաչափի սահմանը նպատակահարմար է նվազեցնել։</w:t>
            </w:r>
          </w:p>
          <w:p>
            <w:pPr>
              <w:pStyle w:val="NormalWeb"/>
              <w:shd w:val="clear" w:color="auto" w:fill="FFFFFF"/>
              <w:spacing w:before="0" w:beforeAutospacing="0" w:after="0" w:afterAutospacing="0" w:line="288" w:lineRule="auto"/>
              <w:ind w:left="720"/>
              <w:jc w:val="both"/>
              <w:rPr>
                <w:rFonts w:ascii="GHEA Grapalat" w:hAnsi="GHEA Grapalat"/>
                <w:color w:val="000000" w:themeColor="text1"/>
                <w:lang w:val="hy-AM"/>
              </w:rPr>
            </w:pPr>
          </w:p>
          <w:p>
            <w:pPr>
              <w:pStyle w:val="NormalWeb"/>
              <w:shd w:val="clear" w:color="auto" w:fill="FFFFFF"/>
              <w:spacing w:before="0" w:beforeAutospacing="0" w:after="0" w:afterAutospacing="0" w:line="288" w:lineRule="auto"/>
              <w:ind w:left="720"/>
              <w:jc w:val="both"/>
              <w:rPr>
                <w:rFonts w:ascii="GHEA Grapalat" w:hAnsi="GHEA Grapalat"/>
                <w:color w:val="000000" w:themeColor="text1"/>
                <w:lang w:val="hy-AM"/>
              </w:rPr>
            </w:pPr>
          </w:p>
          <w:p>
            <w:pPr>
              <w:pStyle w:val="NormalWeb"/>
              <w:shd w:val="clear" w:color="auto" w:fill="FFFFFF"/>
              <w:spacing w:before="0" w:beforeAutospacing="0" w:after="0" w:afterAutospacing="0" w:line="288" w:lineRule="auto"/>
              <w:ind w:left="720"/>
              <w:jc w:val="both"/>
              <w:rPr>
                <w:rFonts w:ascii="GHEA Grapalat" w:hAnsi="GHEA Grapalat"/>
                <w:color w:val="000000" w:themeColor="text1"/>
                <w:lang w:val="hy-AM"/>
              </w:rPr>
            </w:pPr>
          </w:p>
          <w:p>
            <w:pPr>
              <w:pStyle w:val="NormalWeb"/>
              <w:shd w:val="clear" w:color="auto" w:fill="FFFFFF"/>
              <w:spacing w:before="0" w:beforeAutospacing="0" w:after="0" w:afterAutospacing="0" w:line="288" w:lineRule="auto"/>
              <w:ind w:left="720"/>
              <w:jc w:val="both"/>
              <w:rPr>
                <w:rFonts w:ascii="GHEA Grapalat" w:hAnsi="GHEA Grapalat"/>
                <w:color w:val="000000" w:themeColor="text1"/>
                <w:lang w:val="hy-AM"/>
              </w:rPr>
            </w:pPr>
          </w:p>
          <w:p>
            <w:pPr>
              <w:pStyle w:val="NormalWeb"/>
              <w:numPr>
                <w:ilvl w:val="0"/>
                <w:numId w:val="44"/>
              </w:numPr>
              <w:shd w:val="clear" w:color="auto" w:fill="FFFFFF"/>
              <w:spacing w:before="0" w:beforeAutospacing="0" w:after="0" w:afterAutospacing="0" w:line="288" w:lineRule="auto"/>
              <w:jc w:val="both"/>
              <w:rPr>
                <w:rFonts w:ascii="GHEA Grapalat" w:hAnsi="GHEA Grapalat"/>
                <w:color w:val="000000" w:themeColor="text1"/>
                <w:lang w:val="hy-AM"/>
              </w:rPr>
            </w:pPr>
            <w:r>
              <w:rPr>
                <w:rFonts w:ascii="GHEA Grapalat" w:hAnsi="GHEA Grapalat"/>
                <w:color w:val="000000" w:themeColor="text1"/>
                <w:lang w:val="hy-AM"/>
              </w:rPr>
              <w:t xml:space="preserve">Նախագծում ներառել դրույթներ, որոնց համաձայն շահառուներին կընձեռվի հնարավորություն մարված համարել այն վարկային պարտավորությունները, որոնց կողմ հանդիսացող բանկերը/վարկային կազմակերպությունները գտնվում են լուծարման գործընթացում կամ Կենտրոնական բանկի կողմից տրամադրված լիցենզիան ուժը կորցրած է ճանաչվել և այդ պայմանագրերի հիման վրա տրամադրված վարկերը դասակարգվել են որպես անհուսալի, միևնույն ժամանակ բանկերի/վարկային կազմակերպությունների կողմից չեն իրականացվել պարտավորության վերադարձի հետ կապված որևէ գործողություներ, որոնց նկատմամբ գործում են Քաղաքացիական օրենսգրքի 332-րդ հոդվածով </w:t>
            </w:r>
            <w:r>
              <w:rPr>
                <w:rFonts w:ascii="GHEA Grapalat" w:hAnsi="GHEA Grapalat"/>
                <w:color w:val="000000" w:themeColor="text1"/>
                <w:lang w:val="hy-AM"/>
              </w:rPr>
              <w:lastRenderedPageBreak/>
              <w:t>սահմանված ժամկետները։ Ուստի նշված պայմաններին բավարարող շահառուների վարկային պարտավորությունները պետք է համարվեն մարված։</w:t>
            </w:r>
          </w:p>
          <w:p>
            <w:pPr>
              <w:pStyle w:val="NormalWeb"/>
              <w:shd w:val="clear" w:color="auto" w:fill="FFFFFF"/>
              <w:spacing w:before="0" w:beforeAutospacing="0" w:after="0" w:afterAutospacing="0" w:line="288" w:lineRule="auto"/>
              <w:ind w:left="720"/>
              <w:jc w:val="both"/>
              <w:rPr>
                <w:rFonts w:ascii="GHEA Grapalat" w:hAnsi="GHEA Grapalat"/>
                <w:color w:val="000000" w:themeColor="text1"/>
                <w:lang w:val="hy-AM"/>
              </w:rPr>
            </w:pPr>
          </w:p>
          <w:p>
            <w:pPr>
              <w:pStyle w:val="NormalWeb"/>
              <w:numPr>
                <w:ilvl w:val="0"/>
                <w:numId w:val="44"/>
              </w:numPr>
              <w:shd w:val="clear" w:color="auto" w:fill="FFFFFF"/>
              <w:spacing w:before="0" w:beforeAutospacing="0" w:after="0" w:afterAutospacing="0" w:line="288" w:lineRule="auto"/>
              <w:jc w:val="both"/>
              <w:rPr>
                <w:rFonts w:ascii="GHEA Grapalat" w:hAnsi="GHEA Grapalat"/>
                <w:color w:val="000000" w:themeColor="text1"/>
                <w:lang w:val="hy-AM"/>
              </w:rPr>
            </w:pPr>
            <w:r>
              <w:rPr>
                <w:rFonts w:ascii="GHEA Grapalat" w:hAnsi="GHEA Grapalat" w:cs="GHEA Grapalat"/>
                <w:bCs/>
                <w:lang w:val="hy-AM"/>
              </w:rPr>
              <w:t>Միևնույն ժամանակ, հիմք ընդունելով Նախագծի հիմնավորմամբ ներկայացված տվյալները, որոնց համաձայն՝ վարկառուների անհուսալի վարկերի գծով պարտավորությունները գերազանցում են 1 միլիոն դրամը՝ միջոցառումն առավել արդյունավետ և թիրախային դարձնելու նպատակով առաջարկում ենք դիտարկել փոխհատուցման համար նախատեսվող գումարի շեմի կրկնապատկումը: Առաջարկում ենք նաև դիտարկել շահառուների վարկային պատմության մեջ համապատասխան խմբագրում կատարելու հնարավորություն՝ այդ անձանց կողմից հետագայում ֆինանսական գործիքներից անխոչընդոտ օգտվելու նպատակով:</w:t>
            </w:r>
          </w:p>
        </w:tc>
        <w:tc>
          <w:tcPr>
            <w:tcW w:w="5103" w:type="dxa"/>
          </w:tcPr>
          <w:p>
            <w:pPr>
              <w:pStyle w:val="ListParagraph"/>
              <w:numPr>
                <w:ilvl w:val="0"/>
                <w:numId w:val="45"/>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 xml:space="preserve">Առաջարկը չի ընդունվել։ </w:t>
            </w:r>
            <w:r>
              <w:rPr>
                <w:rFonts w:ascii="GHEA Grapalat" w:hAnsi="GHEA Grapalat"/>
                <w:bCs/>
                <w:color w:val="000000"/>
                <w:sz w:val="24"/>
                <w:szCs w:val="24"/>
                <w:shd w:val="clear" w:color="auto" w:fill="FFFFFF"/>
                <w:lang w:val="hy-AM"/>
              </w:rPr>
              <w:t>Ավելի ցածր դրույքաչափի սահմանումը մեծամասնական դեպքերում կբերի շահառուի անձնական միջոցներից իր իսկ վարկը մարելուն ուղղված շատ ավելի ցածր ներդրման, քան սահմանված է, ինչը ցածր կամ ոչ էական  ազդեցություն կունենա վարքագծային հետագա դրսևորումների վրա, ինչը, կարծում ենք, կարևոր է նման իրավիճակներում կրկին չհայտնվելու տեսանկյունից</w:t>
            </w:r>
            <w:r>
              <w:rPr>
                <w:rFonts w:ascii="GHEA Grapalat" w:hAnsi="GHEA Grapalat"/>
                <w:b/>
                <w:color w:val="000000"/>
                <w:sz w:val="24"/>
                <w:szCs w:val="24"/>
                <w:shd w:val="clear" w:color="auto" w:fill="FFFFFF"/>
                <w:lang w:val="hy-AM"/>
              </w:rPr>
              <w:t>։</w:t>
            </w:r>
          </w:p>
          <w:p>
            <w:pPr>
              <w:pStyle w:val="ListParagraph"/>
              <w:numPr>
                <w:ilvl w:val="0"/>
                <w:numId w:val="45"/>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Առաջարկը չի ընդունվել։ </w:t>
            </w:r>
            <w:r>
              <w:rPr>
                <w:rFonts w:ascii="GHEA Grapalat" w:hAnsi="GHEA Grapalat"/>
                <w:bCs/>
                <w:color w:val="000000"/>
                <w:sz w:val="24"/>
                <w:szCs w:val="24"/>
                <w:shd w:val="clear" w:color="auto" w:fill="FFFFFF"/>
                <w:lang w:val="hy-AM"/>
              </w:rPr>
              <w:t>Առաջարկվող կարգավորումները դուրս են Ծրագրի շրջանակից, բացի դրանից, ԿԲ հետ քննարկումների ժամանակ առաջարկվել է կիրառել նմանատիպ դեպքերի համար յուրահատուկ մոտեցում, ինչը ամենայն հավանականությամբ տեղ կգտնի ԿԲ կողմից ընդունվող իրավական ակտերում։</w:t>
            </w: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spacing w:line="288" w:lineRule="auto"/>
              <w:ind w:left="462"/>
              <w:rPr>
                <w:rFonts w:ascii="GHEA Grapalat" w:hAnsi="GHEA Grapalat"/>
                <w:b/>
                <w:color w:val="000000"/>
                <w:sz w:val="24"/>
                <w:szCs w:val="24"/>
                <w:shd w:val="clear" w:color="auto" w:fill="FFFFFF"/>
                <w:lang w:val="hy-AM"/>
              </w:rPr>
            </w:pPr>
          </w:p>
          <w:p>
            <w:pPr>
              <w:pStyle w:val="ListParagraph"/>
              <w:numPr>
                <w:ilvl w:val="0"/>
                <w:numId w:val="45"/>
              </w:numPr>
              <w:spacing w:line="288" w:lineRule="auto"/>
              <w:ind w:left="462"/>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Առաջարկը ընդունվել է ի գիտություն։ </w:t>
            </w:r>
            <w:r>
              <w:rPr>
                <w:rFonts w:ascii="GHEA Grapalat" w:hAnsi="GHEA Grapalat"/>
                <w:bCs/>
                <w:color w:val="000000"/>
                <w:sz w:val="24"/>
                <w:szCs w:val="24"/>
                <w:shd w:val="clear" w:color="auto" w:fill="FFFFFF"/>
                <w:lang w:val="hy-AM"/>
              </w:rPr>
              <w:t>Ծրագրի իրացման ընթացքում նպատակային ցուցանիշների գնահատմամբ կքննարկվի շեմը փոփոխելու նպատակահարմարությունը։</w:t>
            </w:r>
          </w:p>
        </w:tc>
      </w:tr>
    </w:tbl>
    <w:p>
      <w:pPr>
        <w:rPr>
          <w:lang w:val="hy-AM"/>
        </w:rPr>
      </w:pPr>
    </w:p>
    <w:sectPr>
      <w:pgSz w:w="16838" w:h="11906" w:orient="landscape" w:code="9"/>
      <w:pgMar w:top="1134" w:right="567" w:bottom="1134" w:left="123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C85D03"/>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4A71C9A"/>
    <w:multiLevelType w:val="hybridMultilevel"/>
    <w:tmpl w:val="08D082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4677F4"/>
    <w:multiLevelType w:val="hybridMultilevel"/>
    <w:tmpl w:val="DA7A2F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B02CD2"/>
    <w:multiLevelType w:val="hybridMultilevel"/>
    <w:tmpl w:val="43E66472"/>
    <w:lvl w:ilvl="0" w:tplc="13CE4526">
      <w:start w:val="1"/>
      <w:numFmt w:val="decimal"/>
      <w:lvlText w:val="%1."/>
      <w:lvlJc w:val="left"/>
      <w:pPr>
        <w:ind w:left="927" w:hanging="360"/>
      </w:pPr>
      <w:rPr>
        <w:rFonts w:eastAsia="Calibri"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083B6770"/>
    <w:multiLevelType w:val="hybridMultilevel"/>
    <w:tmpl w:val="3FE228E2"/>
    <w:lvl w:ilvl="0" w:tplc="F4449CC2">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D57BCD"/>
    <w:multiLevelType w:val="hybridMultilevel"/>
    <w:tmpl w:val="43E66472"/>
    <w:lvl w:ilvl="0" w:tplc="13CE4526">
      <w:start w:val="1"/>
      <w:numFmt w:val="decimal"/>
      <w:lvlText w:val="%1."/>
      <w:lvlJc w:val="left"/>
      <w:pPr>
        <w:ind w:left="927" w:hanging="360"/>
      </w:pPr>
      <w:rPr>
        <w:rFonts w:eastAsia="Calibri"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0A0C1111"/>
    <w:multiLevelType w:val="hybridMultilevel"/>
    <w:tmpl w:val="060A2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5C0853"/>
    <w:multiLevelType w:val="hybridMultilevel"/>
    <w:tmpl w:val="43E66472"/>
    <w:lvl w:ilvl="0" w:tplc="13CE4526">
      <w:start w:val="1"/>
      <w:numFmt w:val="decimal"/>
      <w:lvlText w:val="%1."/>
      <w:lvlJc w:val="left"/>
      <w:pPr>
        <w:ind w:left="927" w:hanging="360"/>
      </w:pPr>
      <w:rPr>
        <w:rFonts w:eastAsia="Calibri"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0F126836"/>
    <w:multiLevelType w:val="hybridMultilevel"/>
    <w:tmpl w:val="060A2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154564"/>
    <w:multiLevelType w:val="hybridMultilevel"/>
    <w:tmpl w:val="B10235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8F94A07"/>
    <w:multiLevelType w:val="hybridMultilevel"/>
    <w:tmpl w:val="A2926648"/>
    <w:lvl w:ilvl="0" w:tplc="762ABD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1C051265"/>
    <w:multiLevelType w:val="hybridMultilevel"/>
    <w:tmpl w:val="62803C1A"/>
    <w:lvl w:ilvl="0" w:tplc="52E2FFF0">
      <w:start w:val="1"/>
      <w:numFmt w:val="decimal"/>
      <w:lvlText w:val="%1."/>
      <w:lvlJc w:val="left"/>
      <w:pPr>
        <w:ind w:left="900" w:hanging="360"/>
      </w:pPr>
      <w:rPr>
        <w:rFonts w:hint="default"/>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abstractNum w:abstractNumId="14" w15:restartNumberingAfterBreak="0">
    <w:nsid w:val="1D143828"/>
    <w:multiLevelType w:val="hybridMultilevel"/>
    <w:tmpl w:val="3FE228E2"/>
    <w:lvl w:ilvl="0" w:tplc="F4449CC2">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FD005D"/>
    <w:multiLevelType w:val="hybridMultilevel"/>
    <w:tmpl w:val="AA92108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0D7B3F"/>
    <w:multiLevelType w:val="hybridMultilevel"/>
    <w:tmpl w:val="3FE228E2"/>
    <w:lvl w:ilvl="0" w:tplc="F4449CC2">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CE6A07"/>
    <w:multiLevelType w:val="hybridMultilevel"/>
    <w:tmpl w:val="D3BED2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22A723BD"/>
    <w:multiLevelType w:val="hybridMultilevel"/>
    <w:tmpl w:val="8F182020"/>
    <w:lvl w:ilvl="0" w:tplc="BA4ED424">
      <w:start w:val="1"/>
      <w:numFmt w:val="decimal"/>
      <w:lvlText w:val="%1."/>
      <w:lvlJc w:val="left"/>
      <w:pPr>
        <w:ind w:left="720" w:hanging="360"/>
      </w:pPr>
      <w:rPr>
        <w:rFonts w:hint="default"/>
        <w:b/>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6E84A7A"/>
    <w:multiLevelType w:val="hybridMultilevel"/>
    <w:tmpl w:val="64EE86B4"/>
    <w:lvl w:ilvl="0" w:tplc="18CE1AFA">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29D05A87"/>
    <w:multiLevelType w:val="hybridMultilevel"/>
    <w:tmpl w:val="43E66472"/>
    <w:lvl w:ilvl="0" w:tplc="13CE4526">
      <w:start w:val="1"/>
      <w:numFmt w:val="decimal"/>
      <w:lvlText w:val="%1."/>
      <w:lvlJc w:val="left"/>
      <w:pPr>
        <w:ind w:left="927" w:hanging="360"/>
      </w:pPr>
      <w:rPr>
        <w:rFonts w:eastAsia="Calibri"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23" w15:restartNumberingAfterBreak="0">
    <w:nsid w:val="2C7C3FF1"/>
    <w:multiLevelType w:val="hybridMultilevel"/>
    <w:tmpl w:val="8F182020"/>
    <w:lvl w:ilvl="0" w:tplc="BA4ED424">
      <w:start w:val="1"/>
      <w:numFmt w:val="decimal"/>
      <w:lvlText w:val="%1."/>
      <w:lvlJc w:val="left"/>
      <w:pPr>
        <w:ind w:left="720" w:hanging="360"/>
      </w:pPr>
      <w:rPr>
        <w:rFonts w:hint="default"/>
        <w:b/>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34C16F9"/>
    <w:multiLevelType w:val="hybridMultilevel"/>
    <w:tmpl w:val="D3BED2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3EAB6603"/>
    <w:multiLevelType w:val="hybridMultilevel"/>
    <w:tmpl w:val="0D2EDEBC"/>
    <w:lvl w:ilvl="0" w:tplc="19DEB994">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FEA39CE"/>
    <w:multiLevelType w:val="hybridMultilevel"/>
    <w:tmpl w:val="6442CE5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B25553"/>
    <w:multiLevelType w:val="hybridMultilevel"/>
    <w:tmpl w:val="14623AE6"/>
    <w:lvl w:ilvl="0" w:tplc="F4449CC2">
      <w:start w:val="1"/>
      <w:numFmt w:val="decimal"/>
      <w:lvlText w:val="%1."/>
      <w:lvlJc w:val="left"/>
      <w:pPr>
        <w:ind w:left="1080" w:hanging="360"/>
      </w:pPr>
      <w:rPr>
        <w:rFonts w:hint="default"/>
        <w:b/>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C2560B9"/>
    <w:multiLevelType w:val="hybridMultilevel"/>
    <w:tmpl w:val="8F182020"/>
    <w:lvl w:ilvl="0" w:tplc="BA4ED424">
      <w:start w:val="1"/>
      <w:numFmt w:val="decimal"/>
      <w:lvlText w:val="%1."/>
      <w:lvlJc w:val="left"/>
      <w:pPr>
        <w:ind w:left="720" w:hanging="360"/>
      </w:pPr>
      <w:rPr>
        <w:rFonts w:hint="default"/>
        <w:b/>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FEB2B3F"/>
    <w:multiLevelType w:val="hybridMultilevel"/>
    <w:tmpl w:val="9F6A187A"/>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55A566CA"/>
    <w:multiLevelType w:val="hybridMultilevel"/>
    <w:tmpl w:val="8F182020"/>
    <w:lvl w:ilvl="0" w:tplc="BA4ED424">
      <w:start w:val="1"/>
      <w:numFmt w:val="decimal"/>
      <w:lvlText w:val="%1."/>
      <w:lvlJc w:val="left"/>
      <w:pPr>
        <w:ind w:left="720" w:hanging="360"/>
      </w:pPr>
      <w:rPr>
        <w:rFonts w:hint="default"/>
        <w:b/>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AD033CD"/>
    <w:multiLevelType w:val="hybridMultilevel"/>
    <w:tmpl w:val="D3EA3D0E"/>
    <w:lvl w:ilvl="0" w:tplc="6EB22940">
      <w:start w:val="1"/>
      <w:numFmt w:val="decimal"/>
      <w:lvlText w:val="%1."/>
      <w:lvlJc w:val="left"/>
      <w:pPr>
        <w:ind w:left="2062" w:hanging="360"/>
      </w:pPr>
      <w:rPr>
        <w:rFonts w:cs="Sylfaen" w:hint="default"/>
        <w:b w:val="0"/>
      </w:rPr>
    </w:lvl>
    <w:lvl w:ilvl="1" w:tplc="04090019" w:tentative="1">
      <w:start w:val="1"/>
      <w:numFmt w:val="lowerLetter"/>
      <w:lvlText w:val="%2."/>
      <w:lvlJc w:val="left"/>
      <w:pPr>
        <w:ind w:left="2782" w:hanging="360"/>
      </w:pPr>
    </w:lvl>
    <w:lvl w:ilvl="2" w:tplc="0409001B" w:tentative="1">
      <w:start w:val="1"/>
      <w:numFmt w:val="lowerRoman"/>
      <w:lvlText w:val="%3."/>
      <w:lvlJc w:val="right"/>
      <w:pPr>
        <w:ind w:left="3502" w:hanging="180"/>
      </w:pPr>
    </w:lvl>
    <w:lvl w:ilvl="3" w:tplc="0409000F" w:tentative="1">
      <w:start w:val="1"/>
      <w:numFmt w:val="decimal"/>
      <w:lvlText w:val="%4."/>
      <w:lvlJc w:val="left"/>
      <w:pPr>
        <w:ind w:left="4222" w:hanging="360"/>
      </w:pPr>
    </w:lvl>
    <w:lvl w:ilvl="4" w:tplc="04090019" w:tentative="1">
      <w:start w:val="1"/>
      <w:numFmt w:val="lowerLetter"/>
      <w:lvlText w:val="%5."/>
      <w:lvlJc w:val="left"/>
      <w:pPr>
        <w:ind w:left="4942" w:hanging="360"/>
      </w:pPr>
    </w:lvl>
    <w:lvl w:ilvl="5" w:tplc="0409001B" w:tentative="1">
      <w:start w:val="1"/>
      <w:numFmt w:val="lowerRoman"/>
      <w:lvlText w:val="%6."/>
      <w:lvlJc w:val="right"/>
      <w:pPr>
        <w:ind w:left="5662" w:hanging="180"/>
      </w:pPr>
    </w:lvl>
    <w:lvl w:ilvl="6" w:tplc="0409000F" w:tentative="1">
      <w:start w:val="1"/>
      <w:numFmt w:val="decimal"/>
      <w:lvlText w:val="%7."/>
      <w:lvlJc w:val="left"/>
      <w:pPr>
        <w:ind w:left="6382" w:hanging="360"/>
      </w:pPr>
    </w:lvl>
    <w:lvl w:ilvl="7" w:tplc="04090019" w:tentative="1">
      <w:start w:val="1"/>
      <w:numFmt w:val="lowerLetter"/>
      <w:lvlText w:val="%8."/>
      <w:lvlJc w:val="left"/>
      <w:pPr>
        <w:ind w:left="7102" w:hanging="360"/>
      </w:pPr>
    </w:lvl>
    <w:lvl w:ilvl="8" w:tplc="0409001B" w:tentative="1">
      <w:start w:val="1"/>
      <w:numFmt w:val="lowerRoman"/>
      <w:lvlText w:val="%9."/>
      <w:lvlJc w:val="right"/>
      <w:pPr>
        <w:ind w:left="7822" w:hanging="180"/>
      </w:pPr>
    </w:lvl>
  </w:abstractNum>
  <w:abstractNum w:abstractNumId="34" w15:restartNumberingAfterBreak="0">
    <w:nsid w:val="5C805802"/>
    <w:multiLevelType w:val="hybridMultilevel"/>
    <w:tmpl w:val="CFB623D4"/>
    <w:lvl w:ilvl="0" w:tplc="E88A9A20">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1B750D"/>
    <w:multiLevelType w:val="hybridMultilevel"/>
    <w:tmpl w:val="43E66472"/>
    <w:lvl w:ilvl="0" w:tplc="13CE4526">
      <w:start w:val="1"/>
      <w:numFmt w:val="decimal"/>
      <w:lvlText w:val="%1."/>
      <w:lvlJc w:val="left"/>
      <w:pPr>
        <w:ind w:left="927" w:hanging="360"/>
      </w:pPr>
      <w:rPr>
        <w:rFonts w:eastAsia="Calibri" w:cs="Sylfaen"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9CC06D9"/>
    <w:multiLevelType w:val="hybridMultilevel"/>
    <w:tmpl w:val="8F182020"/>
    <w:lvl w:ilvl="0" w:tplc="BA4ED424">
      <w:start w:val="1"/>
      <w:numFmt w:val="decimal"/>
      <w:lvlText w:val="%1."/>
      <w:lvlJc w:val="left"/>
      <w:pPr>
        <w:ind w:left="720" w:hanging="360"/>
      </w:pPr>
      <w:rPr>
        <w:rFonts w:hint="default"/>
        <w:b/>
        <w:bCs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391082"/>
    <w:multiLevelType w:val="hybridMultilevel"/>
    <w:tmpl w:val="49606C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1842312"/>
    <w:multiLevelType w:val="hybridMultilevel"/>
    <w:tmpl w:val="7EDE906E"/>
    <w:lvl w:ilvl="0" w:tplc="0CEE806E">
      <w:start w:val="1"/>
      <w:numFmt w:val="decimal"/>
      <w:lvlText w:val="%1."/>
      <w:lvlJc w:val="left"/>
      <w:pPr>
        <w:ind w:left="3060" w:hanging="234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7DC11C5"/>
    <w:multiLevelType w:val="hybridMultilevel"/>
    <w:tmpl w:val="D3BED252"/>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1"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E1F2E95"/>
    <w:multiLevelType w:val="hybridMultilevel"/>
    <w:tmpl w:val="060A2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26"/>
  </w:num>
  <w:num w:numId="3">
    <w:abstractNumId w:val="0"/>
  </w:num>
  <w:num w:numId="4">
    <w:abstractNumId w:val="19"/>
  </w:num>
  <w:num w:numId="5">
    <w:abstractNumId w:val="43"/>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1"/>
  </w:num>
  <w:num w:numId="9">
    <w:abstractNumId w:val="10"/>
  </w:num>
  <w:num w:numId="10">
    <w:abstractNumId w:val="35"/>
  </w:num>
  <w:num w:numId="11">
    <w:abstractNumId w:val="12"/>
  </w:num>
  <w:num w:numId="12">
    <w:abstractNumId w:val="1"/>
  </w:num>
  <w:num w:numId="13">
    <w:abstractNumId w:val="25"/>
  </w:num>
  <w:num w:numId="14">
    <w:abstractNumId w:val="33"/>
  </w:num>
  <w:num w:numId="15">
    <w:abstractNumId w:val="39"/>
  </w:num>
  <w:num w:numId="16">
    <w:abstractNumId w:val="34"/>
  </w:num>
  <w:num w:numId="17">
    <w:abstractNumId w:val="38"/>
  </w:num>
  <w:num w:numId="18">
    <w:abstractNumId w:val="29"/>
  </w:num>
  <w:num w:numId="19">
    <w:abstractNumId w:val="20"/>
  </w:num>
  <w:num w:numId="20">
    <w:abstractNumId w:val="8"/>
  </w:num>
  <w:num w:numId="21">
    <w:abstractNumId w:val="2"/>
  </w:num>
  <w:num w:numId="22">
    <w:abstractNumId w:val="15"/>
  </w:num>
  <w:num w:numId="23">
    <w:abstractNumId w:val="11"/>
  </w:num>
  <w:num w:numId="24">
    <w:abstractNumId w:val="22"/>
  </w:num>
  <w:num w:numId="25">
    <w:abstractNumId w:val="16"/>
  </w:num>
  <w:num w:numId="26">
    <w:abstractNumId w:val="36"/>
  </w:num>
  <w:num w:numId="27">
    <w:abstractNumId w:val="21"/>
  </w:num>
  <w:num w:numId="28">
    <w:abstractNumId w:val="5"/>
  </w:num>
  <w:num w:numId="29">
    <w:abstractNumId w:val="6"/>
  </w:num>
  <w:num w:numId="30">
    <w:abstractNumId w:val="13"/>
  </w:num>
  <w:num w:numId="31">
    <w:abstractNumId w:val="4"/>
  </w:num>
  <w:num w:numId="32">
    <w:abstractNumId w:val="14"/>
  </w:num>
  <w:num w:numId="33">
    <w:abstractNumId w:val="17"/>
  </w:num>
  <w:num w:numId="34">
    <w:abstractNumId w:val="27"/>
  </w:num>
  <w:num w:numId="35">
    <w:abstractNumId w:val="37"/>
  </w:num>
  <w:num w:numId="36">
    <w:abstractNumId w:val="40"/>
  </w:num>
  <w:num w:numId="37">
    <w:abstractNumId w:val="23"/>
  </w:num>
  <w:num w:numId="38">
    <w:abstractNumId w:val="24"/>
  </w:num>
  <w:num w:numId="39">
    <w:abstractNumId w:val="3"/>
  </w:num>
  <w:num w:numId="40">
    <w:abstractNumId w:val="7"/>
  </w:num>
  <w:num w:numId="41">
    <w:abstractNumId w:val="28"/>
  </w:num>
  <w:num w:numId="42">
    <w:abstractNumId w:val="42"/>
  </w:num>
  <w:num w:numId="43">
    <w:abstractNumId w:val="31"/>
  </w:num>
  <w:num w:numId="44">
    <w:abstractNumId w:val="9"/>
  </w:num>
  <w:num w:numId="4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3C25CB-4D7C-4F63-AD7A-FED33D5CE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nhideWhenUsed/>
    <w:pPr>
      <w:tabs>
        <w:tab w:val="center" w:pos="4680"/>
        <w:tab w:val="right" w:pos="9360"/>
      </w:tabs>
      <w:spacing w:after="0" w:line="240" w:lineRule="auto"/>
    </w:pPr>
  </w:style>
  <w:style w:type="character" w:customStyle="1" w:styleId="FooterChar">
    <w:name w:val="Footer Char"/>
    <w:basedOn w:val="DefaultParagraphFont"/>
    <w:link w:val="Foote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Знак Знак, webb,Char Char Char,Char Char Char Char,Char Char Char1,Обычный (веб),Обычный (Web)1"/>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qFormat/>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Знак Знак Char, webb Char,Char Char Char Char1"/>
    <w:link w:val="NormalWeb"/>
    <w:uiPriority w:val="99"/>
    <w:locked/>
    <w:rPr>
      <w:rFonts w:ascii="Times New Roman" w:eastAsia="Times New Roman" w:hAnsi="Times New Roman" w:cs="Times New Roman"/>
      <w:sz w:val="24"/>
      <w:szCs w:val="24"/>
    </w:rPr>
  </w:style>
  <w:style w:type="character" w:customStyle="1" w:styleId="mechtexChar">
    <w:name w:val="mechtex Char"/>
    <w:link w:val="mechtex"/>
    <w:locked/>
    <w:rPr>
      <w:rFonts w:ascii="Arial Armenian" w:eastAsia="Times New Roman" w:hAnsi="Arial Armenian" w:cs="Times New Roman"/>
      <w:szCs w:val="24"/>
      <w:lang w:val="x-none" w:eastAsia="x-none"/>
    </w:rPr>
  </w:style>
  <w:style w:type="paragraph" w:customStyle="1" w:styleId="mechtex">
    <w:name w:val="mechtex"/>
    <w:basedOn w:val="Normal"/>
    <w:link w:val="mechtexChar"/>
    <w:qFormat/>
    <w:pPr>
      <w:spacing w:after="0" w:line="240" w:lineRule="auto"/>
      <w:jc w:val="center"/>
    </w:pPr>
    <w:rPr>
      <w:rFonts w:ascii="Arial Armenian" w:eastAsia="Times New Roman" w:hAnsi="Arial Armenian" w:cs="Times New Roman"/>
      <w:szCs w:val="24"/>
      <w:lang w:val="x-none" w:eastAsia="x-none"/>
    </w:rPr>
  </w:style>
  <w:style w:type="paragraph" w:customStyle="1" w:styleId="HeaderandFooter">
    <w:name w:val="Header and Footer"/>
    <w:basedOn w:val="Normal"/>
    <w:qFormat/>
    <w:pPr>
      <w:suppressAutoHyphens/>
    </w:pPr>
    <w:rPr>
      <w:rFonts w:cs="Times New Roman"/>
    </w:rPr>
  </w:style>
  <w:style w:type="character" w:customStyle="1" w:styleId="s8">
    <w:name w:val="s8"/>
  </w:style>
  <w:style w:type="character" w:customStyle="1" w:styleId="db">
    <w:name w:val="db"/>
    <w:basedOn w:val="DefaultParagraphFont"/>
  </w:style>
  <w:style w:type="character" w:customStyle="1" w:styleId="BodyTextChar">
    <w:name w:val="Body Text Char"/>
    <w:link w:val="BodyText"/>
    <w:locked/>
    <w:rPr>
      <w:rFonts w:ascii="Times Armenian" w:hAnsi="Times Armenian"/>
      <w:sz w:val="24"/>
    </w:rPr>
  </w:style>
  <w:style w:type="paragraph" w:styleId="BodyText">
    <w:name w:val="Body Text"/>
    <w:basedOn w:val="Normal"/>
    <w:link w:val="BodyTextChar"/>
    <w:pPr>
      <w:spacing w:after="0" w:line="240" w:lineRule="auto"/>
      <w:jc w:val="both"/>
    </w:pPr>
    <w:rPr>
      <w:rFonts w:ascii="Times Armenian" w:hAnsi="Times Armenian"/>
      <w:sz w:val="24"/>
    </w:rPr>
  </w:style>
  <w:style w:type="character" w:customStyle="1" w:styleId="BodyTextChar1">
    <w:name w:val="Body Text Char1"/>
    <w:basedOn w:val="DefaultParagraphFont"/>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36590">
      <w:bodyDiv w:val="1"/>
      <w:marLeft w:val="0"/>
      <w:marRight w:val="0"/>
      <w:marTop w:val="0"/>
      <w:marBottom w:val="0"/>
      <w:divBdr>
        <w:top w:val="none" w:sz="0" w:space="0" w:color="auto"/>
        <w:left w:val="none" w:sz="0" w:space="0" w:color="auto"/>
        <w:bottom w:val="none" w:sz="0" w:space="0" w:color="auto"/>
        <w:right w:val="none" w:sz="0" w:space="0" w:color="auto"/>
      </w:divBdr>
    </w:div>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49154082">
      <w:bodyDiv w:val="1"/>
      <w:marLeft w:val="0"/>
      <w:marRight w:val="0"/>
      <w:marTop w:val="0"/>
      <w:marBottom w:val="0"/>
      <w:divBdr>
        <w:top w:val="none" w:sz="0" w:space="0" w:color="auto"/>
        <w:left w:val="none" w:sz="0" w:space="0" w:color="auto"/>
        <w:bottom w:val="none" w:sz="0" w:space="0" w:color="auto"/>
        <w:right w:val="none" w:sz="0" w:space="0" w:color="auto"/>
      </w:divBdr>
      <w:divsChild>
        <w:div w:id="132799745">
          <w:marLeft w:val="0"/>
          <w:marRight w:val="0"/>
          <w:marTop w:val="0"/>
          <w:marBottom w:val="0"/>
          <w:divBdr>
            <w:top w:val="none" w:sz="0" w:space="0" w:color="auto"/>
            <w:left w:val="none" w:sz="0" w:space="0" w:color="auto"/>
            <w:bottom w:val="none" w:sz="0" w:space="0" w:color="auto"/>
            <w:right w:val="none" w:sz="0" w:space="0" w:color="auto"/>
          </w:divBdr>
          <w:divsChild>
            <w:div w:id="2136831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84956">
      <w:bodyDiv w:val="1"/>
      <w:marLeft w:val="0"/>
      <w:marRight w:val="0"/>
      <w:marTop w:val="0"/>
      <w:marBottom w:val="0"/>
      <w:divBdr>
        <w:top w:val="none" w:sz="0" w:space="0" w:color="auto"/>
        <w:left w:val="none" w:sz="0" w:space="0" w:color="auto"/>
        <w:bottom w:val="none" w:sz="0" w:space="0" w:color="auto"/>
        <w:right w:val="none" w:sz="0" w:space="0" w:color="auto"/>
      </w:divBdr>
      <w:divsChild>
        <w:div w:id="1442217247">
          <w:marLeft w:val="0"/>
          <w:marRight w:val="0"/>
          <w:marTop w:val="0"/>
          <w:marBottom w:val="0"/>
          <w:divBdr>
            <w:top w:val="none" w:sz="0" w:space="0" w:color="auto"/>
            <w:left w:val="none" w:sz="0" w:space="0" w:color="auto"/>
            <w:bottom w:val="none" w:sz="0" w:space="0" w:color="auto"/>
            <w:right w:val="none" w:sz="0" w:space="0" w:color="auto"/>
          </w:divBdr>
          <w:divsChild>
            <w:div w:id="1202865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6124">
      <w:bodyDiv w:val="1"/>
      <w:marLeft w:val="0"/>
      <w:marRight w:val="0"/>
      <w:marTop w:val="0"/>
      <w:marBottom w:val="0"/>
      <w:divBdr>
        <w:top w:val="none" w:sz="0" w:space="0" w:color="auto"/>
        <w:left w:val="none" w:sz="0" w:space="0" w:color="auto"/>
        <w:bottom w:val="none" w:sz="0" w:space="0" w:color="auto"/>
        <w:right w:val="none" w:sz="0" w:space="0" w:color="auto"/>
      </w:divBdr>
    </w:div>
    <w:div w:id="156503096">
      <w:bodyDiv w:val="1"/>
      <w:marLeft w:val="0"/>
      <w:marRight w:val="0"/>
      <w:marTop w:val="0"/>
      <w:marBottom w:val="0"/>
      <w:divBdr>
        <w:top w:val="none" w:sz="0" w:space="0" w:color="auto"/>
        <w:left w:val="none" w:sz="0" w:space="0" w:color="auto"/>
        <w:bottom w:val="none" w:sz="0" w:space="0" w:color="auto"/>
        <w:right w:val="none" w:sz="0" w:space="0" w:color="auto"/>
      </w:divBdr>
      <w:divsChild>
        <w:div w:id="1214467747">
          <w:marLeft w:val="0"/>
          <w:marRight w:val="0"/>
          <w:marTop w:val="0"/>
          <w:marBottom w:val="0"/>
          <w:divBdr>
            <w:top w:val="none" w:sz="0" w:space="0" w:color="auto"/>
            <w:left w:val="none" w:sz="0" w:space="0" w:color="auto"/>
            <w:bottom w:val="none" w:sz="0" w:space="0" w:color="auto"/>
            <w:right w:val="none" w:sz="0" w:space="0" w:color="auto"/>
          </w:divBdr>
          <w:divsChild>
            <w:div w:id="98123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187909491">
      <w:bodyDiv w:val="1"/>
      <w:marLeft w:val="0"/>
      <w:marRight w:val="0"/>
      <w:marTop w:val="0"/>
      <w:marBottom w:val="0"/>
      <w:divBdr>
        <w:top w:val="none" w:sz="0" w:space="0" w:color="auto"/>
        <w:left w:val="none" w:sz="0" w:space="0" w:color="auto"/>
        <w:bottom w:val="none" w:sz="0" w:space="0" w:color="auto"/>
        <w:right w:val="none" w:sz="0" w:space="0" w:color="auto"/>
      </w:divBdr>
      <w:divsChild>
        <w:div w:id="781460434">
          <w:marLeft w:val="0"/>
          <w:marRight w:val="0"/>
          <w:marTop w:val="0"/>
          <w:marBottom w:val="0"/>
          <w:divBdr>
            <w:top w:val="none" w:sz="0" w:space="0" w:color="auto"/>
            <w:left w:val="none" w:sz="0" w:space="0" w:color="auto"/>
            <w:bottom w:val="none" w:sz="0" w:space="0" w:color="auto"/>
            <w:right w:val="none" w:sz="0" w:space="0" w:color="auto"/>
          </w:divBdr>
          <w:divsChild>
            <w:div w:id="66027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25811">
      <w:bodyDiv w:val="1"/>
      <w:marLeft w:val="0"/>
      <w:marRight w:val="0"/>
      <w:marTop w:val="0"/>
      <w:marBottom w:val="0"/>
      <w:divBdr>
        <w:top w:val="none" w:sz="0" w:space="0" w:color="auto"/>
        <w:left w:val="none" w:sz="0" w:space="0" w:color="auto"/>
        <w:bottom w:val="none" w:sz="0" w:space="0" w:color="auto"/>
        <w:right w:val="none" w:sz="0" w:space="0" w:color="auto"/>
      </w:divBdr>
      <w:divsChild>
        <w:div w:id="2016226115">
          <w:marLeft w:val="0"/>
          <w:marRight w:val="0"/>
          <w:marTop w:val="0"/>
          <w:marBottom w:val="0"/>
          <w:divBdr>
            <w:top w:val="none" w:sz="0" w:space="0" w:color="auto"/>
            <w:left w:val="none" w:sz="0" w:space="0" w:color="auto"/>
            <w:bottom w:val="none" w:sz="0" w:space="0" w:color="auto"/>
            <w:right w:val="none" w:sz="0" w:space="0" w:color="auto"/>
          </w:divBdr>
          <w:divsChild>
            <w:div w:id="60384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40555">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665628">
      <w:bodyDiv w:val="1"/>
      <w:marLeft w:val="0"/>
      <w:marRight w:val="0"/>
      <w:marTop w:val="0"/>
      <w:marBottom w:val="0"/>
      <w:divBdr>
        <w:top w:val="none" w:sz="0" w:space="0" w:color="auto"/>
        <w:left w:val="none" w:sz="0" w:space="0" w:color="auto"/>
        <w:bottom w:val="none" w:sz="0" w:space="0" w:color="auto"/>
        <w:right w:val="none" w:sz="0" w:space="0" w:color="auto"/>
      </w:divBdr>
      <w:divsChild>
        <w:div w:id="1689987909">
          <w:marLeft w:val="0"/>
          <w:marRight w:val="0"/>
          <w:marTop w:val="0"/>
          <w:marBottom w:val="0"/>
          <w:divBdr>
            <w:top w:val="none" w:sz="0" w:space="0" w:color="auto"/>
            <w:left w:val="none" w:sz="0" w:space="0" w:color="auto"/>
            <w:bottom w:val="none" w:sz="0" w:space="0" w:color="auto"/>
            <w:right w:val="none" w:sz="0" w:space="0" w:color="auto"/>
          </w:divBdr>
          <w:divsChild>
            <w:div w:id="8415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51035376">
      <w:bodyDiv w:val="1"/>
      <w:marLeft w:val="0"/>
      <w:marRight w:val="0"/>
      <w:marTop w:val="0"/>
      <w:marBottom w:val="0"/>
      <w:divBdr>
        <w:top w:val="none" w:sz="0" w:space="0" w:color="auto"/>
        <w:left w:val="none" w:sz="0" w:space="0" w:color="auto"/>
        <w:bottom w:val="none" w:sz="0" w:space="0" w:color="auto"/>
        <w:right w:val="none" w:sz="0" w:space="0" w:color="auto"/>
      </w:divBdr>
      <w:divsChild>
        <w:div w:id="962073116">
          <w:marLeft w:val="0"/>
          <w:marRight w:val="0"/>
          <w:marTop w:val="0"/>
          <w:marBottom w:val="0"/>
          <w:divBdr>
            <w:top w:val="none" w:sz="0" w:space="0" w:color="auto"/>
            <w:left w:val="none" w:sz="0" w:space="0" w:color="auto"/>
            <w:bottom w:val="none" w:sz="0" w:space="0" w:color="auto"/>
            <w:right w:val="none" w:sz="0" w:space="0" w:color="auto"/>
          </w:divBdr>
          <w:divsChild>
            <w:div w:id="147020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44357">
      <w:bodyDiv w:val="1"/>
      <w:marLeft w:val="0"/>
      <w:marRight w:val="0"/>
      <w:marTop w:val="0"/>
      <w:marBottom w:val="0"/>
      <w:divBdr>
        <w:top w:val="none" w:sz="0" w:space="0" w:color="auto"/>
        <w:left w:val="none" w:sz="0" w:space="0" w:color="auto"/>
        <w:bottom w:val="none" w:sz="0" w:space="0" w:color="auto"/>
        <w:right w:val="none" w:sz="0" w:space="0" w:color="auto"/>
      </w:divBdr>
      <w:divsChild>
        <w:div w:id="1124083187">
          <w:marLeft w:val="0"/>
          <w:marRight w:val="0"/>
          <w:marTop w:val="0"/>
          <w:marBottom w:val="0"/>
          <w:divBdr>
            <w:top w:val="none" w:sz="0" w:space="0" w:color="auto"/>
            <w:left w:val="none" w:sz="0" w:space="0" w:color="auto"/>
            <w:bottom w:val="none" w:sz="0" w:space="0" w:color="auto"/>
            <w:right w:val="none" w:sz="0" w:space="0" w:color="auto"/>
          </w:divBdr>
          <w:divsChild>
            <w:div w:id="204813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834634">
      <w:bodyDiv w:val="1"/>
      <w:marLeft w:val="0"/>
      <w:marRight w:val="0"/>
      <w:marTop w:val="0"/>
      <w:marBottom w:val="0"/>
      <w:divBdr>
        <w:top w:val="none" w:sz="0" w:space="0" w:color="auto"/>
        <w:left w:val="none" w:sz="0" w:space="0" w:color="auto"/>
        <w:bottom w:val="none" w:sz="0" w:space="0" w:color="auto"/>
        <w:right w:val="none" w:sz="0" w:space="0" w:color="auto"/>
      </w:divBdr>
      <w:divsChild>
        <w:div w:id="1997372306">
          <w:marLeft w:val="0"/>
          <w:marRight w:val="0"/>
          <w:marTop w:val="0"/>
          <w:marBottom w:val="0"/>
          <w:divBdr>
            <w:top w:val="none" w:sz="0" w:space="0" w:color="auto"/>
            <w:left w:val="none" w:sz="0" w:space="0" w:color="auto"/>
            <w:bottom w:val="none" w:sz="0" w:space="0" w:color="auto"/>
            <w:right w:val="none" w:sz="0" w:space="0" w:color="auto"/>
          </w:divBdr>
          <w:divsChild>
            <w:div w:id="87046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858052">
      <w:bodyDiv w:val="1"/>
      <w:marLeft w:val="0"/>
      <w:marRight w:val="0"/>
      <w:marTop w:val="0"/>
      <w:marBottom w:val="0"/>
      <w:divBdr>
        <w:top w:val="none" w:sz="0" w:space="0" w:color="auto"/>
        <w:left w:val="none" w:sz="0" w:space="0" w:color="auto"/>
        <w:bottom w:val="none" w:sz="0" w:space="0" w:color="auto"/>
        <w:right w:val="none" w:sz="0" w:space="0" w:color="auto"/>
      </w:divBdr>
      <w:divsChild>
        <w:div w:id="1874269756">
          <w:marLeft w:val="0"/>
          <w:marRight w:val="0"/>
          <w:marTop w:val="0"/>
          <w:marBottom w:val="0"/>
          <w:divBdr>
            <w:top w:val="none" w:sz="0" w:space="0" w:color="auto"/>
            <w:left w:val="none" w:sz="0" w:space="0" w:color="auto"/>
            <w:bottom w:val="none" w:sz="0" w:space="0" w:color="auto"/>
            <w:right w:val="none" w:sz="0" w:space="0" w:color="auto"/>
          </w:divBdr>
          <w:divsChild>
            <w:div w:id="43879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448259">
      <w:bodyDiv w:val="1"/>
      <w:marLeft w:val="0"/>
      <w:marRight w:val="0"/>
      <w:marTop w:val="0"/>
      <w:marBottom w:val="0"/>
      <w:divBdr>
        <w:top w:val="none" w:sz="0" w:space="0" w:color="auto"/>
        <w:left w:val="none" w:sz="0" w:space="0" w:color="auto"/>
        <w:bottom w:val="none" w:sz="0" w:space="0" w:color="auto"/>
        <w:right w:val="none" w:sz="0" w:space="0" w:color="auto"/>
      </w:divBdr>
      <w:divsChild>
        <w:div w:id="1753969073">
          <w:marLeft w:val="0"/>
          <w:marRight w:val="0"/>
          <w:marTop w:val="0"/>
          <w:marBottom w:val="0"/>
          <w:divBdr>
            <w:top w:val="none" w:sz="0" w:space="0" w:color="auto"/>
            <w:left w:val="none" w:sz="0" w:space="0" w:color="auto"/>
            <w:bottom w:val="none" w:sz="0" w:space="0" w:color="auto"/>
            <w:right w:val="none" w:sz="0" w:space="0" w:color="auto"/>
          </w:divBdr>
          <w:divsChild>
            <w:div w:id="173801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744999">
      <w:bodyDiv w:val="1"/>
      <w:marLeft w:val="0"/>
      <w:marRight w:val="0"/>
      <w:marTop w:val="0"/>
      <w:marBottom w:val="0"/>
      <w:divBdr>
        <w:top w:val="none" w:sz="0" w:space="0" w:color="auto"/>
        <w:left w:val="none" w:sz="0" w:space="0" w:color="auto"/>
        <w:bottom w:val="none" w:sz="0" w:space="0" w:color="auto"/>
        <w:right w:val="none" w:sz="0" w:space="0" w:color="auto"/>
      </w:divBdr>
      <w:divsChild>
        <w:div w:id="1266422740">
          <w:marLeft w:val="0"/>
          <w:marRight w:val="0"/>
          <w:marTop w:val="0"/>
          <w:marBottom w:val="0"/>
          <w:divBdr>
            <w:top w:val="none" w:sz="0" w:space="0" w:color="auto"/>
            <w:left w:val="none" w:sz="0" w:space="0" w:color="auto"/>
            <w:bottom w:val="none" w:sz="0" w:space="0" w:color="auto"/>
            <w:right w:val="none" w:sz="0" w:space="0" w:color="auto"/>
          </w:divBdr>
          <w:divsChild>
            <w:div w:id="214002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1252297">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668412409">
      <w:bodyDiv w:val="1"/>
      <w:marLeft w:val="0"/>
      <w:marRight w:val="0"/>
      <w:marTop w:val="0"/>
      <w:marBottom w:val="0"/>
      <w:divBdr>
        <w:top w:val="none" w:sz="0" w:space="0" w:color="auto"/>
        <w:left w:val="none" w:sz="0" w:space="0" w:color="auto"/>
        <w:bottom w:val="none" w:sz="0" w:space="0" w:color="auto"/>
        <w:right w:val="none" w:sz="0" w:space="0" w:color="auto"/>
      </w:divBdr>
      <w:divsChild>
        <w:div w:id="329017951">
          <w:marLeft w:val="0"/>
          <w:marRight w:val="0"/>
          <w:marTop w:val="0"/>
          <w:marBottom w:val="0"/>
          <w:divBdr>
            <w:top w:val="none" w:sz="0" w:space="0" w:color="auto"/>
            <w:left w:val="none" w:sz="0" w:space="0" w:color="auto"/>
            <w:bottom w:val="none" w:sz="0" w:space="0" w:color="auto"/>
            <w:right w:val="none" w:sz="0" w:space="0" w:color="auto"/>
          </w:divBdr>
          <w:divsChild>
            <w:div w:id="143308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502398">
      <w:bodyDiv w:val="1"/>
      <w:marLeft w:val="0"/>
      <w:marRight w:val="0"/>
      <w:marTop w:val="0"/>
      <w:marBottom w:val="0"/>
      <w:divBdr>
        <w:top w:val="none" w:sz="0" w:space="0" w:color="auto"/>
        <w:left w:val="none" w:sz="0" w:space="0" w:color="auto"/>
        <w:bottom w:val="none" w:sz="0" w:space="0" w:color="auto"/>
        <w:right w:val="none" w:sz="0" w:space="0" w:color="auto"/>
      </w:divBdr>
      <w:divsChild>
        <w:div w:id="190654574">
          <w:marLeft w:val="0"/>
          <w:marRight w:val="0"/>
          <w:marTop w:val="0"/>
          <w:marBottom w:val="0"/>
          <w:divBdr>
            <w:top w:val="none" w:sz="0" w:space="0" w:color="auto"/>
            <w:left w:val="none" w:sz="0" w:space="0" w:color="auto"/>
            <w:bottom w:val="none" w:sz="0" w:space="0" w:color="auto"/>
            <w:right w:val="none" w:sz="0" w:space="0" w:color="auto"/>
          </w:divBdr>
          <w:divsChild>
            <w:div w:id="89131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90945">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26120465">
      <w:bodyDiv w:val="1"/>
      <w:marLeft w:val="0"/>
      <w:marRight w:val="0"/>
      <w:marTop w:val="0"/>
      <w:marBottom w:val="0"/>
      <w:divBdr>
        <w:top w:val="none" w:sz="0" w:space="0" w:color="auto"/>
        <w:left w:val="none" w:sz="0" w:space="0" w:color="auto"/>
        <w:bottom w:val="none" w:sz="0" w:space="0" w:color="auto"/>
        <w:right w:val="none" w:sz="0" w:space="0" w:color="auto"/>
      </w:divBdr>
      <w:divsChild>
        <w:div w:id="2055421571">
          <w:marLeft w:val="0"/>
          <w:marRight w:val="0"/>
          <w:marTop w:val="0"/>
          <w:marBottom w:val="0"/>
          <w:divBdr>
            <w:top w:val="none" w:sz="0" w:space="0" w:color="auto"/>
            <w:left w:val="none" w:sz="0" w:space="0" w:color="auto"/>
            <w:bottom w:val="none" w:sz="0" w:space="0" w:color="auto"/>
            <w:right w:val="none" w:sz="0" w:space="0" w:color="auto"/>
          </w:divBdr>
          <w:divsChild>
            <w:div w:id="177166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539782">
      <w:bodyDiv w:val="1"/>
      <w:marLeft w:val="0"/>
      <w:marRight w:val="0"/>
      <w:marTop w:val="0"/>
      <w:marBottom w:val="0"/>
      <w:divBdr>
        <w:top w:val="none" w:sz="0" w:space="0" w:color="auto"/>
        <w:left w:val="none" w:sz="0" w:space="0" w:color="auto"/>
        <w:bottom w:val="none" w:sz="0" w:space="0" w:color="auto"/>
        <w:right w:val="none" w:sz="0" w:space="0" w:color="auto"/>
      </w:divBdr>
      <w:divsChild>
        <w:div w:id="1073820146">
          <w:marLeft w:val="0"/>
          <w:marRight w:val="0"/>
          <w:marTop w:val="0"/>
          <w:marBottom w:val="0"/>
          <w:divBdr>
            <w:top w:val="none" w:sz="0" w:space="0" w:color="auto"/>
            <w:left w:val="none" w:sz="0" w:space="0" w:color="auto"/>
            <w:bottom w:val="none" w:sz="0" w:space="0" w:color="auto"/>
            <w:right w:val="none" w:sz="0" w:space="0" w:color="auto"/>
          </w:divBdr>
          <w:divsChild>
            <w:div w:id="198446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01698633">
      <w:bodyDiv w:val="1"/>
      <w:marLeft w:val="0"/>
      <w:marRight w:val="0"/>
      <w:marTop w:val="0"/>
      <w:marBottom w:val="0"/>
      <w:divBdr>
        <w:top w:val="none" w:sz="0" w:space="0" w:color="auto"/>
        <w:left w:val="none" w:sz="0" w:space="0" w:color="auto"/>
        <w:bottom w:val="none" w:sz="0" w:space="0" w:color="auto"/>
        <w:right w:val="none" w:sz="0" w:space="0" w:color="auto"/>
      </w:divBdr>
      <w:divsChild>
        <w:div w:id="355738178">
          <w:marLeft w:val="0"/>
          <w:marRight w:val="0"/>
          <w:marTop w:val="0"/>
          <w:marBottom w:val="0"/>
          <w:divBdr>
            <w:top w:val="none" w:sz="0" w:space="0" w:color="auto"/>
            <w:left w:val="none" w:sz="0" w:space="0" w:color="auto"/>
            <w:bottom w:val="none" w:sz="0" w:space="0" w:color="auto"/>
            <w:right w:val="none" w:sz="0" w:space="0" w:color="auto"/>
          </w:divBdr>
          <w:divsChild>
            <w:div w:id="53689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90857">
      <w:bodyDiv w:val="1"/>
      <w:marLeft w:val="0"/>
      <w:marRight w:val="0"/>
      <w:marTop w:val="0"/>
      <w:marBottom w:val="0"/>
      <w:divBdr>
        <w:top w:val="none" w:sz="0" w:space="0" w:color="auto"/>
        <w:left w:val="none" w:sz="0" w:space="0" w:color="auto"/>
        <w:bottom w:val="none" w:sz="0" w:space="0" w:color="auto"/>
        <w:right w:val="none" w:sz="0" w:space="0" w:color="auto"/>
      </w:divBdr>
      <w:divsChild>
        <w:div w:id="359553048">
          <w:marLeft w:val="0"/>
          <w:marRight w:val="0"/>
          <w:marTop w:val="0"/>
          <w:marBottom w:val="0"/>
          <w:divBdr>
            <w:top w:val="none" w:sz="0" w:space="0" w:color="auto"/>
            <w:left w:val="none" w:sz="0" w:space="0" w:color="auto"/>
            <w:bottom w:val="none" w:sz="0" w:space="0" w:color="auto"/>
            <w:right w:val="none" w:sz="0" w:space="0" w:color="auto"/>
          </w:divBdr>
          <w:divsChild>
            <w:div w:id="87696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01619111">
      <w:bodyDiv w:val="1"/>
      <w:marLeft w:val="0"/>
      <w:marRight w:val="0"/>
      <w:marTop w:val="0"/>
      <w:marBottom w:val="0"/>
      <w:divBdr>
        <w:top w:val="none" w:sz="0" w:space="0" w:color="auto"/>
        <w:left w:val="none" w:sz="0" w:space="0" w:color="auto"/>
        <w:bottom w:val="none" w:sz="0" w:space="0" w:color="auto"/>
        <w:right w:val="none" w:sz="0" w:space="0" w:color="auto"/>
      </w:divBdr>
      <w:divsChild>
        <w:div w:id="1167329824">
          <w:marLeft w:val="0"/>
          <w:marRight w:val="0"/>
          <w:marTop w:val="0"/>
          <w:marBottom w:val="0"/>
          <w:divBdr>
            <w:top w:val="none" w:sz="0" w:space="0" w:color="auto"/>
            <w:left w:val="none" w:sz="0" w:space="0" w:color="auto"/>
            <w:bottom w:val="none" w:sz="0" w:space="0" w:color="auto"/>
            <w:right w:val="none" w:sz="0" w:space="0" w:color="auto"/>
          </w:divBdr>
          <w:divsChild>
            <w:div w:id="1112822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332759815">
      <w:bodyDiv w:val="1"/>
      <w:marLeft w:val="0"/>
      <w:marRight w:val="0"/>
      <w:marTop w:val="0"/>
      <w:marBottom w:val="0"/>
      <w:divBdr>
        <w:top w:val="none" w:sz="0" w:space="0" w:color="auto"/>
        <w:left w:val="none" w:sz="0" w:space="0" w:color="auto"/>
        <w:bottom w:val="none" w:sz="0" w:space="0" w:color="auto"/>
        <w:right w:val="none" w:sz="0" w:space="0" w:color="auto"/>
      </w:divBdr>
      <w:divsChild>
        <w:div w:id="1088385828">
          <w:marLeft w:val="0"/>
          <w:marRight w:val="0"/>
          <w:marTop w:val="0"/>
          <w:marBottom w:val="0"/>
          <w:divBdr>
            <w:top w:val="none" w:sz="0" w:space="0" w:color="auto"/>
            <w:left w:val="none" w:sz="0" w:space="0" w:color="auto"/>
            <w:bottom w:val="none" w:sz="0" w:space="0" w:color="auto"/>
            <w:right w:val="none" w:sz="0" w:space="0" w:color="auto"/>
          </w:divBdr>
          <w:divsChild>
            <w:div w:id="1624994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274325">
      <w:bodyDiv w:val="1"/>
      <w:marLeft w:val="0"/>
      <w:marRight w:val="0"/>
      <w:marTop w:val="0"/>
      <w:marBottom w:val="0"/>
      <w:divBdr>
        <w:top w:val="none" w:sz="0" w:space="0" w:color="auto"/>
        <w:left w:val="none" w:sz="0" w:space="0" w:color="auto"/>
        <w:bottom w:val="none" w:sz="0" w:space="0" w:color="auto"/>
        <w:right w:val="none" w:sz="0" w:space="0" w:color="auto"/>
      </w:divBdr>
      <w:divsChild>
        <w:div w:id="822962580">
          <w:marLeft w:val="0"/>
          <w:marRight w:val="0"/>
          <w:marTop w:val="0"/>
          <w:marBottom w:val="0"/>
          <w:divBdr>
            <w:top w:val="none" w:sz="0" w:space="0" w:color="auto"/>
            <w:left w:val="none" w:sz="0" w:space="0" w:color="auto"/>
            <w:bottom w:val="none" w:sz="0" w:space="0" w:color="auto"/>
            <w:right w:val="none" w:sz="0" w:space="0" w:color="auto"/>
          </w:divBdr>
          <w:divsChild>
            <w:div w:id="717899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57105">
      <w:bodyDiv w:val="1"/>
      <w:marLeft w:val="0"/>
      <w:marRight w:val="0"/>
      <w:marTop w:val="0"/>
      <w:marBottom w:val="0"/>
      <w:divBdr>
        <w:top w:val="none" w:sz="0" w:space="0" w:color="auto"/>
        <w:left w:val="none" w:sz="0" w:space="0" w:color="auto"/>
        <w:bottom w:val="none" w:sz="0" w:space="0" w:color="auto"/>
        <w:right w:val="none" w:sz="0" w:space="0" w:color="auto"/>
      </w:divBdr>
      <w:divsChild>
        <w:div w:id="1280063782">
          <w:marLeft w:val="0"/>
          <w:marRight w:val="0"/>
          <w:marTop w:val="0"/>
          <w:marBottom w:val="0"/>
          <w:divBdr>
            <w:top w:val="none" w:sz="0" w:space="0" w:color="auto"/>
            <w:left w:val="none" w:sz="0" w:space="0" w:color="auto"/>
            <w:bottom w:val="none" w:sz="0" w:space="0" w:color="auto"/>
            <w:right w:val="none" w:sz="0" w:space="0" w:color="auto"/>
          </w:divBdr>
          <w:divsChild>
            <w:div w:id="30481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375216">
      <w:bodyDiv w:val="1"/>
      <w:marLeft w:val="0"/>
      <w:marRight w:val="0"/>
      <w:marTop w:val="0"/>
      <w:marBottom w:val="0"/>
      <w:divBdr>
        <w:top w:val="none" w:sz="0" w:space="0" w:color="auto"/>
        <w:left w:val="none" w:sz="0" w:space="0" w:color="auto"/>
        <w:bottom w:val="none" w:sz="0" w:space="0" w:color="auto"/>
        <w:right w:val="none" w:sz="0" w:space="0" w:color="auto"/>
      </w:divBdr>
    </w:div>
    <w:div w:id="1516840218">
      <w:bodyDiv w:val="1"/>
      <w:marLeft w:val="0"/>
      <w:marRight w:val="0"/>
      <w:marTop w:val="0"/>
      <w:marBottom w:val="0"/>
      <w:divBdr>
        <w:top w:val="none" w:sz="0" w:space="0" w:color="auto"/>
        <w:left w:val="none" w:sz="0" w:space="0" w:color="auto"/>
        <w:bottom w:val="none" w:sz="0" w:space="0" w:color="auto"/>
        <w:right w:val="none" w:sz="0" w:space="0" w:color="auto"/>
      </w:divBdr>
      <w:divsChild>
        <w:div w:id="863136359">
          <w:marLeft w:val="0"/>
          <w:marRight w:val="0"/>
          <w:marTop w:val="0"/>
          <w:marBottom w:val="0"/>
          <w:divBdr>
            <w:top w:val="none" w:sz="0" w:space="0" w:color="auto"/>
            <w:left w:val="none" w:sz="0" w:space="0" w:color="auto"/>
            <w:bottom w:val="none" w:sz="0" w:space="0" w:color="auto"/>
            <w:right w:val="none" w:sz="0" w:space="0" w:color="auto"/>
          </w:divBdr>
          <w:divsChild>
            <w:div w:id="154409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01696">
      <w:bodyDiv w:val="1"/>
      <w:marLeft w:val="0"/>
      <w:marRight w:val="0"/>
      <w:marTop w:val="0"/>
      <w:marBottom w:val="0"/>
      <w:divBdr>
        <w:top w:val="none" w:sz="0" w:space="0" w:color="auto"/>
        <w:left w:val="none" w:sz="0" w:space="0" w:color="auto"/>
        <w:bottom w:val="none" w:sz="0" w:space="0" w:color="auto"/>
        <w:right w:val="none" w:sz="0" w:space="0" w:color="auto"/>
      </w:divBdr>
    </w:div>
    <w:div w:id="1733960508">
      <w:bodyDiv w:val="1"/>
      <w:marLeft w:val="0"/>
      <w:marRight w:val="0"/>
      <w:marTop w:val="0"/>
      <w:marBottom w:val="0"/>
      <w:divBdr>
        <w:top w:val="none" w:sz="0" w:space="0" w:color="auto"/>
        <w:left w:val="none" w:sz="0" w:space="0" w:color="auto"/>
        <w:bottom w:val="none" w:sz="0" w:space="0" w:color="auto"/>
        <w:right w:val="none" w:sz="0" w:space="0" w:color="auto"/>
      </w:divBdr>
      <w:divsChild>
        <w:div w:id="1524510038">
          <w:marLeft w:val="0"/>
          <w:marRight w:val="0"/>
          <w:marTop w:val="0"/>
          <w:marBottom w:val="0"/>
          <w:divBdr>
            <w:top w:val="none" w:sz="0" w:space="0" w:color="auto"/>
            <w:left w:val="none" w:sz="0" w:space="0" w:color="auto"/>
            <w:bottom w:val="none" w:sz="0" w:space="0" w:color="auto"/>
            <w:right w:val="none" w:sz="0" w:space="0" w:color="auto"/>
          </w:divBdr>
          <w:divsChild>
            <w:div w:id="1307473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1987126305">
      <w:bodyDiv w:val="1"/>
      <w:marLeft w:val="0"/>
      <w:marRight w:val="0"/>
      <w:marTop w:val="0"/>
      <w:marBottom w:val="0"/>
      <w:divBdr>
        <w:top w:val="none" w:sz="0" w:space="0" w:color="auto"/>
        <w:left w:val="none" w:sz="0" w:space="0" w:color="auto"/>
        <w:bottom w:val="none" w:sz="0" w:space="0" w:color="auto"/>
        <w:right w:val="none" w:sz="0" w:space="0" w:color="auto"/>
      </w:divBdr>
      <w:divsChild>
        <w:div w:id="1724062180">
          <w:marLeft w:val="0"/>
          <w:marRight w:val="0"/>
          <w:marTop w:val="0"/>
          <w:marBottom w:val="0"/>
          <w:divBdr>
            <w:top w:val="none" w:sz="0" w:space="0" w:color="auto"/>
            <w:left w:val="none" w:sz="0" w:space="0" w:color="auto"/>
            <w:bottom w:val="none" w:sz="0" w:space="0" w:color="auto"/>
            <w:right w:val="none" w:sz="0" w:space="0" w:color="auto"/>
          </w:divBdr>
          <w:divsChild>
            <w:div w:id="340671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488AE-4704-492F-A965-43FB3D198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38</Pages>
  <Words>7415</Words>
  <Characters>57837</Characters>
  <Application>Microsoft Office Word</Application>
  <DocSecurity>0</DocSecurity>
  <Lines>1563</Lines>
  <Paragraphs>919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https:/mul2-mss.gov.am/tasks/1719224/oneclick/ampopatert (60).docx?token=cdb2542efd2338673ef142896f6bd345</cp:keywords>
  <dc:description/>
  <cp:lastModifiedBy>Davit Khachatryan</cp:lastModifiedBy>
  <cp:revision>6</cp:revision>
  <dcterms:created xsi:type="dcterms:W3CDTF">2024-05-21T10:22:00Z</dcterms:created>
  <dcterms:modified xsi:type="dcterms:W3CDTF">2024-11-21T14:26:00Z</dcterms:modified>
</cp:coreProperties>
</file>