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ind w:hanging="0" w:end="270"/>
        <w:jc w:val="end"/>
        <w:rPr>
          <w:rFonts w:ascii="GHEA Grapalat" w:hAnsi="GHEA Grapalat"/>
          <w:b/>
          <w:bCs/>
          <w:sz w:val="24"/>
          <w:szCs w:val="24"/>
        </w:rPr>
      </w:pPr>
      <w:r>
        <w:rPr>
          <w:rFonts w:ascii="GHEA Grapalat" w:hAnsi="GHEA Grapalat"/>
          <w:b/>
          <w:bCs/>
          <w:sz w:val="24"/>
          <w:szCs w:val="24"/>
        </w:rPr>
      </w:r>
    </w:p>
    <w:p>
      <w:pPr>
        <w:pStyle w:val="Normal"/>
        <w:spacing w:lineRule="auto" w:line="240" w:before="0" w:after="0"/>
        <w:ind w:hanging="0" w:end="270"/>
        <w:jc w:val="center"/>
        <w:rPr>
          <w:rFonts w:ascii="GHEA Grapalat" w:hAnsi="GHEA Grapalat"/>
          <w:b/>
          <w:bCs/>
          <w:sz w:val="24"/>
          <w:szCs w:val="24"/>
        </w:rPr>
      </w:pPr>
      <w:r>
        <w:rPr>
          <w:rFonts w:ascii="GHEA Grapalat" w:hAnsi="GHEA Grapalat"/>
          <w:b/>
          <w:bCs/>
          <w:sz w:val="24"/>
          <w:szCs w:val="24"/>
        </w:rPr>
      </w:r>
    </w:p>
    <w:p>
      <w:pPr>
        <w:pStyle w:val="Normal"/>
        <w:spacing w:lineRule="auto" w:line="276" w:before="0" w:after="0"/>
        <w:ind w:hanging="0" w:end="270"/>
        <w:jc w:val="center"/>
        <w:rPr/>
      </w:pPr>
      <w:r>
        <w:rPr>
          <w:rFonts w:cs="Sylfaen" w:ascii="GHEA Grapalat" w:hAnsi="GHEA Grapalat"/>
          <w:b/>
          <w:bCs/>
          <w:sz w:val="24"/>
          <w:szCs w:val="24"/>
          <w:lang w:val="hy-AM"/>
        </w:rPr>
        <w:t>ԱՄՓՈՓԱԹԵՐԹ</w:t>
      </w:r>
    </w:p>
    <w:p>
      <w:pPr>
        <w:pStyle w:val="Normal"/>
        <w:spacing w:lineRule="auto" w:line="276" w:before="0" w:after="0"/>
        <w:jc w:val="center"/>
        <w:rPr/>
      </w:pPr>
      <w:r>
        <w:rPr>
          <w:rFonts w:eastAsia="Times New Roman" w:cs="Times New Roman" w:ascii="GHEA Grapalat" w:hAnsi="GHEA Grapalat"/>
          <w:b/>
          <w:bCs/>
          <w:i w:val="false"/>
          <w:caps w:val="false"/>
          <w:smallCaps w:val="false"/>
          <w:color w:val="000000"/>
          <w:spacing w:val="0"/>
          <w:sz w:val="24"/>
          <w:szCs w:val="24"/>
          <w:lang w:val="hy-AM"/>
        </w:rPr>
        <w:t>«ՊԵՏԱԿԱՆ ԳԱՂՏՆԻՔԻ ՄԱՍԻՆ» ՕՐԵՆՔՈՒՄ ՓՈՓՈԽՈՒԹՅՈՒՆՆԵՐ ԵՎ ԼՐԱՑՈՒՄՆԵՐ ԿԱՏԱՐԵԼՈՒ ՄԱՍԻՆ</w:t>
      </w:r>
      <w:r>
        <w:rPr>
          <w:rFonts w:cs="Sylfaen" w:ascii="GHEA Grapalat" w:hAnsi="GHEA Grapalat"/>
          <w:b/>
          <w:bCs/>
          <w:i w:val="false"/>
          <w:caps w:val="false"/>
          <w:smallCaps w:val="false"/>
          <w:color w:val="000000"/>
          <w:spacing w:val="0"/>
          <w:sz w:val="24"/>
          <w:szCs w:val="24"/>
          <w:lang w:val="hy-AM"/>
        </w:rPr>
        <w:t xml:space="preserve"> </w:t>
      </w:r>
    </w:p>
    <w:p>
      <w:pPr>
        <w:pStyle w:val="Normal"/>
        <w:spacing w:lineRule="auto" w:line="276"/>
        <w:jc w:val="center"/>
        <w:rPr/>
      </w:pPr>
      <w:r>
        <w:rPr>
          <w:rFonts w:cs="Sylfaen" w:ascii="GHEA Grapalat" w:hAnsi="GHEA Grapalat"/>
          <w:b/>
          <w:bCs/>
          <w:i w:val="false"/>
          <w:caps w:val="false"/>
          <w:smallCaps w:val="false"/>
          <w:color w:val="000000"/>
          <w:spacing w:val="0"/>
          <w:sz w:val="24"/>
          <w:szCs w:val="24"/>
          <w:lang w:val="hy-AM"/>
        </w:rPr>
        <w:t xml:space="preserve"> </w:t>
      </w:r>
      <w:r>
        <w:rPr>
          <w:rFonts w:cs="Sylfaen" w:ascii="GHEA Grapalat" w:hAnsi="GHEA Grapalat"/>
          <w:b/>
          <w:bCs/>
          <w:i w:val="false"/>
          <w:caps w:val="false"/>
          <w:smallCaps w:val="false"/>
          <w:color w:val="000000"/>
          <w:spacing w:val="0"/>
          <w:sz w:val="24"/>
          <w:szCs w:val="24"/>
          <w:lang w:val="hy-AM"/>
        </w:rPr>
        <w:t>ՀՀ  ՕՐԵՆՔԻ  ՆԱԽԱԳԾԻ ՎԵՐԱԲԵՐՅԱԼ</w:t>
      </w:r>
    </w:p>
    <w:p>
      <w:pPr>
        <w:pStyle w:val="Normal"/>
        <w:spacing w:lineRule="auto" w:line="276"/>
        <w:jc w:val="center"/>
        <w:rPr>
          <w:rFonts w:ascii="GHEA Grapalat" w:hAnsi="GHEA Grapalat"/>
          <w:b/>
          <w:bCs/>
          <w:sz w:val="24"/>
          <w:szCs w:val="24"/>
        </w:rPr>
      </w:pPr>
      <w:r>
        <w:rPr>
          <w:rFonts w:ascii="GHEA Grapalat" w:hAnsi="GHEA Grapalat"/>
          <w:b/>
          <w:bCs/>
          <w:sz w:val="24"/>
          <w:szCs w:val="24"/>
        </w:rPr>
      </w:r>
    </w:p>
    <w:tbl>
      <w:tblPr>
        <w:tblpPr w:vertAnchor="text" w:horzAnchor="text" w:leftFromText="180" w:rightFromText="180" w:tblpX="-78" w:tblpY="549"/>
        <w:tblW w:w="14675" w:type="dxa"/>
        <w:jc w:val="start"/>
        <w:tblInd w:w="-5" w:type="dxa"/>
        <w:tblLayout w:type="fixed"/>
        <w:tblCellMar>
          <w:top w:w="0" w:type="dxa"/>
          <w:start w:w="108" w:type="dxa"/>
          <w:bottom w:w="0" w:type="dxa"/>
          <w:end w:w="108" w:type="dxa"/>
        </w:tblCellMar>
      </w:tblPr>
      <w:tblGrid>
        <w:gridCol w:w="8913"/>
        <w:gridCol w:w="5761"/>
      </w:tblGrid>
      <w:tr>
        <w:trPr/>
        <w:tc>
          <w:tcPr>
            <w:tcW w:w="8913" w:type="dxa"/>
            <w:vMerge w:val="restart"/>
            <w:tcBorders>
              <w:top w:val="single" w:sz="4" w:space="0" w:color="000000"/>
              <w:start w:val="single" w:sz="4" w:space="0" w:color="000000"/>
              <w:bottom w:val="single" w:sz="4" w:space="0" w:color="000000"/>
              <w:end w:val="single" w:sz="4" w:space="0" w:color="000000"/>
            </w:tcBorders>
            <w:shd w:fill="DDE8CB" w:val="clear"/>
            <w:vAlign w:val="center"/>
          </w:tcPr>
          <w:p>
            <w:pPr>
              <w:pStyle w:val="Normal"/>
              <w:widowControl w:val="false"/>
              <w:suppressAutoHyphens w:val="true"/>
              <w:spacing w:lineRule="auto" w:line="276" w:before="0" w:after="0"/>
              <w:jc w:val="center"/>
              <w:rPr>
                <w:sz w:val="24"/>
                <w:szCs w:val="24"/>
              </w:rPr>
            </w:pPr>
            <w:r>
              <w:rPr>
                <w:rFonts w:eastAsia="Calibri" w:ascii="GHEA Grapalat" w:hAnsi="GHEA Grapalat"/>
                <w:b/>
                <w:kern w:val="0"/>
                <w:sz w:val="24"/>
                <w:szCs w:val="24"/>
                <w:lang w:val="hy-AM" w:eastAsia="en-US" w:bidi="ar-SA"/>
              </w:rPr>
              <w:t>1․ ՀՀ  պաշտպանության նախարարություն</w:t>
            </w:r>
          </w:p>
        </w:tc>
        <w:tc>
          <w:tcPr>
            <w:tcW w:w="5761" w:type="dxa"/>
            <w:tcBorders>
              <w:top w:val="single" w:sz="4" w:space="0" w:color="000000"/>
              <w:start w:val="single" w:sz="4" w:space="0" w:color="000000"/>
              <w:bottom w:val="single" w:sz="4" w:space="0" w:color="000000"/>
              <w:end w:val="single" w:sz="4" w:space="0" w:color="000000"/>
            </w:tcBorders>
            <w:shd w:fill="DDE8CB" w:val="clear"/>
          </w:tcPr>
          <w:p>
            <w:pPr>
              <w:pStyle w:val="Normal"/>
              <w:widowControl w:val="false"/>
              <w:suppressAutoHyphens w:val="true"/>
              <w:spacing w:lineRule="auto" w:line="276" w:before="0" w:after="0"/>
              <w:jc w:val="center"/>
              <w:rPr>
                <w:sz w:val="24"/>
                <w:szCs w:val="24"/>
              </w:rPr>
            </w:pPr>
            <w:r>
              <w:rPr>
                <w:rFonts w:ascii="GHEA Grapalat" w:hAnsi="GHEA Grapalat"/>
                <w:b/>
                <w:sz w:val="24"/>
                <w:szCs w:val="24"/>
                <w:lang w:val="hy-AM"/>
              </w:rPr>
              <w:t>02.08.2024</w:t>
            </w:r>
          </w:p>
        </w:tc>
      </w:tr>
      <w:tr>
        <w:trPr/>
        <w:tc>
          <w:tcPr>
            <w:tcW w:w="8913" w:type="dxa"/>
            <w:vMerge w:val="continue"/>
            <w:tcBorders>
              <w:top w:val="single" w:sz="4" w:space="0" w:color="000000"/>
              <w:start w:val="single" w:sz="4" w:space="0" w:color="000000"/>
              <w:bottom w:val="single" w:sz="4" w:space="0" w:color="000000"/>
              <w:end w:val="single" w:sz="4" w:space="0" w:color="000000"/>
            </w:tcBorders>
            <w:shd w:fill="DDE8CB" w:val="clear"/>
          </w:tcPr>
          <w:p>
            <w:pPr>
              <w:pStyle w:val="Normal"/>
              <w:widowControl/>
              <w:suppressAutoHyphens w:val="true"/>
              <w:bidi w:val="0"/>
              <w:spacing w:lineRule="auto" w:line="276" w:before="0" w:after="160"/>
              <w:jc w:val="start"/>
              <w:rPr>
                <w:sz w:val="24"/>
                <w:szCs w:val="24"/>
              </w:rPr>
            </w:pPr>
            <w:r>
              <w:rPr>
                <w:sz w:val="24"/>
                <w:szCs w:val="24"/>
              </w:rPr>
            </w:r>
          </w:p>
        </w:tc>
        <w:tc>
          <w:tcPr>
            <w:tcW w:w="5761" w:type="dxa"/>
            <w:tcBorders>
              <w:top w:val="single" w:sz="4" w:space="0" w:color="000000"/>
              <w:start w:val="single" w:sz="4" w:space="0" w:color="000000"/>
              <w:bottom w:val="single" w:sz="4" w:space="0" w:color="000000"/>
              <w:end w:val="single" w:sz="4" w:space="0" w:color="000000"/>
            </w:tcBorders>
            <w:shd w:fill="DDE8CB" w:val="clear"/>
          </w:tcPr>
          <w:p>
            <w:pPr>
              <w:pStyle w:val="Normal"/>
              <w:widowControl w:val="false"/>
              <w:suppressAutoHyphens w:val="true"/>
              <w:spacing w:lineRule="auto" w:line="276" w:before="0" w:after="0"/>
              <w:jc w:val="center"/>
              <w:rPr>
                <w:sz w:val="24"/>
                <w:szCs w:val="24"/>
              </w:rPr>
            </w:pPr>
            <w:r>
              <w:rPr>
                <w:rFonts w:ascii="GHEA Grapalat" w:hAnsi="GHEA Grapalat"/>
                <w:b/>
                <w:sz w:val="24"/>
                <w:szCs w:val="24"/>
                <w:lang w:val="hy-AM"/>
              </w:rPr>
              <w:t>N ՊՆ/01/8358</w:t>
            </w:r>
          </w:p>
        </w:tc>
      </w:tr>
      <w:tr>
        <w:trPr/>
        <w:tc>
          <w:tcPr>
            <w:tcW w:w="89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uppressAutoHyphens w:val="true"/>
              <w:spacing w:lineRule="auto" w:line="276" w:before="0" w:after="0"/>
              <w:jc w:val="center"/>
              <w:rPr>
                <w:sz w:val="24"/>
                <w:szCs w:val="24"/>
              </w:rPr>
            </w:pPr>
            <w:r>
              <w:rPr>
                <w:rFonts w:ascii="GHEA Grapalat" w:hAnsi="GHEA Grapalat"/>
                <w:b w:val="false"/>
                <w:bCs w:val="false"/>
                <w:sz w:val="24"/>
                <w:szCs w:val="24"/>
              </w:rPr>
              <w:t>Դիտողություն և առաջարկություններ չկան</w:t>
            </w:r>
          </w:p>
        </w:tc>
        <w:tc>
          <w:tcPr>
            <w:tcW w:w="5761" w:type="dxa"/>
            <w:tcBorders>
              <w:top w:val="single" w:sz="4" w:space="0" w:color="000000"/>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start"/>
              <w:rPr>
                <w:sz w:val="24"/>
                <w:szCs w:val="24"/>
              </w:rPr>
            </w:pPr>
            <w:r>
              <w:rPr>
                <w:rFonts w:ascii="GHEA Grapalat" w:hAnsi="GHEA Grapalat"/>
                <w:b/>
                <w:bCs/>
                <w:sz w:val="24"/>
                <w:szCs w:val="24"/>
                <w:lang w:val="hy-AM"/>
              </w:rPr>
              <w:t xml:space="preserve">  </w:t>
            </w:r>
          </w:p>
          <w:p>
            <w:pPr>
              <w:pStyle w:val="Normal"/>
              <w:widowControl w:val="false"/>
              <w:tabs>
                <w:tab w:val="clear" w:pos="720"/>
                <w:tab w:val="left" w:pos="4775" w:leader="none"/>
              </w:tabs>
              <w:suppressAutoHyphens w:val="true"/>
              <w:spacing w:lineRule="auto" w:line="276" w:before="0" w:after="0"/>
              <w:jc w:val="center"/>
              <w:rPr>
                <w:rFonts w:ascii="GHEA Grapalat" w:hAnsi="GHEA Grapalat" w:eastAsia="Times New Roman" w:cs="Times New Roman"/>
                <w:b/>
                <w:bCs/>
                <w:i w:val="false"/>
                <w:i w:val="false"/>
                <w:caps w:val="false"/>
                <w:smallCaps w:val="false"/>
                <w:color w:val="000000"/>
                <w:spacing w:val="0"/>
                <w:sz w:val="24"/>
                <w:szCs w:val="24"/>
                <w:lang w:val="hy-AM"/>
              </w:rPr>
            </w:pPr>
            <w:r>
              <w:rPr>
                <w:rFonts w:eastAsia="Times New Roman" w:cs="Times New Roman" w:ascii="GHEA Grapalat" w:hAnsi="GHEA Grapalat"/>
                <w:b/>
                <w:bCs/>
                <w:i w:val="false"/>
                <w:caps w:val="false"/>
                <w:smallCaps w:val="false"/>
                <w:color w:val="000000"/>
                <w:spacing w:val="0"/>
                <w:sz w:val="24"/>
                <w:szCs w:val="24"/>
                <w:lang w:val="hy-AM"/>
              </w:rPr>
            </w:r>
          </w:p>
        </w:tc>
      </w:tr>
      <w:tr>
        <w:trPr/>
        <w:tc>
          <w:tcPr>
            <w:tcW w:w="8913" w:type="dxa"/>
            <w:vMerge w:val="restart"/>
            <w:tcBorders>
              <w:start w:val="single" w:sz="4" w:space="0" w:color="000000"/>
              <w:bottom w:val="single" w:sz="4" w:space="0" w:color="000000"/>
              <w:end w:val="single" w:sz="4" w:space="0" w:color="000000"/>
            </w:tcBorders>
            <w:shd w:fill="DDE8CB" w:val="clear"/>
            <w:vAlign w:val="center"/>
          </w:tcPr>
          <w:p>
            <w:pPr>
              <w:pStyle w:val="Normal"/>
              <w:widowControl w:val="false"/>
              <w:suppressAutoHyphens w:val="true"/>
              <w:spacing w:lineRule="auto" w:line="276" w:before="0" w:after="0"/>
              <w:jc w:val="center"/>
              <w:rPr>
                <w:sz w:val="24"/>
                <w:szCs w:val="24"/>
              </w:rPr>
            </w:pPr>
            <w:r>
              <w:rPr>
                <w:rFonts w:eastAsia="Calibri" w:ascii="GHEA Grapalat" w:hAnsi="GHEA Grapalat"/>
                <w:b/>
                <w:bCs w:val="false"/>
                <w:kern w:val="0"/>
                <w:sz w:val="24"/>
                <w:szCs w:val="24"/>
                <w:lang w:val="hy-AM" w:eastAsia="en-US" w:bidi="ar-SA"/>
              </w:rPr>
              <w:t>2․ ՀՀ  պետական պահպանության ծառայություն</w:t>
            </w:r>
          </w:p>
        </w:tc>
        <w:tc>
          <w:tcPr>
            <w:tcW w:w="5761" w:type="dxa"/>
            <w:tcBorders>
              <w:start w:val="single" w:sz="4" w:space="0" w:color="000000"/>
              <w:bottom w:val="single" w:sz="4" w:space="0" w:color="000000"/>
              <w:end w:val="single" w:sz="4" w:space="0" w:color="000000"/>
            </w:tcBorders>
            <w:shd w:fill="DDE8CB" w:val="clear"/>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rPr>
              <w:t>08.08.2024</w:t>
            </w:r>
          </w:p>
        </w:tc>
      </w:tr>
      <w:tr>
        <w:trPr/>
        <w:tc>
          <w:tcPr>
            <w:tcW w:w="8913" w:type="dxa"/>
            <w:vMerge w:val="continue"/>
            <w:tcBorders>
              <w:start w:val="single" w:sz="4" w:space="0" w:color="000000"/>
              <w:bottom w:val="single" w:sz="4" w:space="0" w:color="000000"/>
              <w:end w:val="single" w:sz="4" w:space="0" w:color="000000"/>
            </w:tcBorders>
            <w:shd w:fill="DDE8CB" w:val="clear"/>
          </w:tcPr>
          <w:p>
            <w:pPr>
              <w:pStyle w:val="Normal"/>
              <w:widowControl/>
              <w:suppressAutoHyphens w:val="true"/>
              <w:bidi w:val="0"/>
              <w:spacing w:lineRule="auto" w:line="276" w:before="0" w:after="160"/>
              <w:jc w:val="start"/>
              <w:rPr>
                <w:sz w:val="24"/>
                <w:szCs w:val="24"/>
              </w:rPr>
            </w:pPr>
            <w:r>
              <w:rPr>
                <w:sz w:val="24"/>
                <w:szCs w:val="24"/>
              </w:rPr>
            </w:r>
          </w:p>
        </w:tc>
        <w:tc>
          <w:tcPr>
            <w:tcW w:w="5761" w:type="dxa"/>
            <w:tcBorders>
              <w:start w:val="single" w:sz="4" w:space="0" w:color="000000"/>
              <w:bottom w:val="single" w:sz="4" w:space="0" w:color="000000"/>
              <w:end w:val="single" w:sz="4" w:space="0" w:color="000000"/>
            </w:tcBorders>
            <w:shd w:fill="DDE8CB" w:val="clear"/>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lang w:val="hy-AM"/>
              </w:rPr>
              <w:t xml:space="preserve">N </w:t>
            </w:r>
            <w:r>
              <w:rPr>
                <w:rFonts w:ascii="GHEA Grapalat" w:hAnsi="GHEA Grapalat"/>
                <w:b/>
                <w:bCs/>
                <w:sz w:val="24"/>
                <w:szCs w:val="24"/>
              </w:rPr>
              <w:t>19/2225</w:t>
            </w:r>
          </w:p>
        </w:tc>
      </w:tr>
      <w:tr>
        <w:trPr/>
        <w:tc>
          <w:tcPr>
            <w:tcW w:w="8913" w:type="dxa"/>
            <w:tcBorders>
              <w:start w:val="single" w:sz="4" w:space="0" w:color="000000"/>
              <w:bottom w:val="single" w:sz="4" w:space="0" w:color="000000"/>
              <w:end w:val="single" w:sz="4" w:space="0" w:color="000000"/>
            </w:tcBorders>
            <w:vAlign w:val="center"/>
          </w:tcPr>
          <w:p>
            <w:pPr>
              <w:pStyle w:val="Normal"/>
              <w:widowControl w:val="false"/>
              <w:suppressAutoHyphens w:val="true"/>
              <w:spacing w:lineRule="auto" w:line="276" w:before="0" w:after="0"/>
              <w:jc w:val="center"/>
              <w:rPr>
                <w:sz w:val="24"/>
                <w:szCs w:val="24"/>
              </w:rPr>
            </w:pPr>
            <w:r>
              <w:rPr>
                <w:rFonts w:ascii="GHEA Grapalat" w:hAnsi="GHEA Grapalat"/>
                <w:b w:val="false"/>
                <w:bCs w:val="false"/>
                <w:sz w:val="24"/>
                <w:szCs w:val="24"/>
              </w:rPr>
              <w:t>Դիտողություն և առաջարկություններ չկան</w:t>
            </w:r>
          </w:p>
          <w:p>
            <w:pPr>
              <w:pStyle w:val="Normal"/>
              <w:widowControl w:val="false"/>
              <w:suppressAutoHyphens w:val="true"/>
              <w:spacing w:lineRule="auto" w:line="276" w:before="0" w:after="0"/>
              <w:jc w:val="center"/>
              <w:rPr>
                <w:rFonts w:ascii="GHEA Grapalat" w:hAnsi="GHEA Grapalat"/>
                <w:b w:val="false"/>
                <w:bCs w:val="false"/>
                <w:sz w:val="24"/>
                <w:szCs w:val="24"/>
              </w:rPr>
            </w:pPr>
            <w:r>
              <w:rPr>
                <w:rFonts w:ascii="GHEA Grapalat" w:hAnsi="GHEA Grapalat"/>
                <w:b w:val="false"/>
                <w:bCs w:val="false"/>
                <w:sz w:val="24"/>
                <w:szCs w:val="24"/>
              </w:rPr>
            </w:r>
          </w:p>
        </w:tc>
        <w:tc>
          <w:tcPr>
            <w:tcW w:w="5761" w:type="dxa"/>
            <w:tcBorders>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start"/>
              <w:rPr>
                <w:b/>
                <w:bCs/>
                <w:sz w:val="24"/>
                <w:szCs w:val="24"/>
              </w:rPr>
            </w:pPr>
            <w:r>
              <w:rPr>
                <w:b/>
                <w:bCs/>
                <w:sz w:val="24"/>
                <w:szCs w:val="24"/>
              </w:rPr>
            </w:r>
          </w:p>
        </w:tc>
      </w:tr>
      <w:tr>
        <w:trPr/>
        <w:tc>
          <w:tcPr>
            <w:tcW w:w="8913" w:type="dxa"/>
            <w:vMerge w:val="restart"/>
            <w:tcBorders>
              <w:start w:val="single" w:sz="4" w:space="0" w:color="000000"/>
              <w:bottom w:val="single" w:sz="4" w:space="0" w:color="000000"/>
              <w:end w:val="single" w:sz="4" w:space="0" w:color="000000"/>
            </w:tcBorders>
            <w:shd w:fill="DDE8CB" w:val="clear"/>
            <w:vAlign w:val="center"/>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rPr>
              <w:t>3.ՀՀ բարձր տեխնոլոգիական արդյունաբերության նախարարություն</w:t>
            </w:r>
          </w:p>
        </w:tc>
        <w:tc>
          <w:tcPr>
            <w:tcW w:w="5761" w:type="dxa"/>
            <w:tcBorders>
              <w:start w:val="single" w:sz="4" w:space="0" w:color="000000"/>
              <w:bottom w:val="single" w:sz="4" w:space="0" w:color="000000"/>
              <w:end w:val="single" w:sz="4" w:space="0" w:color="000000"/>
            </w:tcBorders>
            <w:shd w:fill="DDE8CB" w:val="clear"/>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rPr>
              <w:t>12.08.2024</w:t>
            </w:r>
          </w:p>
        </w:tc>
      </w:tr>
      <w:tr>
        <w:trPr>
          <w:trHeight w:val="364" w:hRule="atLeast"/>
        </w:trPr>
        <w:tc>
          <w:tcPr>
            <w:tcW w:w="8913" w:type="dxa"/>
            <w:vMerge w:val="continue"/>
            <w:tcBorders>
              <w:start w:val="single" w:sz="4" w:space="0" w:color="000000"/>
              <w:bottom w:val="single" w:sz="4" w:space="0" w:color="000000"/>
              <w:end w:val="single" w:sz="4" w:space="0" w:color="000000"/>
            </w:tcBorders>
            <w:shd w:fill="DDE8CB" w:val="clear"/>
          </w:tcPr>
          <w:p>
            <w:pPr>
              <w:pStyle w:val="Normal"/>
              <w:widowControl/>
              <w:suppressAutoHyphens w:val="true"/>
              <w:bidi w:val="0"/>
              <w:spacing w:lineRule="auto" w:line="276" w:before="0" w:after="160"/>
              <w:jc w:val="start"/>
              <w:rPr>
                <w:sz w:val="24"/>
                <w:szCs w:val="24"/>
              </w:rPr>
            </w:pPr>
            <w:r>
              <w:rPr>
                <w:sz w:val="24"/>
                <w:szCs w:val="24"/>
              </w:rPr>
            </w:r>
          </w:p>
        </w:tc>
        <w:tc>
          <w:tcPr>
            <w:tcW w:w="5761" w:type="dxa"/>
            <w:tcBorders>
              <w:start w:val="single" w:sz="4" w:space="0" w:color="000000"/>
              <w:bottom w:val="single" w:sz="4" w:space="0" w:color="000000"/>
              <w:end w:val="single" w:sz="4" w:space="0" w:color="000000"/>
            </w:tcBorders>
            <w:shd w:fill="DDE8CB" w:val="clear"/>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lang w:val="hy-AM"/>
              </w:rPr>
              <w:t>N 01/17.1/6769-2024</w:t>
            </w:r>
          </w:p>
        </w:tc>
      </w:tr>
      <w:tr>
        <w:trPr>
          <w:trHeight w:val="364" w:hRule="atLeast"/>
        </w:trPr>
        <w:tc>
          <w:tcPr>
            <w:tcW w:w="8913" w:type="dxa"/>
            <w:tcBorders>
              <w:start w:val="single" w:sz="4" w:space="0" w:color="000000"/>
              <w:bottom w:val="single" w:sz="4" w:space="0" w:color="000000"/>
              <w:end w:val="single" w:sz="4" w:space="0" w:color="000000"/>
            </w:tcBorders>
            <w:vAlign w:val="center"/>
          </w:tcPr>
          <w:p>
            <w:pPr>
              <w:pStyle w:val="Normal"/>
              <w:widowControl w:val="false"/>
              <w:suppressAutoHyphens w:val="true"/>
              <w:spacing w:lineRule="auto" w:line="276" w:before="0" w:after="0"/>
              <w:jc w:val="center"/>
              <w:rPr>
                <w:sz w:val="24"/>
                <w:szCs w:val="24"/>
              </w:rPr>
            </w:pPr>
            <w:r>
              <w:rPr>
                <w:rFonts w:ascii="GHEA Grapalat" w:hAnsi="GHEA Grapalat"/>
                <w:b w:val="false"/>
                <w:bCs w:val="false"/>
                <w:sz w:val="24"/>
                <w:szCs w:val="24"/>
              </w:rPr>
              <w:t>Դիտողություն և առաջարկություններ չկան</w:t>
            </w:r>
          </w:p>
          <w:p>
            <w:pPr>
              <w:pStyle w:val="Normal"/>
              <w:widowControl w:val="false"/>
              <w:suppressAutoHyphens w:val="true"/>
              <w:spacing w:lineRule="auto" w:line="276" w:before="0" w:after="0"/>
              <w:jc w:val="center"/>
              <w:rPr>
                <w:rFonts w:ascii="GHEA Grapalat" w:hAnsi="GHEA Grapalat"/>
                <w:b w:val="false"/>
                <w:bCs w:val="false"/>
                <w:sz w:val="24"/>
                <w:szCs w:val="24"/>
              </w:rPr>
            </w:pPr>
            <w:r>
              <w:rPr>
                <w:rFonts w:ascii="GHEA Grapalat" w:hAnsi="GHEA Grapalat"/>
                <w:b w:val="false"/>
                <w:bCs w:val="false"/>
                <w:sz w:val="24"/>
                <w:szCs w:val="24"/>
              </w:rPr>
            </w:r>
          </w:p>
        </w:tc>
        <w:tc>
          <w:tcPr>
            <w:tcW w:w="5761" w:type="dxa"/>
            <w:tcBorders>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center"/>
              <w:rPr>
                <w:rFonts w:ascii="GHEA Grapalat" w:hAnsi="GHEA Grapalat"/>
                <w:b/>
                <w:bCs/>
                <w:sz w:val="24"/>
                <w:szCs w:val="24"/>
              </w:rPr>
            </w:pPr>
            <w:r>
              <w:rPr>
                <w:rFonts w:ascii="GHEA Grapalat" w:hAnsi="GHEA Grapalat"/>
                <w:b/>
                <w:bCs/>
                <w:sz w:val="24"/>
                <w:szCs w:val="24"/>
              </w:rPr>
            </w:r>
          </w:p>
        </w:tc>
      </w:tr>
      <w:tr>
        <w:trPr>
          <w:trHeight w:val="364" w:hRule="atLeast"/>
        </w:trPr>
        <w:tc>
          <w:tcPr>
            <w:tcW w:w="8913" w:type="dxa"/>
            <w:vMerge w:val="restart"/>
            <w:tcBorders>
              <w:start w:val="single" w:sz="4" w:space="0" w:color="000000"/>
              <w:bottom w:val="single" w:sz="4" w:space="0" w:color="000000"/>
              <w:end w:val="single" w:sz="4" w:space="0" w:color="000000"/>
            </w:tcBorders>
            <w:shd w:fill="DDE8CB" w:val="clear"/>
            <w:vAlign w:val="center"/>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rPr>
              <w:t>4.ՀՀ ֆինանսների  նախարարություն</w:t>
            </w:r>
          </w:p>
        </w:tc>
        <w:tc>
          <w:tcPr>
            <w:tcW w:w="5761" w:type="dxa"/>
            <w:tcBorders>
              <w:start w:val="single" w:sz="4" w:space="0" w:color="000000"/>
              <w:bottom w:val="single" w:sz="4" w:space="0" w:color="000000"/>
              <w:end w:val="single" w:sz="4" w:space="0" w:color="000000"/>
            </w:tcBorders>
            <w:shd w:fill="DDE8CB" w:val="clear"/>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rPr>
              <w:t>12.08.2024</w:t>
            </w:r>
          </w:p>
        </w:tc>
      </w:tr>
      <w:tr>
        <w:trPr>
          <w:trHeight w:val="364" w:hRule="atLeast"/>
        </w:trPr>
        <w:tc>
          <w:tcPr>
            <w:tcW w:w="8913" w:type="dxa"/>
            <w:vMerge w:val="continue"/>
            <w:tcBorders>
              <w:start w:val="single" w:sz="4" w:space="0" w:color="000000"/>
              <w:bottom w:val="single" w:sz="4" w:space="0" w:color="000000"/>
              <w:end w:val="single" w:sz="4" w:space="0" w:color="000000"/>
            </w:tcBorders>
            <w:shd w:fill="DDE8CB" w:val="clear"/>
          </w:tcPr>
          <w:p>
            <w:pPr>
              <w:pStyle w:val="Normal"/>
              <w:widowControl/>
              <w:suppressAutoHyphens w:val="true"/>
              <w:bidi w:val="0"/>
              <w:spacing w:lineRule="auto" w:line="276" w:before="0" w:after="160"/>
              <w:jc w:val="start"/>
              <w:rPr>
                <w:sz w:val="24"/>
                <w:szCs w:val="24"/>
              </w:rPr>
            </w:pPr>
            <w:r>
              <w:rPr>
                <w:sz w:val="24"/>
                <w:szCs w:val="24"/>
              </w:rPr>
            </w:r>
          </w:p>
        </w:tc>
        <w:tc>
          <w:tcPr>
            <w:tcW w:w="5761" w:type="dxa"/>
            <w:tcBorders>
              <w:start w:val="single" w:sz="4" w:space="0" w:color="000000"/>
              <w:bottom w:val="single" w:sz="4" w:space="0" w:color="000000"/>
              <w:end w:val="single" w:sz="4" w:space="0" w:color="000000"/>
            </w:tcBorders>
            <w:shd w:fill="DDE8CB" w:val="clear"/>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lang w:val="hy-AM"/>
              </w:rPr>
              <w:t>N 01/11-1/17104-2024</w:t>
            </w:r>
          </w:p>
        </w:tc>
      </w:tr>
      <w:tr>
        <w:trPr>
          <w:trHeight w:val="535" w:hRule="atLeast"/>
        </w:trPr>
        <w:tc>
          <w:tcPr>
            <w:tcW w:w="8913" w:type="dxa"/>
            <w:tcBorders>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center"/>
              <w:rPr>
                <w:sz w:val="24"/>
                <w:szCs w:val="24"/>
              </w:rPr>
            </w:pPr>
            <w:r>
              <w:rPr>
                <w:rFonts w:ascii="GHEA Grapalat" w:hAnsi="GHEA Grapalat"/>
                <w:b w:val="false"/>
                <w:bCs w:val="false"/>
                <w:sz w:val="24"/>
                <w:szCs w:val="24"/>
              </w:rPr>
              <w:t>Դիտողություն և առաջարկություններ չկան</w:t>
            </w:r>
          </w:p>
        </w:tc>
        <w:tc>
          <w:tcPr>
            <w:tcW w:w="5761" w:type="dxa"/>
            <w:tcBorders>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center"/>
              <w:rPr>
                <w:rFonts w:ascii="GHEA Grapalat" w:hAnsi="GHEA Grapalat"/>
                <w:b/>
                <w:bCs/>
                <w:sz w:val="24"/>
                <w:szCs w:val="24"/>
              </w:rPr>
            </w:pPr>
            <w:r>
              <w:rPr>
                <w:rFonts w:ascii="GHEA Grapalat" w:hAnsi="GHEA Grapalat"/>
                <w:b/>
                <w:bCs/>
                <w:sz w:val="24"/>
                <w:szCs w:val="24"/>
              </w:rPr>
            </w:r>
          </w:p>
        </w:tc>
      </w:tr>
      <w:tr>
        <w:trPr>
          <w:trHeight w:val="182" w:hRule="atLeast"/>
        </w:trPr>
        <w:tc>
          <w:tcPr>
            <w:tcW w:w="8913" w:type="dxa"/>
            <w:vMerge w:val="restart"/>
            <w:tcBorders>
              <w:start w:val="single" w:sz="4" w:space="0" w:color="000000"/>
              <w:bottom w:val="single" w:sz="4" w:space="0" w:color="000000"/>
            </w:tcBorders>
            <w:shd w:fill="DDE8CB" w:val="clear"/>
            <w:vAlign w:val="center"/>
          </w:tcPr>
          <w:p>
            <w:pPr>
              <w:pStyle w:val="Normal"/>
              <w:spacing w:lineRule="auto" w:line="276" w:before="0" w:after="160"/>
              <w:jc w:val="center"/>
              <w:rPr>
                <w:sz w:val="24"/>
                <w:szCs w:val="24"/>
              </w:rPr>
            </w:pPr>
            <w:r>
              <w:rPr>
                <w:rFonts w:ascii="GHEA Grapalat" w:hAnsi="GHEA Grapalat"/>
                <w:b/>
                <w:bCs/>
                <w:sz w:val="24"/>
                <w:szCs w:val="24"/>
              </w:rPr>
              <w:t>5.ՀՀ ազգային անվտանգության ծառայություն</w:t>
            </w:r>
          </w:p>
        </w:tc>
        <w:tc>
          <w:tcPr>
            <w:tcW w:w="5761" w:type="dxa"/>
            <w:tcBorders>
              <w:start w:val="single" w:sz="4" w:space="0" w:color="000000"/>
              <w:bottom w:val="single" w:sz="4" w:space="0" w:color="000000"/>
              <w:end w:val="single" w:sz="4" w:space="0" w:color="000000"/>
            </w:tcBorders>
            <w:shd w:fill="DDE8CB" w:val="clear"/>
          </w:tcPr>
          <w:p>
            <w:pPr>
              <w:pStyle w:val="Normal"/>
              <w:spacing w:lineRule="auto" w:line="276" w:before="0" w:after="46"/>
              <w:jc w:val="center"/>
              <w:rPr>
                <w:sz w:val="24"/>
                <w:szCs w:val="24"/>
              </w:rPr>
            </w:pPr>
            <w:r>
              <w:rPr>
                <w:rFonts w:ascii="GHEA Grapalat" w:hAnsi="GHEA Grapalat"/>
                <w:b/>
                <w:bCs/>
                <w:sz w:val="24"/>
                <w:szCs w:val="24"/>
              </w:rPr>
              <w:t>12․08․2024</w:t>
            </w:r>
          </w:p>
        </w:tc>
      </w:tr>
      <w:tr>
        <w:trPr>
          <w:trHeight w:val="182" w:hRule="atLeast"/>
        </w:trPr>
        <w:tc>
          <w:tcPr>
            <w:tcW w:w="8913" w:type="dxa"/>
            <w:vMerge w:val="continue"/>
            <w:tcBorders>
              <w:start w:val="single" w:sz="4" w:space="0" w:color="000000"/>
              <w:bottom w:val="single" w:sz="4" w:space="0" w:color="000000"/>
            </w:tcBorders>
            <w:shd w:fill="DDE8CB" w:val="clear"/>
          </w:tcPr>
          <w:p>
            <w:pPr>
              <w:pStyle w:val="Normal"/>
              <w:widowControl/>
              <w:suppressAutoHyphens w:val="true"/>
              <w:bidi w:val="0"/>
              <w:spacing w:lineRule="auto" w:line="276" w:before="0" w:after="160"/>
              <w:jc w:val="start"/>
              <w:rPr>
                <w:sz w:val="24"/>
                <w:szCs w:val="24"/>
              </w:rPr>
            </w:pPr>
            <w:r>
              <w:rPr>
                <w:sz w:val="24"/>
                <w:szCs w:val="24"/>
              </w:rPr>
            </w:r>
          </w:p>
        </w:tc>
        <w:tc>
          <w:tcPr>
            <w:tcW w:w="5761" w:type="dxa"/>
            <w:tcBorders>
              <w:start w:val="single" w:sz="4" w:space="0" w:color="000000"/>
              <w:bottom w:val="single" w:sz="4" w:space="0" w:color="000000"/>
              <w:end w:val="single" w:sz="4" w:space="0" w:color="000000"/>
            </w:tcBorders>
            <w:shd w:fill="DDE8CB" w:val="clear"/>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lang w:val="hy-AM"/>
              </w:rPr>
              <w:t>N 11/1182</w:t>
            </w:r>
          </w:p>
        </w:tc>
      </w:tr>
      <w:tr>
        <w:trPr>
          <w:trHeight w:val="364" w:hRule="atLeast"/>
        </w:trPr>
        <w:tc>
          <w:tcPr>
            <w:tcW w:w="8913" w:type="dxa"/>
            <w:tcBorders>
              <w:start w:val="single" w:sz="4" w:space="0" w:color="000000"/>
              <w:bottom w:val="single" w:sz="4" w:space="0" w:color="000000"/>
            </w:tcBorders>
          </w:tcPr>
          <w:p>
            <w:pPr>
              <w:pStyle w:val="Normal"/>
              <w:widowControl w:val="false"/>
              <w:suppressAutoHyphens w:val="true"/>
              <w:spacing w:lineRule="auto" w:line="276" w:before="0" w:after="0"/>
              <w:jc w:val="both"/>
              <w:rPr>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«Պետական գաղտնիքի մասին» օրենքում փոփոխություններ և լրացումներ կատարելու մասին» օրենքի նախագծի վերաբերյալ ներկայացվել են հետևյալ առաջարկությունները՝</w:t>
            </w:r>
          </w:p>
          <w:p>
            <w:pPr>
              <w:pStyle w:val="Normal"/>
              <w:widowControl w:val="false"/>
              <w:suppressAutoHyphens w:val="true"/>
              <w:spacing w:lineRule="auto" w:line="276" w:before="0" w:after="0"/>
              <w:jc w:val="both"/>
              <w:rPr>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 xml:space="preserve">1․ 1֊ին հոդվածով օրենքի 20֊րդ հոդվածի 2֊րդ մասում լրացվող նոր՝ 2․1 մասում «և իրավաբանական անձանց պետական գաղտնիք պարունակող տեղեկություններին առնչվելու թույլտվությունը» բառերը փոխարինել «անձանց պետական գաղտնիք պարունակող տեղեկություններին առնչվելու թույլտվություն տրամադրվում է, իսկ իրավաբանական անձանց գաղտնի տեղեկությունների կիրառմամբ աշխատանքներ կատարելու իրավունք» բառերով, «սույն մասով» բառերը՝ «սույն հոդվածի 2֊րդ մասով» բառերով, իսկ «կատարելու թույլտվությունը» բառերը՝ «կատարելու իրավունքը» բառերով։ </w:t>
            </w:r>
          </w:p>
          <w:p>
            <w:pPr>
              <w:pStyle w:val="Normal"/>
              <w:widowControl w:val="false"/>
              <w:suppressAutoHyphens w:val="true"/>
              <w:spacing w:lineRule="auto" w:line="276" w:before="0" w:after="0"/>
              <w:jc w:val="both"/>
              <w:rPr>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2․ 5֊րդ հոդվածում «կազմող» բառերը փոխարինել «պարունակող» բառով։</w:t>
            </w:r>
          </w:p>
          <w:p>
            <w:pPr>
              <w:pStyle w:val="Normal"/>
              <w:widowControl w:val="false"/>
              <w:suppressAutoHyphens w:val="true"/>
              <w:spacing w:lineRule="auto" w:line="276" w:before="0" w:after="0"/>
              <w:jc w:val="both"/>
              <w:rPr>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3․ 6֊րդ հոդվածով օրենքի 24֊րդ հոդվածում լրացվող նոր՝ 9․1֊ին մասում «կողմից գաղտնիության թույլտվություն ստացած և միայն վերջինիս կողմից տրամադրված գաղտնի տեղեկություններին առնչվելու թույլտվություն ունեցող» բառերը փոխարինել «հետ համագործակցող և միայն վերջինիս կողմից տրված՝ գաղտնի տեղեկությունների կիրառմամբ աշխատանքներ կատարելու իրավունք ստացած» բառերով, իսկ «իրականացնում է սույն հոդվածով» բառերը՝ «իրականացվում է սույն հոդվածով» բառերով։</w:t>
            </w:r>
          </w:p>
          <w:p>
            <w:pPr>
              <w:pStyle w:val="Normal"/>
              <w:widowControl w:val="false"/>
              <w:suppressAutoHyphens w:val="true"/>
              <w:spacing w:lineRule="auto" w:line="276" w:before="0" w:after="0"/>
              <w:jc w:val="both"/>
              <w:rPr>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4․ 7֊րդ հոդվածում «աշխատանքների իրականացման թույլտվությունը» բառերը փոխարինել «տեղեկությունների կիրառմամբ աշխատանքներ կատարելու իրավունքը, իսկ ֆիզիկական անձանց դեպքում՝ դրանց առնչվելու համապատասխան թույլտվությունն» բառերով, իսկ «կողմից գաղտնի աշխատանքների իրականացման թույլտվություն ստացած և վերջինիս հետ համագործակցող ֆիզիկական և իրավաբանական» բառերը փոխարինել «հետ համագործակցող և վերջինիս կողմից տրված գաղտնի տեղեկությունների կիրառմամբ աշխատանքներ կատարելու իրավունք ունեցող իրավաբանական անձինք ու Արտաքին հետախուզության ծառայության կողմից տրված պետական գաղտնիքին առնչվելու թույլտվություն ունեցող ֆիզիկական» բառերով։</w:t>
            </w:r>
          </w:p>
        </w:tc>
        <w:tc>
          <w:tcPr>
            <w:tcW w:w="5761" w:type="dxa"/>
            <w:tcBorders>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center"/>
              <w:rPr>
                <w:rFonts w:ascii="GHEA Grapalat" w:hAnsi="GHEA Grapalat"/>
                <w:b/>
                <w:bCs/>
                <w:sz w:val="24"/>
                <w:szCs w:val="24"/>
              </w:rPr>
            </w:pPr>
            <w:r>
              <w:rPr>
                <w:rFonts w:ascii="GHEA Grapalat" w:hAnsi="GHEA Grapalat"/>
                <w:b/>
                <w:bCs/>
                <w:sz w:val="24"/>
                <w:szCs w:val="24"/>
              </w:rPr>
            </w:r>
          </w:p>
          <w:p>
            <w:pPr>
              <w:pStyle w:val="Normal"/>
              <w:widowControl w:val="false"/>
              <w:suppressAutoHyphens w:val="true"/>
              <w:spacing w:lineRule="auto" w:line="276" w:before="0" w:after="0"/>
              <w:jc w:val="center"/>
              <w:rPr>
                <w:rFonts w:ascii="GHEA Grapalat" w:hAnsi="GHEA Grapalat"/>
                <w:b w:val="false"/>
                <w:bCs w:val="false"/>
                <w:sz w:val="24"/>
                <w:szCs w:val="24"/>
              </w:rPr>
            </w:pPr>
            <w:r>
              <w:rPr>
                <w:rFonts w:ascii="GHEA Grapalat" w:hAnsi="GHEA Grapalat"/>
                <w:b w:val="false"/>
                <w:bCs w:val="false"/>
                <w:sz w:val="24"/>
                <w:szCs w:val="24"/>
              </w:rPr>
            </w:r>
          </w:p>
          <w:p>
            <w:pPr>
              <w:pStyle w:val="Normal"/>
              <w:widowControl w:val="false"/>
              <w:suppressAutoHyphens w:val="true"/>
              <w:spacing w:lineRule="auto" w:line="276" w:before="0" w:after="0"/>
              <w:jc w:val="center"/>
              <w:rPr>
                <w:sz w:val="24"/>
                <w:szCs w:val="24"/>
              </w:rPr>
            </w:pPr>
            <w:r>
              <w:rPr>
                <w:sz w:val="24"/>
                <w:szCs w:val="24"/>
              </w:rPr>
            </w:r>
          </w:p>
          <w:p>
            <w:pPr>
              <w:pStyle w:val="Normal"/>
              <w:widowControl w:val="false"/>
              <w:suppressAutoHyphens w:val="true"/>
              <w:spacing w:lineRule="auto" w:line="276" w:before="0" w:after="0"/>
              <w:jc w:val="center"/>
              <w:rPr>
                <w:sz w:val="24"/>
                <w:szCs w:val="24"/>
              </w:rPr>
            </w:pPr>
            <w:r>
              <w:rPr>
                <w:sz w:val="24"/>
                <w:szCs w:val="24"/>
              </w:rPr>
            </w:r>
          </w:p>
          <w:p>
            <w:pPr>
              <w:pStyle w:val="Normal"/>
              <w:widowControl w:val="false"/>
              <w:suppressAutoHyphens w:val="true"/>
              <w:spacing w:lineRule="auto" w:line="276" w:before="0" w:after="0"/>
              <w:jc w:val="center"/>
              <w:rPr>
                <w:sz w:val="24"/>
                <w:szCs w:val="24"/>
              </w:rPr>
            </w:pPr>
            <w:r>
              <w:rPr>
                <w:rFonts w:ascii="GHEA Grapalat" w:hAnsi="GHEA Grapalat"/>
                <w:b w:val="false"/>
                <w:bCs w:val="false"/>
                <w:sz w:val="24"/>
                <w:szCs w:val="24"/>
              </w:rPr>
              <w:t>1․</w:t>
            </w:r>
            <w:r>
              <w:rPr>
                <w:rFonts w:ascii="GHEA Grapalat" w:hAnsi="GHEA Grapalat"/>
                <w:b/>
                <w:bCs/>
                <w:sz w:val="24"/>
                <w:szCs w:val="24"/>
              </w:rPr>
              <w:t xml:space="preserve"> Ընդունվել է, կատարվել է համապատասխան փոփոխություն</w:t>
            </w:r>
          </w:p>
          <w:p>
            <w:pPr>
              <w:pStyle w:val="Normal"/>
              <w:widowControl w:val="false"/>
              <w:suppressAutoHyphens w:val="true"/>
              <w:spacing w:lineRule="auto" w:line="276" w:before="0" w:after="0"/>
              <w:jc w:val="center"/>
              <w:rPr>
                <w:rFonts w:ascii="GHEA Grapalat" w:hAnsi="GHEA Grapalat"/>
                <w:b w:val="false"/>
                <w:bCs w:val="false"/>
                <w:sz w:val="24"/>
                <w:szCs w:val="24"/>
              </w:rPr>
            </w:pPr>
            <w:r>
              <w:rPr>
                <w:rFonts w:ascii="GHEA Grapalat" w:hAnsi="GHEA Grapalat"/>
                <w:b w:val="false"/>
                <w:bCs w:val="false"/>
                <w:sz w:val="24"/>
                <w:szCs w:val="24"/>
              </w:rPr>
            </w:r>
          </w:p>
          <w:p>
            <w:pPr>
              <w:pStyle w:val="Normal"/>
              <w:widowControl w:val="false"/>
              <w:suppressAutoHyphens w:val="true"/>
              <w:spacing w:lineRule="auto" w:line="276" w:before="0" w:after="0"/>
              <w:jc w:val="center"/>
              <w:rPr>
                <w:rFonts w:ascii="GHEA Grapalat" w:hAnsi="GHEA Grapalat"/>
                <w:b w:val="false"/>
                <w:bCs w:val="false"/>
                <w:sz w:val="24"/>
                <w:szCs w:val="24"/>
              </w:rPr>
            </w:pPr>
            <w:r>
              <w:rPr>
                <w:rFonts w:ascii="GHEA Grapalat" w:hAnsi="GHEA Grapalat"/>
                <w:b w:val="false"/>
                <w:bCs w:val="false"/>
                <w:sz w:val="24"/>
                <w:szCs w:val="24"/>
              </w:rPr>
            </w:r>
          </w:p>
          <w:p>
            <w:pPr>
              <w:pStyle w:val="Normal"/>
              <w:widowControl w:val="false"/>
              <w:suppressAutoHyphens w:val="true"/>
              <w:spacing w:lineRule="auto" w:line="276" w:before="0" w:after="0"/>
              <w:jc w:val="center"/>
              <w:rPr>
                <w:rFonts w:ascii="GHEA Grapalat" w:hAnsi="GHEA Grapalat"/>
                <w:b w:val="false"/>
                <w:bCs w:val="false"/>
                <w:sz w:val="24"/>
                <w:szCs w:val="24"/>
              </w:rPr>
            </w:pPr>
            <w:r>
              <w:rPr>
                <w:rFonts w:ascii="GHEA Grapalat" w:hAnsi="GHEA Grapalat"/>
                <w:b w:val="false"/>
                <w:bCs w:val="false"/>
                <w:sz w:val="24"/>
                <w:szCs w:val="24"/>
              </w:rPr>
            </w:r>
          </w:p>
          <w:p>
            <w:pPr>
              <w:pStyle w:val="Normal"/>
              <w:widowControl w:val="false"/>
              <w:suppressAutoHyphens w:val="true"/>
              <w:spacing w:lineRule="auto" w:line="276" w:before="0" w:after="0"/>
              <w:jc w:val="center"/>
              <w:rPr>
                <w:rFonts w:ascii="GHEA Grapalat" w:hAnsi="GHEA Grapalat"/>
                <w:b w:val="false"/>
                <w:bCs w:val="false"/>
                <w:sz w:val="24"/>
                <w:szCs w:val="24"/>
              </w:rPr>
            </w:pPr>
            <w:r>
              <w:rPr>
                <w:rFonts w:ascii="GHEA Grapalat" w:hAnsi="GHEA Grapalat"/>
                <w:b w:val="false"/>
                <w:bCs w:val="false"/>
                <w:sz w:val="24"/>
                <w:szCs w:val="24"/>
              </w:rPr>
            </w:r>
          </w:p>
          <w:p>
            <w:pPr>
              <w:pStyle w:val="Normal"/>
              <w:widowControl w:val="false"/>
              <w:suppressAutoHyphens w:val="true"/>
              <w:spacing w:lineRule="auto" w:line="276" w:before="0" w:after="0"/>
              <w:jc w:val="center"/>
              <w:rPr>
                <w:rFonts w:ascii="GHEA Grapalat" w:hAnsi="GHEA Grapalat"/>
                <w:b w:val="false"/>
                <w:bCs w:val="false"/>
                <w:sz w:val="24"/>
                <w:szCs w:val="24"/>
              </w:rPr>
            </w:pPr>
            <w:r>
              <w:rPr>
                <w:rFonts w:ascii="GHEA Grapalat" w:hAnsi="GHEA Grapalat"/>
                <w:b w:val="false"/>
                <w:bCs w:val="false"/>
                <w:sz w:val="24"/>
                <w:szCs w:val="24"/>
              </w:rPr>
            </w:r>
          </w:p>
          <w:p>
            <w:pPr>
              <w:pStyle w:val="Normal"/>
              <w:widowControl w:val="false"/>
              <w:suppressAutoHyphens w:val="true"/>
              <w:spacing w:lineRule="auto" w:line="276" w:before="0" w:after="0"/>
              <w:jc w:val="center"/>
              <w:rPr>
                <w:sz w:val="24"/>
                <w:szCs w:val="24"/>
              </w:rPr>
            </w:pPr>
            <w:r>
              <w:rPr>
                <w:rFonts w:ascii="GHEA Grapalat" w:hAnsi="GHEA Grapalat"/>
                <w:b w:val="false"/>
                <w:bCs w:val="false"/>
                <w:sz w:val="24"/>
                <w:szCs w:val="24"/>
              </w:rPr>
              <w:t xml:space="preserve">2․ </w:t>
            </w:r>
            <w:r>
              <w:rPr>
                <w:rFonts w:ascii="GHEA Grapalat" w:hAnsi="GHEA Grapalat"/>
                <w:b/>
                <w:bCs/>
                <w:sz w:val="24"/>
                <w:szCs w:val="24"/>
              </w:rPr>
              <w:t>Ընդունվել է, կատարվել է համապատասխան փոփոխություն</w:t>
            </w:r>
          </w:p>
          <w:p>
            <w:pPr>
              <w:pStyle w:val="Normal"/>
              <w:widowControl w:val="false"/>
              <w:suppressAutoHyphens w:val="true"/>
              <w:spacing w:lineRule="auto" w:line="276" w:before="0" w:after="0"/>
              <w:jc w:val="center"/>
              <w:rPr>
                <w:rFonts w:ascii="GHEA Grapalat" w:hAnsi="GHEA Grapalat"/>
                <w:b w:val="false"/>
                <w:bCs w:val="false"/>
                <w:sz w:val="24"/>
                <w:szCs w:val="24"/>
              </w:rPr>
            </w:pPr>
            <w:r>
              <w:rPr>
                <w:rFonts w:ascii="GHEA Grapalat" w:hAnsi="GHEA Grapalat"/>
                <w:b w:val="false"/>
                <w:bCs w:val="false"/>
                <w:sz w:val="24"/>
                <w:szCs w:val="24"/>
              </w:rPr>
            </w:r>
          </w:p>
          <w:p>
            <w:pPr>
              <w:pStyle w:val="Normal"/>
              <w:widowControl w:val="false"/>
              <w:suppressAutoHyphens w:val="true"/>
              <w:spacing w:lineRule="auto" w:line="276" w:before="0" w:after="0"/>
              <w:jc w:val="center"/>
              <w:rPr>
                <w:rFonts w:ascii="GHEA Grapalat" w:hAnsi="GHEA Grapalat"/>
                <w:b w:val="false"/>
                <w:bCs w:val="false"/>
                <w:sz w:val="24"/>
                <w:szCs w:val="24"/>
              </w:rPr>
            </w:pPr>
            <w:r>
              <w:rPr>
                <w:rFonts w:ascii="GHEA Grapalat" w:hAnsi="GHEA Grapalat"/>
                <w:b w:val="false"/>
                <w:bCs w:val="false"/>
                <w:sz w:val="24"/>
                <w:szCs w:val="24"/>
              </w:rPr>
            </w:r>
          </w:p>
          <w:p>
            <w:pPr>
              <w:pStyle w:val="Normal"/>
              <w:widowControl w:val="false"/>
              <w:suppressAutoHyphens w:val="true"/>
              <w:spacing w:lineRule="auto" w:line="276" w:before="0" w:after="0"/>
              <w:jc w:val="center"/>
              <w:rPr>
                <w:b/>
                <w:bCs/>
                <w:sz w:val="24"/>
                <w:szCs w:val="24"/>
              </w:rPr>
            </w:pPr>
            <w:r>
              <w:rPr>
                <w:rFonts w:ascii="GHEA Grapalat" w:hAnsi="GHEA Grapalat"/>
                <w:b/>
                <w:bCs/>
                <w:sz w:val="24"/>
                <w:szCs w:val="24"/>
              </w:rPr>
              <w:t>3․ Ընդունվել է, կատարվել է համապատասխան փոփոխություն</w:t>
            </w:r>
          </w:p>
          <w:p>
            <w:pPr>
              <w:pStyle w:val="Normal"/>
              <w:widowControl w:val="false"/>
              <w:suppressAutoHyphens w:val="true"/>
              <w:spacing w:lineRule="auto" w:line="276" w:before="0" w:after="0"/>
              <w:jc w:val="center"/>
              <w:rPr>
                <w:rFonts w:ascii="GHEA Grapalat" w:hAnsi="GHEA Grapalat"/>
                <w:b/>
                <w:bCs/>
                <w:sz w:val="24"/>
                <w:szCs w:val="24"/>
              </w:rPr>
            </w:pPr>
            <w:r>
              <w:rPr>
                <w:rFonts w:ascii="GHEA Grapalat" w:hAnsi="GHEA Grapalat"/>
                <w:b/>
                <w:bCs/>
                <w:sz w:val="24"/>
                <w:szCs w:val="24"/>
              </w:rPr>
            </w:r>
          </w:p>
          <w:p>
            <w:pPr>
              <w:pStyle w:val="Normal"/>
              <w:widowControl w:val="false"/>
              <w:suppressAutoHyphens w:val="true"/>
              <w:spacing w:lineRule="auto" w:line="276" w:before="0" w:after="0"/>
              <w:jc w:val="center"/>
              <w:rPr>
                <w:rFonts w:ascii="GHEA Grapalat" w:hAnsi="GHEA Grapalat"/>
                <w:b/>
                <w:bCs/>
                <w:sz w:val="24"/>
                <w:szCs w:val="24"/>
              </w:rPr>
            </w:pPr>
            <w:r>
              <w:rPr>
                <w:rFonts w:ascii="GHEA Grapalat" w:hAnsi="GHEA Grapalat"/>
                <w:b/>
                <w:bCs/>
                <w:sz w:val="24"/>
                <w:szCs w:val="24"/>
              </w:rPr>
            </w:r>
          </w:p>
          <w:p>
            <w:pPr>
              <w:pStyle w:val="Normal"/>
              <w:widowControl w:val="false"/>
              <w:suppressAutoHyphens w:val="true"/>
              <w:spacing w:lineRule="auto" w:line="276" w:before="0" w:after="0"/>
              <w:jc w:val="center"/>
              <w:rPr>
                <w:rFonts w:ascii="GHEA Grapalat" w:hAnsi="GHEA Grapalat"/>
                <w:b/>
                <w:bCs/>
                <w:sz w:val="24"/>
                <w:szCs w:val="24"/>
              </w:rPr>
            </w:pPr>
            <w:r>
              <w:rPr>
                <w:rFonts w:ascii="GHEA Grapalat" w:hAnsi="GHEA Grapalat"/>
                <w:b/>
                <w:bCs/>
                <w:sz w:val="24"/>
                <w:szCs w:val="24"/>
              </w:rPr>
            </w:r>
          </w:p>
          <w:p>
            <w:pPr>
              <w:pStyle w:val="Normal"/>
              <w:widowControl w:val="false"/>
              <w:suppressAutoHyphens w:val="true"/>
              <w:spacing w:lineRule="auto" w:line="276" w:before="0" w:after="0"/>
              <w:jc w:val="center"/>
              <w:rPr>
                <w:b/>
                <w:bCs/>
                <w:sz w:val="24"/>
                <w:szCs w:val="24"/>
              </w:rPr>
            </w:pPr>
            <w:r>
              <w:rPr>
                <w:rFonts w:ascii="GHEA Grapalat" w:hAnsi="GHEA Grapalat"/>
                <w:b/>
                <w:bCs/>
                <w:sz w:val="24"/>
                <w:szCs w:val="24"/>
              </w:rPr>
              <w:t>4․ Ընդունվել է, կատարվել է համապատասխան փոփոխություն</w:t>
            </w:r>
          </w:p>
          <w:p>
            <w:pPr>
              <w:pStyle w:val="Normal"/>
              <w:widowControl w:val="false"/>
              <w:suppressAutoHyphens w:val="true"/>
              <w:spacing w:lineRule="auto" w:line="276" w:before="0" w:after="0"/>
              <w:jc w:val="center"/>
              <w:rPr>
                <w:rFonts w:ascii="GHEA Grapalat" w:hAnsi="GHEA Grapalat"/>
                <w:b/>
                <w:bCs/>
                <w:sz w:val="24"/>
                <w:szCs w:val="24"/>
              </w:rPr>
            </w:pPr>
            <w:r>
              <w:rPr>
                <w:rFonts w:ascii="GHEA Grapalat" w:hAnsi="GHEA Grapalat"/>
                <w:b/>
                <w:bCs/>
                <w:sz w:val="24"/>
                <w:szCs w:val="24"/>
              </w:rPr>
            </w:r>
          </w:p>
        </w:tc>
      </w:tr>
      <w:tr>
        <w:trPr>
          <w:trHeight w:val="362" w:hRule="atLeast"/>
        </w:trPr>
        <w:tc>
          <w:tcPr>
            <w:tcW w:w="8913" w:type="dxa"/>
            <w:vMerge w:val="restart"/>
            <w:tcBorders>
              <w:start w:val="single" w:sz="4" w:space="0" w:color="000000"/>
              <w:bottom w:val="single" w:sz="4" w:space="0" w:color="000000"/>
            </w:tcBorders>
            <w:shd w:fill="DDE8CB" w:val="clear"/>
            <w:vAlign w:val="center"/>
          </w:tcPr>
          <w:p>
            <w:pPr>
              <w:pStyle w:val="Normal"/>
              <w:spacing w:lineRule="auto" w:line="276" w:before="0" w:after="160"/>
              <w:jc w:val="center"/>
              <w:rPr>
                <w:sz w:val="24"/>
                <w:szCs w:val="24"/>
              </w:rPr>
            </w:pPr>
            <w:r>
              <w:rPr>
                <w:rFonts w:ascii="GHEA Grapalat" w:hAnsi="GHEA Grapalat"/>
                <w:b/>
                <w:bCs/>
                <w:sz w:val="24"/>
                <w:szCs w:val="24"/>
              </w:rPr>
              <w:t>6․ ՀՀ արդարադատության նախարարություն</w:t>
            </w:r>
          </w:p>
        </w:tc>
        <w:tc>
          <w:tcPr>
            <w:tcW w:w="5761" w:type="dxa"/>
            <w:tcBorders>
              <w:start w:val="single" w:sz="4" w:space="0" w:color="000000"/>
              <w:bottom w:val="single" w:sz="4" w:space="0" w:color="000000"/>
              <w:end w:val="single" w:sz="4" w:space="0" w:color="000000"/>
            </w:tcBorders>
            <w:shd w:fill="DDE8CB" w:val="clear"/>
          </w:tcPr>
          <w:p>
            <w:pPr>
              <w:pStyle w:val="Normal"/>
              <w:spacing w:lineRule="auto" w:line="276" w:before="0" w:after="46"/>
              <w:jc w:val="center"/>
              <w:rPr>
                <w:sz w:val="24"/>
                <w:szCs w:val="24"/>
              </w:rPr>
            </w:pPr>
            <w:r>
              <w:rPr>
                <w:rFonts w:ascii="GHEA Grapalat" w:hAnsi="GHEA Grapalat"/>
                <w:b/>
                <w:bCs/>
                <w:sz w:val="24"/>
                <w:szCs w:val="24"/>
              </w:rPr>
              <w:t>12․08․2024</w:t>
            </w:r>
          </w:p>
        </w:tc>
      </w:tr>
      <w:tr>
        <w:trPr>
          <w:trHeight w:val="362" w:hRule="atLeast"/>
        </w:trPr>
        <w:tc>
          <w:tcPr>
            <w:tcW w:w="8913" w:type="dxa"/>
            <w:vMerge w:val="continue"/>
            <w:tcBorders>
              <w:start w:val="single" w:sz="4" w:space="0" w:color="000000"/>
              <w:bottom w:val="single" w:sz="4" w:space="0" w:color="000000"/>
            </w:tcBorders>
            <w:shd w:fill="DDE8CB" w:val="clear"/>
          </w:tcPr>
          <w:p>
            <w:pPr>
              <w:pStyle w:val="Normal"/>
              <w:widowControl/>
              <w:suppressAutoHyphens w:val="true"/>
              <w:bidi w:val="0"/>
              <w:spacing w:lineRule="auto" w:line="276" w:before="0" w:after="160"/>
              <w:jc w:val="start"/>
              <w:rPr>
                <w:sz w:val="24"/>
                <w:szCs w:val="24"/>
              </w:rPr>
            </w:pPr>
            <w:r>
              <w:rPr>
                <w:sz w:val="24"/>
                <w:szCs w:val="24"/>
              </w:rPr>
            </w:r>
          </w:p>
        </w:tc>
        <w:tc>
          <w:tcPr>
            <w:tcW w:w="5761" w:type="dxa"/>
            <w:tcBorders>
              <w:start w:val="single" w:sz="4" w:space="0" w:color="000000"/>
              <w:bottom w:val="single" w:sz="4" w:space="0" w:color="000000"/>
              <w:end w:val="single" w:sz="4" w:space="0" w:color="000000"/>
            </w:tcBorders>
            <w:shd w:fill="DDE8CB" w:val="clear"/>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lang w:val="hy-AM"/>
              </w:rPr>
              <w:t>N 10․1․4/31865֊2024</w:t>
            </w:r>
          </w:p>
        </w:tc>
      </w:tr>
      <w:tr>
        <w:trPr>
          <w:trHeight w:val="364" w:hRule="atLeast"/>
        </w:trPr>
        <w:tc>
          <w:tcPr>
            <w:tcW w:w="8913" w:type="dxa"/>
            <w:tcBorders>
              <w:start w:val="single" w:sz="4" w:space="0" w:color="000000"/>
              <w:bottom w:val="single" w:sz="4" w:space="0" w:color="000000"/>
            </w:tcBorders>
          </w:tcPr>
          <w:p>
            <w:pPr>
              <w:pStyle w:val="Normal"/>
              <w:widowControl w:val="false"/>
              <w:spacing w:lineRule="auto" w:line="276" w:before="0" w:after="0"/>
              <w:jc w:val="both"/>
              <w:rPr>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 xml:space="preserve">1.Նախագծի 1-ին հոդվածով առաջարկվում է «Պետական գաղտնիքի մասին» օրենքի (այսուհետ՝ Օրենք) 20-րդ հոդվածի 2-րդ մասից հետո լրացնել նոր 2.1-րդ մաս, համաձայն որի՝ Արտաքին հետախուզության ծառայությունում հանրային ծառայության պաշտոն զբաղեցնող անձանց, ինչպես նաև Արտաքին հետախուզության ծառայության հետ համագործակցող ֆիզիկական և իրավաբանական անձանց </w:t>
            </w:r>
            <w:r>
              <w:rPr>
                <w:rFonts w:ascii="GHEA Grapalat" w:hAnsi="GHEA Grapalat"/>
                <w:b/>
                <w:bCs/>
                <w:sz w:val="24"/>
                <w:szCs w:val="24"/>
              </w:rPr>
              <w:t>պետական գաղտնիք պարունակող տեղեկություններին առնչվելու թույլտվությունը տրվում է Արտաքին հետախուզության ծառայության կողմից,</w:t>
            </w:r>
            <w:r>
              <w:rPr>
                <w:rFonts w:ascii="GHEA Grapalat" w:hAnsi="GHEA Grapalat"/>
                <w:b w:val="false"/>
                <w:bCs w:val="false"/>
                <w:sz w:val="24"/>
                <w:szCs w:val="24"/>
              </w:rPr>
              <w:t xml:space="preserve"> որի դեպքում սույն մասով սահմանված կարգով ստուգողական միջոցառումները (այդ թվում` օրենսդրությամբ սահմանված օպերատիվ-հետախուզական միջոցառումները) իրականացնում է Արտաքին հետախուզության ծառայությունը՝ հ</w:t>
            </w:r>
            <w:r>
              <w:rPr>
                <w:rFonts w:ascii="GHEA Grapalat" w:hAnsi="GHEA Grapalat"/>
                <w:b/>
                <w:bCs/>
                <w:sz w:val="24"/>
                <w:szCs w:val="24"/>
              </w:rPr>
              <w:t>ամագործակցելով լիազոր մարմնի հետ</w:t>
            </w:r>
            <w:r>
              <w:rPr>
                <w:rFonts w:ascii="GHEA Grapalat" w:hAnsi="GHEA Grapalat"/>
                <w:b w:val="false"/>
                <w:bCs w:val="false"/>
                <w:sz w:val="24"/>
                <w:szCs w:val="24"/>
              </w:rPr>
              <w:t xml:space="preserve">։ Նշվածից ստացվում է, որ բոլոր այն դեպքերում, երբ Արտաքին հետախուզության ծառայությունում հանրային ծառայության պաշտոն զբաղեցնող անձանց, ինչպես նաև Արտաքին հետախուզության ծառայության հետ համագործակցող ֆիզիկական և իրավաբանական անձանց պետական գաղտնիք պարունակող տեղեկություններին առնչվելու թույլտվություն ստանալու անհրաժեշտություն առաջանա, </w:t>
            </w:r>
            <w:r>
              <w:rPr>
                <w:rFonts w:ascii="GHEA Grapalat" w:hAnsi="GHEA Grapalat"/>
                <w:b/>
                <w:bCs/>
                <w:sz w:val="24"/>
                <w:szCs w:val="24"/>
              </w:rPr>
              <w:t>ապա այդ թույլտվությունը տրվելու է Արտաքին հետախուզության ծառայության կողմից, այդ թվում՝</w:t>
            </w:r>
            <w:r>
              <w:rPr>
                <w:rFonts w:ascii="GHEA Grapalat" w:hAnsi="GHEA Grapalat"/>
                <w:b w:val="false"/>
                <w:bCs w:val="false"/>
                <w:sz w:val="24"/>
                <w:szCs w:val="24"/>
              </w:rPr>
              <w:t xml:space="preserve"> օպերատիվ-հետախուզական միջոցառումները նույնպես իրականացվելու են Արտաքին հետախուզության ծառայության կողմից՝ համագործակցելով լիազոր մարմնի հետ:  Այս առումով, պետք է նկատել հետևյալը.</w:t>
            </w:r>
          </w:p>
          <w:p>
            <w:pPr>
              <w:pStyle w:val="Normal"/>
              <w:widowControl w:val="false"/>
              <w:spacing w:lineRule="auto" w:line="276" w:before="0" w:after="0"/>
              <w:jc w:val="both"/>
              <w:rPr>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 xml:space="preserve">Օրենքի 1-ին հոդվածի կարգավորումների համաձայն՝ </w:t>
            </w:r>
          </w:p>
          <w:p>
            <w:pPr>
              <w:pStyle w:val="Normal"/>
              <w:widowControl w:val="false"/>
              <w:spacing w:lineRule="auto" w:line="276" w:before="0" w:after="0"/>
              <w:jc w:val="both"/>
              <w:rPr>
                <w:sz w:val="24"/>
                <w:szCs w:val="24"/>
              </w:rPr>
            </w:pPr>
            <w:r>
              <w:rPr>
                <w:rFonts w:ascii="GHEA Grapalat" w:hAnsi="GHEA Grapalat"/>
                <w:b w:val="false"/>
                <w:bCs w:val="false"/>
                <w:sz w:val="24"/>
                <w:szCs w:val="24"/>
              </w:rPr>
              <w:t xml:space="preserve">«Սույն օրենքը կարգավորում է </w:t>
            </w:r>
            <w:r>
              <w:rPr>
                <w:rFonts w:ascii="GHEA Grapalat" w:hAnsi="GHEA Grapalat"/>
                <w:b/>
                <w:bCs/>
                <w:sz w:val="24"/>
                <w:szCs w:val="24"/>
              </w:rPr>
              <w:t>Հայաստանի Հանրապետության ազգային</w:t>
            </w:r>
            <w:r>
              <w:rPr>
                <w:rFonts w:ascii="GHEA Grapalat" w:hAnsi="GHEA Grapalat"/>
                <w:b w:val="false"/>
                <w:bCs w:val="false"/>
                <w:sz w:val="24"/>
                <w:szCs w:val="24"/>
              </w:rPr>
              <w:t xml:space="preserve"> </w:t>
            </w:r>
            <w:r>
              <w:rPr>
                <w:rFonts w:ascii="GHEA Grapalat" w:hAnsi="GHEA Grapalat"/>
                <w:b/>
                <w:bCs/>
                <w:sz w:val="24"/>
                <w:szCs w:val="24"/>
              </w:rPr>
              <w:t>անվտանգության ապահովման նպատակով տեղեկությունները պետական գաղտնիքի շարքին դասելու,</w:t>
            </w:r>
            <w:r>
              <w:rPr>
                <w:rFonts w:ascii="GHEA Grapalat" w:hAnsi="GHEA Grapalat"/>
                <w:b w:val="false"/>
                <w:bCs w:val="false"/>
                <w:sz w:val="24"/>
                <w:szCs w:val="24"/>
              </w:rPr>
              <w:t xml:space="preserve"> գաղտնագրելու, </w:t>
            </w:r>
            <w:r>
              <w:rPr>
                <w:rFonts w:ascii="GHEA Grapalat" w:hAnsi="GHEA Grapalat"/>
                <w:b/>
                <w:bCs/>
                <w:sz w:val="24"/>
                <w:szCs w:val="24"/>
              </w:rPr>
              <w:t>պետական գաղտնիքը պահպանելու,</w:t>
            </w:r>
            <w:r>
              <w:rPr>
                <w:rFonts w:ascii="GHEA Grapalat" w:hAnsi="GHEA Grapalat"/>
                <w:b w:val="false"/>
                <w:bCs w:val="false"/>
                <w:sz w:val="24"/>
                <w:szCs w:val="24"/>
              </w:rPr>
              <w:t xml:space="preserve"> պաշտպանելու, օգտագործելու, գաղտնազերծելու կամ ոչնչացնելու </w:t>
            </w:r>
            <w:r>
              <w:rPr>
                <w:rFonts w:ascii="GHEA Grapalat" w:hAnsi="GHEA Grapalat"/>
                <w:b/>
                <w:bCs/>
                <w:sz w:val="24"/>
                <w:szCs w:val="24"/>
              </w:rPr>
              <w:t>գործընթացների հետ կապված հարաբերությունները</w:t>
            </w:r>
            <w:r>
              <w:rPr>
                <w:rFonts w:ascii="GHEA Grapalat" w:hAnsi="GHEA Grapalat"/>
                <w:b w:val="false"/>
                <w:bCs w:val="false"/>
                <w:sz w:val="24"/>
                <w:szCs w:val="24"/>
              </w:rPr>
              <w:t>, սահմանում է պետական գաղտնիք պարունակող տեղեկությունների հասկացությունը, գաղտնիության աստիճանները, պետական գաղտնիք պարունակող տեղեկություններին առնչվող հարաբերություններում պետական և տեղական ինքնակառավարման մարմինների, կազմակերպությունների, իրավաբանական անձանց, ֆիզիկական անձանց լիազորությունները, պետական գաղտնիք պարունակող տեղեկություններին առնչվելու թույլտվություն ունեցող անձանց պարտականությունները, նրանց աշխատանքի համար սահմանված պայմանները և սահմանափակումները, ինչպես նաև սահմանափակ տարածման ծառայողական տեղեկության հետ կապված հարաբերությունները:»:</w:t>
            </w:r>
          </w:p>
          <w:p>
            <w:pPr>
              <w:pStyle w:val="Normal"/>
              <w:widowControl w:val="false"/>
              <w:spacing w:lineRule="auto" w:line="276" w:before="0" w:after="0"/>
              <w:jc w:val="both"/>
              <w:rPr/>
            </w:pPr>
            <w:r>
              <w:rPr>
                <w:rFonts w:ascii="GHEA Grapalat" w:hAnsi="GHEA Grapalat"/>
                <w:b w:val="false"/>
                <w:bCs w:val="false"/>
                <w:sz w:val="24"/>
                <w:szCs w:val="24"/>
              </w:rPr>
              <w:t xml:space="preserve"> </w:t>
            </w:r>
            <w:r>
              <w:rPr>
                <w:rFonts w:ascii="GHEA Grapalat" w:hAnsi="GHEA Grapalat"/>
                <w:b w:val="false"/>
                <w:bCs w:val="false"/>
                <w:sz w:val="24"/>
                <w:szCs w:val="24"/>
              </w:rPr>
              <w:t xml:space="preserve">Օրենքի 3-րդ հոդվածի 1-ին մասի 10-րդ կետի համաձայն՝ </w:t>
            </w:r>
            <w:r>
              <w:rPr>
                <w:rStyle w:val="Strong"/>
                <w:rFonts w:ascii="GHEA Grapalat" w:hAnsi="GHEA Grapalat"/>
                <w:b/>
                <w:bCs/>
                <w:sz w:val="24"/>
                <w:szCs w:val="24"/>
              </w:rPr>
              <w:t>պետական գաղտնիքի պաշտպանությունը՝</w:t>
            </w:r>
            <w:r>
              <w:rPr>
                <w:rFonts w:ascii="GHEA Grapalat" w:hAnsi="GHEA Grapalat"/>
                <w:b/>
                <w:bCs/>
                <w:sz w:val="24"/>
                <w:szCs w:val="24"/>
              </w:rPr>
              <w:t xml:space="preserve"> դա լիազոր մարմնի համակարգմամբ</w:t>
            </w:r>
            <w:r>
              <w:rPr>
                <w:rFonts w:ascii="GHEA Grapalat" w:hAnsi="GHEA Grapalat"/>
                <w:b w:val="false"/>
                <w:bCs w:val="false"/>
                <w:sz w:val="24"/>
                <w:szCs w:val="24"/>
              </w:rPr>
              <w:t xml:space="preserve"> Հայաստանի Հանրապետության պետական և տեղական ինքնակառավարման մարմինների, կազմակերպությունների, իրավաբանական անձանց ուժերի ու միջոցների կիրառումն է` ուղղված պետական գաղտնիք պարունակող տեղեկությունների, արտադրանքների և նյութերի հրապարակումը և հոսակորուստը կանխելուն:</w:t>
            </w:r>
          </w:p>
          <w:p>
            <w:pPr>
              <w:pStyle w:val="Normal"/>
              <w:widowControl w:val="false"/>
              <w:spacing w:lineRule="auto" w:line="276" w:before="0" w:after="0"/>
              <w:jc w:val="both"/>
              <w:rPr>
                <w:sz w:val="24"/>
                <w:szCs w:val="24"/>
              </w:rPr>
            </w:pPr>
            <w:r>
              <w:rPr>
                <w:rFonts w:ascii="GHEA Grapalat" w:hAnsi="GHEA Grapalat"/>
                <w:b w:val="false"/>
                <w:bCs w:val="false"/>
                <w:sz w:val="24"/>
                <w:szCs w:val="24"/>
              </w:rPr>
              <w:t>Նույն հոդվածի 1-ին մասի 18-րդ կետի համաձայն՝ պետական գաղտնիքի առնչությամբ որպես լ</w:t>
            </w:r>
            <w:r>
              <w:rPr>
                <w:rFonts w:ascii="GHEA Grapalat" w:hAnsi="GHEA Grapalat"/>
                <w:b/>
                <w:bCs/>
                <w:sz w:val="24"/>
                <w:szCs w:val="24"/>
              </w:rPr>
              <w:t>իազոր մարմին է հանդիսանում ազգային անվտանգության հարցերով լիազորված պետական մարմինը՝ ի դեմս Ազգային անվտանգության ծառայության:</w:t>
            </w:r>
          </w:p>
          <w:p>
            <w:pPr>
              <w:pStyle w:val="Normal"/>
              <w:widowControl w:val="false"/>
              <w:spacing w:lineRule="auto" w:line="276" w:before="0" w:after="0"/>
              <w:jc w:val="both"/>
              <w:rPr>
                <w:sz w:val="24"/>
                <w:szCs w:val="24"/>
              </w:rPr>
            </w:pPr>
            <w:r>
              <w:rPr>
                <w:rFonts w:ascii="GHEA Grapalat" w:hAnsi="GHEA Grapalat"/>
                <w:b w:val="false"/>
                <w:bCs w:val="false"/>
                <w:sz w:val="24"/>
                <w:szCs w:val="24"/>
              </w:rPr>
              <w:t xml:space="preserve">Օրենքի 18-րդ հոդվածի 5-րդ մասի համաձայն՝ </w:t>
            </w:r>
          </w:p>
          <w:p>
            <w:pPr>
              <w:pStyle w:val="Normal"/>
              <w:widowControl w:val="false"/>
              <w:spacing w:lineRule="auto" w:line="276" w:before="0" w:after="0"/>
              <w:jc w:val="both"/>
              <w:rPr>
                <w:sz w:val="24"/>
                <w:szCs w:val="24"/>
              </w:rPr>
            </w:pPr>
            <w:r>
              <w:rPr>
                <w:rFonts w:ascii="GHEA Grapalat" w:hAnsi="GHEA Grapalat"/>
                <w:b w:val="false"/>
                <w:bCs w:val="false"/>
                <w:sz w:val="24"/>
                <w:szCs w:val="24"/>
              </w:rPr>
              <w:t>«5. Պետական գաղտնիք պարունակող տեղեկությունների պահպանության և պաշտպանության ուղղությամբ իրականացվող աշխատանքների համակարգումն իրականացվում է լիազոր մարմնի կողմից:»:</w:t>
            </w:r>
          </w:p>
          <w:p>
            <w:pPr>
              <w:pStyle w:val="Normal"/>
              <w:widowControl w:val="false"/>
              <w:spacing w:lineRule="auto" w:line="276" w:before="0" w:after="0"/>
              <w:jc w:val="both"/>
              <w:rPr>
                <w:sz w:val="24"/>
                <w:szCs w:val="24"/>
              </w:rPr>
            </w:pPr>
            <w:r>
              <w:rPr>
                <w:rFonts w:ascii="GHEA Grapalat" w:hAnsi="GHEA Grapalat"/>
                <w:b w:val="false"/>
                <w:bCs w:val="false"/>
                <w:sz w:val="24"/>
                <w:szCs w:val="24"/>
              </w:rPr>
              <w:t xml:space="preserve">Օրենքի 20-րդ հոդվածի 2-րդ մասի համաձայն՝ </w:t>
            </w:r>
          </w:p>
          <w:p>
            <w:pPr>
              <w:pStyle w:val="Normal"/>
              <w:widowControl w:val="false"/>
              <w:spacing w:lineRule="auto" w:line="276" w:before="0" w:after="0"/>
              <w:jc w:val="both"/>
              <w:rPr>
                <w:sz w:val="24"/>
                <w:szCs w:val="24"/>
              </w:rPr>
            </w:pPr>
            <w:r>
              <w:rPr>
                <w:rFonts w:ascii="GHEA Grapalat" w:hAnsi="GHEA Grapalat"/>
                <w:b w:val="false"/>
                <w:bCs w:val="false"/>
                <w:sz w:val="24"/>
                <w:szCs w:val="24"/>
              </w:rPr>
              <w:t xml:space="preserve">«2. Պետական գաղտնիք պարունակող տեղեկություններին առնչվելու համար Հայաստանի Հանրապետության քաղաքացիները, օտարերկրյա քաղաքացիները և քաղաքացիություն չունեցող անձինք պետք է ունենան թույլտվություն, որը տրվում է Հայաստանի Հանրապետության քաղաքացիների, օտարերկրյա քաղաքացիների և քաղաքացիություն չունեցող անձանց գրավոր համաձայնությամբ, </w:t>
            </w:r>
            <w:r>
              <w:rPr>
                <w:rFonts w:ascii="GHEA Grapalat" w:hAnsi="GHEA Grapalat"/>
                <w:b/>
                <w:bCs/>
                <w:sz w:val="24"/>
                <w:szCs w:val="24"/>
              </w:rPr>
              <w:t>լիազոր մարմնի կողմից նրանց նկատմամբ ստուգողական միջոցառումներ (այդ թվում` օրենսդրությամբ սահմանված օպերատիվ-հետախուզական միջոցառումներ) անցկացնելու և այդ միջոցառումների դրական արդյունքների հիման վրա համապատասխան մարմինների կողմից նրանց հետ պարտավորագիր կնքելու միջոցով:»:</w:t>
            </w:r>
          </w:p>
          <w:p>
            <w:pPr>
              <w:pStyle w:val="Normal"/>
              <w:widowControl w:val="false"/>
              <w:spacing w:lineRule="auto" w:line="276" w:before="0" w:after="0"/>
              <w:jc w:val="both"/>
              <w:rPr>
                <w:sz w:val="24"/>
                <w:szCs w:val="24"/>
              </w:rPr>
            </w:pPr>
            <w:r>
              <w:rPr>
                <w:rFonts w:ascii="GHEA Grapalat" w:hAnsi="GHEA Grapalat"/>
                <w:b w:val="false"/>
                <w:bCs w:val="false"/>
                <w:sz w:val="24"/>
                <w:szCs w:val="24"/>
              </w:rPr>
              <w:t xml:space="preserve">Վերոգրյալ իրավանորմերից բխում է, որ Օրենքի կարգավորման առարկան՝ դա այն հարաբերությունների սահմանումն ու կարգավորումն է, որոնց ապահովման նպատակը Հայաստանի Հանրապետության ազգային անվտանգությունն է: Եվ թեև պետական և տեղական ինքնակառավարման մարմիններում, կազմակերպություններում, իրավաբանական անձանց մոտ պետական գաղտնիք պարունակող տեղեկությունների պահպանության և պաշտպանության կազմակերպման պատասխանատվությունը դրվում է դրանց ղեկավարների վրա, սակայն վերջնական պատասխանատուն հանդիսանում է լիազոր մարմինը, քանի որ </w:t>
            </w:r>
            <w:r>
              <w:rPr>
                <w:rFonts w:ascii="GHEA Grapalat" w:hAnsi="GHEA Grapalat"/>
                <w:b/>
                <w:bCs/>
                <w:sz w:val="24"/>
                <w:szCs w:val="24"/>
              </w:rPr>
              <w:t>պետական գաղտնիքի պաշտպանությունն ապահովելու պարտականությունը Օրենքով վերապահված է լիազոր մարմնին՝ Ազգային անվտանգության ծառայությանը</w:t>
            </w:r>
            <w:r>
              <w:rPr>
                <w:rFonts w:ascii="GHEA Grapalat" w:hAnsi="GHEA Grapalat"/>
                <w:b w:val="false"/>
                <w:bCs w:val="false"/>
                <w:sz w:val="24"/>
                <w:szCs w:val="24"/>
              </w:rPr>
              <w:t>, որի իրագործման նպատակով էլ վերջինիս տրված են մի շարք լիազորություններ: Նշվածի համատեքստում գտնում ենք, որ որոշակի գործողությունների և միջոցառումների իրականացման բացառիկ լիազորությունը միայն Ազգային անվտանգության մարմնին վերապահելը օրենսդրի կողմից ինքնանպատակ չէ և բխում է ինչպես Օրենքի կարգավորման առարկայից ու նպատակից, այնպես էլ ամբողջ Օրենքի տրամաբանությունից և վերջինում ամրագրված այլ նորմերից: Եվ ըստ այդմ՝ Նախագծի 1-ին հոդվածով առաջարկվող կարգավորման պարագայում անհամապատասխանություն է առաջանում Օրենքի վերոնշյալ կարգավորումների միջև:</w:t>
            </w:r>
          </w:p>
        </w:tc>
        <w:tc>
          <w:tcPr>
            <w:tcW w:w="5761" w:type="dxa"/>
            <w:tcBorders>
              <w:start w:val="single" w:sz="4" w:space="0" w:color="000000"/>
              <w:bottom w:val="single" w:sz="4" w:space="0" w:color="000000"/>
              <w:end w:val="single" w:sz="4" w:space="0" w:color="000000"/>
            </w:tcBorders>
          </w:tcPr>
          <w:p>
            <w:pPr>
              <w:pStyle w:val="Normal"/>
              <w:widowControl w:val="false"/>
              <w:spacing w:lineRule="auto" w:line="276" w:before="0" w:after="0"/>
              <w:jc w:val="center"/>
              <w:rPr>
                <w:sz w:val="24"/>
                <w:szCs w:val="24"/>
              </w:rPr>
            </w:pPr>
            <w:r>
              <w:rPr>
                <w:rFonts w:ascii="GHEA Grapalat" w:hAnsi="GHEA Grapalat"/>
                <w:b w:val="false"/>
                <w:bCs w:val="false"/>
                <w:sz w:val="24"/>
                <w:szCs w:val="24"/>
              </w:rPr>
              <w:t xml:space="preserve">   </w:t>
            </w:r>
            <w:r>
              <w:rPr>
                <w:rFonts w:ascii="GHEA Grapalat" w:hAnsi="GHEA Grapalat"/>
                <w:b/>
                <w:bCs/>
                <w:sz w:val="24"/>
                <w:szCs w:val="24"/>
              </w:rPr>
              <w:t xml:space="preserve"> </w:t>
            </w:r>
            <w:r>
              <w:rPr>
                <w:rFonts w:ascii="GHEA Grapalat" w:hAnsi="GHEA Grapalat"/>
                <w:b/>
                <w:bCs/>
                <w:sz w:val="24"/>
                <w:szCs w:val="24"/>
              </w:rPr>
              <w:t>1․ Չի ընդունվել</w:t>
            </w:r>
          </w:p>
          <w:p>
            <w:pPr>
              <w:pStyle w:val="Normal"/>
              <w:widowControl w:val="false"/>
              <w:spacing w:lineRule="auto" w:line="276" w:before="0" w:after="0"/>
              <w:jc w:val="both"/>
              <w:rPr>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 xml:space="preserve">Ներկայացված դիտարկումն ըստ էության վերաբերում է պետական գաղտնիքի ոլորտում տարվող և առաջարկվող քաղաքականության նպատակահարմարությանը և այդ առումով Արդարադատության նախարարության դիտարկումներն ընդունելի չեն։ Բացի այդ նախագծում իրականացվող լրացումներով սահմանվում են «Պետական գաղտնիքի մասին» օրենքով կարգավորվող հարաբերությունների շրջանակներում Արտաքին հետախուզության ծառայության լիազորությունները, որոնք չեն հակասում </w:t>
            </w:r>
            <w:r>
              <w:rPr>
                <w:rFonts w:ascii="GHEA Grapalat" w:hAnsi="GHEA Grapalat"/>
                <w:b w:val="false"/>
                <w:bCs w:val="false"/>
                <w:sz w:val="24"/>
                <w:szCs w:val="24"/>
                <w:shd w:fill="auto" w:val="clear"/>
              </w:rPr>
              <w:t>«Պետական գաղտնիքի մասին» օրենքի կարգավորման առարկային և նպատակին և կոչված են իրավական հիմք ապահովելու դրանց իրականացման համար։</w:t>
            </w:r>
          </w:p>
        </w:tc>
      </w:tr>
      <w:tr>
        <w:trPr>
          <w:trHeight w:val="364" w:hRule="atLeast"/>
        </w:trPr>
        <w:tc>
          <w:tcPr>
            <w:tcW w:w="8913" w:type="dxa"/>
            <w:tcBorders>
              <w:start w:val="single" w:sz="4" w:space="0" w:color="000000"/>
              <w:bottom w:val="single" w:sz="4" w:space="0" w:color="000000"/>
              <w:end w:val="single" w:sz="4" w:space="0" w:color="000000"/>
            </w:tcBorders>
          </w:tcPr>
          <w:p>
            <w:pPr>
              <w:pStyle w:val="Normal"/>
              <w:spacing w:lineRule="auto" w:line="276" w:before="0" w:after="160"/>
              <w:ind w:hanging="0"/>
              <w:jc w:val="both"/>
              <w:rPr>
                <w:sz w:val="24"/>
                <w:szCs w:val="24"/>
              </w:rPr>
            </w:pPr>
            <w:r>
              <w:rPr>
                <w:color w:val="000000"/>
                <w:sz w:val="24"/>
                <w:szCs w:val="24"/>
                <w:shd w:fill="FFFFFF" w:val="clear"/>
                <w:lang w:val="hy-AM"/>
              </w:rPr>
              <w:t xml:space="preserve"> </w:t>
            </w:r>
            <w:r>
              <w:rPr>
                <w:rFonts w:ascii="GHEA Grapalat" w:hAnsi="GHEA Grapalat"/>
                <w:color w:val="000000"/>
                <w:sz w:val="24"/>
                <w:szCs w:val="24"/>
                <w:shd w:fill="FFFFFF" w:val="clear"/>
                <w:lang w:val="hy-AM"/>
              </w:rPr>
              <w:t xml:space="preserve">  </w:t>
            </w:r>
            <w:r>
              <w:rPr>
                <w:rFonts w:ascii="GHEA Grapalat" w:hAnsi="GHEA Grapalat"/>
                <w:color w:val="000000"/>
                <w:sz w:val="24"/>
                <w:szCs w:val="24"/>
                <w:shd w:fill="FFFFFF" w:val="clear"/>
                <w:lang w:val="hy-AM"/>
              </w:rPr>
              <w:t xml:space="preserve">2. Նախագծի 1-ին հոդվածով լիազոր մարմնի հետ նախատեսվող համագործակցությանն առնչվող կարգավորումները որոշակի չեն, մասնավորապես՝ պարզ չէ, թե ինչ գործողությունների շարք է իրենից ենթադրելու նշված համագործակցությունը, քանի որ եթե վերջնական թույլտվությունը տալու է Արտաքին հետախուզության ծառայությունը, ապա պարզ չէ, թե նշված համագործակցության շրջանակում ինչ է ակնկալվելու Ազգային անվտանգության ծառայությունից և եթե վերջինս նշված գործընթացում որևէ պարտավորություն է ունենալու, ապա դա Օրենքի կարգավորման առարկա է հանդիսանում: </w:t>
            </w:r>
          </w:p>
        </w:tc>
        <w:tc>
          <w:tcPr>
            <w:tcW w:w="5761" w:type="dxa"/>
            <w:tcBorders>
              <w:start w:val="single" w:sz="4" w:space="0" w:color="000000"/>
              <w:bottom w:val="single" w:sz="4" w:space="0" w:color="000000"/>
              <w:end w:val="single" w:sz="4" w:space="0" w:color="000000"/>
            </w:tcBorders>
          </w:tcPr>
          <w:p>
            <w:pPr>
              <w:pStyle w:val="Normal"/>
              <w:widowControl w:val="false"/>
              <w:spacing w:lineRule="auto" w:line="276" w:before="0" w:after="0"/>
              <w:jc w:val="center"/>
              <w:rPr>
                <w:sz w:val="24"/>
                <w:szCs w:val="24"/>
              </w:rPr>
            </w:pPr>
            <w:r>
              <w:rPr>
                <w:rFonts w:ascii="GHEA Grapalat" w:hAnsi="GHEA Grapalat"/>
                <w:b w:val="false"/>
                <w:bCs w:val="false"/>
                <w:sz w:val="24"/>
                <w:szCs w:val="24"/>
              </w:rPr>
              <w:t xml:space="preserve">    </w:t>
            </w:r>
            <w:r>
              <w:rPr>
                <w:rFonts w:ascii="GHEA Grapalat" w:hAnsi="GHEA Grapalat"/>
                <w:b/>
                <w:bCs/>
                <w:sz w:val="24"/>
                <w:szCs w:val="24"/>
              </w:rPr>
              <w:t>2․ Չի ընդունվել</w:t>
            </w:r>
          </w:p>
          <w:p>
            <w:pPr>
              <w:pStyle w:val="Normal"/>
              <w:widowControl w:val="false"/>
              <w:spacing w:lineRule="auto" w:line="276" w:before="0" w:after="0"/>
              <w:jc w:val="both"/>
              <w:rPr>
                <w:sz w:val="24"/>
                <w:szCs w:val="24"/>
              </w:rPr>
            </w:pPr>
            <w:r>
              <w:rPr>
                <w:rFonts w:ascii="GHEA Grapalat" w:hAnsi="GHEA Grapalat"/>
                <w:b w:val="false"/>
                <w:bCs w:val="false"/>
                <w:sz w:val="24"/>
                <w:szCs w:val="24"/>
              </w:rPr>
              <w:t>Ազգային անվտանգության ծառայությունն իրականացնելու է «Պետական գաղտնիքի մասին» օրենքով սահմանված իր լիազորությունները և նախագծի ընդունումը նոր լիազորությունների առաջացում/փոփոխություն չի ենթադրում։</w:t>
            </w:r>
          </w:p>
          <w:p>
            <w:pPr>
              <w:pStyle w:val="Normal"/>
              <w:widowControl w:val="false"/>
              <w:spacing w:lineRule="auto" w:line="276" w:before="0" w:after="0"/>
              <w:jc w:val="both"/>
              <w:rPr>
                <w:sz w:val="24"/>
                <w:szCs w:val="24"/>
              </w:rPr>
            </w:pPr>
            <w:r>
              <w:rPr>
                <w:rFonts w:ascii="GHEA Grapalat" w:hAnsi="GHEA Grapalat"/>
                <w:b w:val="false"/>
                <w:bCs w:val="false"/>
                <w:sz w:val="24"/>
                <w:szCs w:val="24"/>
              </w:rPr>
              <w:t>Ինչ վերաբերում է Արտաքին հետախուզության ծառայության և լիազոր մարմնի հետ նախատեսվող համագործակցության վերաբերյալ դիտարկմանը, հայտնում ենք, որ համագործակցության կարգն ու պայմանները սահմանվելու են Վարչապետի կողմից, որը նախատեսված է Նախագծի 1֊ին հոդվածի շրջանակներում, իսկ անցումային դրույթի համաձայն՝ կարգը սահմանվելու է սույն օրենքն ուժի մեջ մտնելուց հետո 3֊ամսյա ժամկետում։</w:t>
            </w:r>
          </w:p>
        </w:tc>
      </w:tr>
      <w:tr>
        <w:trPr>
          <w:trHeight w:val="364" w:hRule="atLeast"/>
        </w:trPr>
        <w:tc>
          <w:tcPr>
            <w:tcW w:w="8913" w:type="dxa"/>
            <w:tcBorders>
              <w:start w:val="single" w:sz="4" w:space="0" w:color="000000"/>
              <w:bottom w:val="single" w:sz="4" w:space="0" w:color="000000"/>
              <w:end w:val="single" w:sz="4" w:space="0" w:color="000000"/>
            </w:tcBorders>
          </w:tcPr>
          <w:p>
            <w:pPr>
              <w:pStyle w:val="Normal"/>
              <w:spacing w:lineRule="auto" w:line="276"/>
              <w:ind w:hanging="0"/>
              <w:jc w:val="both"/>
              <w:rPr>
                <w:sz w:val="24"/>
                <w:szCs w:val="24"/>
              </w:rPr>
            </w:pPr>
            <w:r>
              <w:rPr>
                <w:rFonts w:ascii="GHEA Grapalat" w:hAnsi="GHEA Grapalat"/>
                <w:color w:val="000000"/>
                <w:sz w:val="24"/>
                <w:szCs w:val="24"/>
                <w:shd w:fill="FFFFFF" w:val="clear"/>
                <w:lang w:val="hy-AM"/>
              </w:rPr>
              <w:t xml:space="preserve">3. Պարզ չէ նաև, թե Արտաքին հետախուզության ծառայության կողմից </w:t>
            </w:r>
            <w:r>
              <w:rPr>
                <w:rFonts w:cs="Times New Roman" w:ascii="GHEA Grapalat" w:hAnsi="GHEA Grapalat"/>
                <w:color w:val="000000"/>
                <w:sz w:val="24"/>
                <w:szCs w:val="24"/>
                <w:shd w:fill="FFFFFF" w:val="clear"/>
                <w:lang w:val="hy-AM"/>
              </w:rPr>
              <w:t xml:space="preserve">ֆիզիկական և իրավաբանական անձանց պետական գաղտնիք պարունակող տեղեկություններին առնչվելու թույլտվության տրամադրումն </w:t>
            </w:r>
            <w:r>
              <w:rPr>
                <w:rFonts w:ascii="GHEA Grapalat" w:hAnsi="GHEA Grapalat"/>
                <w:color w:val="000000"/>
                <w:sz w:val="24"/>
                <w:szCs w:val="24"/>
                <w:shd w:fill="FFFFFF" w:val="clear"/>
                <w:lang w:val="hy-AM"/>
              </w:rPr>
              <w:t>իրենից ինչ գործընթաց է ենթադրելու՝ այն հաշվառմամբ, որ հիմա նշված գործընթացն իրականացվում է Ազգային անվտանգության ծառայության կողմից:</w:t>
            </w:r>
          </w:p>
          <w:p>
            <w:pPr>
              <w:pStyle w:val="Normal"/>
              <w:spacing w:lineRule="auto" w:line="276"/>
              <w:ind w:hanging="0"/>
              <w:jc w:val="both"/>
              <w:rPr>
                <w:sz w:val="24"/>
                <w:szCs w:val="24"/>
              </w:rPr>
            </w:pPr>
            <w:r>
              <w:rPr>
                <w:sz w:val="24"/>
                <w:szCs w:val="24"/>
              </w:rPr>
            </w:r>
          </w:p>
          <w:p>
            <w:pPr>
              <w:pStyle w:val="Normal"/>
              <w:spacing w:lineRule="auto" w:line="276"/>
              <w:ind w:hanging="0"/>
              <w:jc w:val="both"/>
              <w:rPr>
                <w:sz w:val="24"/>
                <w:szCs w:val="24"/>
              </w:rPr>
            </w:pPr>
            <w:r>
              <w:rPr>
                <w:sz w:val="24"/>
                <w:szCs w:val="24"/>
              </w:rPr>
            </w:r>
          </w:p>
          <w:p>
            <w:pPr>
              <w:pStyle w:val="Normal"/>
              <w:spacing w:lineRule="auto" w:line="276" w:before="0" w:after="160"/>
              <w:ind w:hanging="0"/>
              <w:jc w:val="both"/>
              <w:rPr>
                <w:sz w:val="24"/>
                <w:szCs w:val="24"/>
              </w:rPr>
            </w:pPr>
            <w:r>
              <w:rPr>
                <w:sz w:val="24"/>
                <w:szCs w:val="24"/>
              </w:rPr>
            </w:r>
          </w:p>
        </w:tc>
        <w:tc>
          <w:tcPr>
            <w:tcW w:w="5761" w:type="dxa"/>
            <w:tcBorders>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center"/>
              <w:rPr>
                <w:sz w:val="24"/>
                <w:szCs w:val="24"/>
              </w:rPr>
            </w:pPr>
            <w:r>
              <w:rPr>
                <w:rFonts w:ascii="GHEA Grapalat" w:hAnsi="GHEA Grapalat"/>
                <w:b w:val="false"/>
                <w:bCs w:val="false"/>
                <w:sz w:val="24"/>
                <w:szCs w:val="24"/>
              </w:rPr>
              <w:t xml:space="preserve">   </w:t>
            </w:r>
            <w:r>
              <w:rPr>
                <w:rFonts w:ascii="GHEA Grapalat" w:hAnsi="GHEA Grapalat"/>
                <w:b/>
                <w:bCs/>
                <w:sz w:val="24"/>
                <w:szCs w:val="24"/>
              </w:rPr>
              <w:t xml:space="preserve"> </w:t>
            </w:r>
            <w:r>
              <w:rPr>
                <w:rFonts w:ascii="GHEA Grapalat" w:hAnsi="GHEA Grapalat"/>
                <w:b/>
                <w:bCs/>
                <w:sz w:val="24"/>
                <w:szCs w:val="24"/>
              </w:rPr>
              <w:t>3․ Չի ընդունվել</w:t>
            </w:r>
          </w:p>
          <w:p>
            <w:pPr>
              <w:pStyle w:val="Normal"/>
              <w:widowControl w:val="false"/>
              <w:suppressAutoHyphens w:val="true"/>
              <w:spacing w:lineRule="auto" w:line="276" w:before="0" w:after="0"/>
              <w:jc w:val="both"/>
              <w:rPr>
                <w:sz w:val="24"/>
                <w:szCs w:val="24"/>
              </w:rPr>
            </w:pPr>
            <w:r>
              <w:rPr>
                <w:rFonts w:ascii="GHEA Grapalat" w:hAnsi="GHEA Grapalat"/>
                <w:b w:val="false"/>
                <w:bCs w:val="false"/>
                <w:sz w:val="24"/>
                <w:szCs w:val="24"/>
              </w:rPr>
              <w:t>Արտաքին հետախուզության ծառայության կողմից ֆիզիկական և իրավաբանական անձանց պետական գաղտնիք պարունակող տեղեկություններին առնչվելու թույլտվության տրամադրման կամ իրավունքի վերապահման գործընթացն իրականացվելու է «Պետական գաղտնիքի մասին» օրենքի և դրա հիման վրա ընդունված այլ իրավական ակտերի հիման վրա։</w:t>
            </w:r>
          </w:p>
        </w:tc>
      </w:tr>
      <w:tr>
        <w:trPr>
          <w:trHeight w:val="364" w:hRule="atLeast"/>
        </w:trPr>
        <w:tc>
          <w:tcPr>
            <w:tcW w:w="8913" w:type="dxa"/>
            <w:tcBorders>
              <w:start w:val="single" w:sz="4" w:space="0" w:color="000000"/>
              <w:bottom w:val="single" w:sz="4" w:space="0" w:color="000000"/>
              <w:end w:val="single" w:sz="4" w:space="0" w:color="000000"/>
            </w:tcBorders>
          </w:tcPr>
          <w:p>
            <w:pPr>
              <w:pStyle w:val="Normal"/>
              <w:spacing w:lineRule="auto" w:line="276" w:before="0" w:after="0"/>
              <w:ind w:hanging="0"/>
              <w:jc w:val="both"/>
              <w:rPr>
                <w:sz w:val="24"/>
                <w:szCs w:val="24"/>
              </w:rPr>
            </w:pPr>
            <w:r>
              <w:rPr>
                <w:rFonts w:cs="Times New Roman" w:ascii="GHEA Grapalat" w:hAnsi="GHEA Grapalat"/>
                <w:color w:val="000000"/>
                <w:sz w:val="24"/>
                <w:szCs w:val="24"/>
                <w:shd w:fill="auto" w:val="clear"/>
                <w:lang w:val="hy-AM"/>
              </w:rPr>
              <w:t xml:space="preserve">4. </w:t>
            </w:r>
            <w:r>
              <w:rPr>
                <w:rFonts w:ascii="GHEA Grapalat" w:hAnsi="GHEA Grapalat"/>
                <w:sz w:val="24"/>
                <w:szCs w:val="24"/>
                <w:shd w:fill="auto" w:val="clear"/>
                <w:lang w:val="hy-AM"/>
              </w:rPr>
              <w:t>Հիշյալ դրույթները խնդրահարույց են Սահմանադրությամբ ամրագրված իրավական որոշակիության սկզբունքի տեսանկյունից։ Այս առումով հարկ է նկատի ունենալ նաև ՀՀ Սահմանադրական դատարանի 2006 թ</w:t>
            </w:r>
            <w:r>
              <w:rPr>
                <w:rFonts w:eastAsia="MS Mincho" w:cs="MS Mincho" w:ascii="GHEA Grapalat" w:hAnsi="GHEA Grapalat"/>
                <w:sz w:val="24"/>
                <w:szCs w:val="24"/>
                <w:shd w:fill="auto" w:val="clear"/>
                <w:lang w:val="hy-AM"/>
              </w:rPr>
              <w:t>վականի</w:t>
            </w:r>
            <w:r>
              <w:rPr>
                <w:rFonts w:ascii="GHEA Grapalat" w:hAnsi="GHEA Grapalat"/>
                <w:sz w:val="24"/>
                <w:szCs w:val="24"/>
                <w:shd w:fill="auto" w:val="clear"/>
                <w:lang w:val="hy-AM"/>
              </w:rPr>
              <w:t xml:space="preserve"> ապրիլի 18-ի ՍԴՈ-630 որոշումը, համաձայն որի՝ </w:t>
            </w:r>
            <w:r>
              <w:rPr>
                <w:rFonts w:ascii="GHEA Grapalat" w:hAnsi="GHEA Grapalat"/>
                <w:iCs/>
                <w:sz w:val="24"/>
                <w:szCs w:val="24"/>
                <w:shd w:fill="auto" w:val="clear"/>
                <w:lang w:val="hy-AM"/>
              </w:rPr>
              <w:t xml:space="preserve">«Օրենքը պետք է համապատասխանի […] Մարդու իրավունքների եվրոպական դատարանի մի շարք վճիռներում արտահայտված այն իրավական դիրքորոշմանը, համաձայն որի` </w:t>
            </w:r>
            <w:r>
              <w:rPr>
                <w:rFonts w:ascii="GHEA Grapalat" w:hAnsi="GHEA Grapalat"/>
                <w:b/>
                <w:iCs/>
                <w:sz w:val="24"/>
                <w:szCs w:val="24"/>
                <w:shd w:fill="auto" w:val="clear"/>
                <w:lang w:val="hy-AM"/>
              </w:rPr>
              <w:t>որևէ իրավական նորմ չի կարող համարվել «օրենք», եթե այն չի համապատասխանում իրավական որոշակիության</w:t>
            </w:r>
            <w:r>
              <w:rPr>
                <w:rFonts w:cs="Courier New" w:ascii="Courier New" w:hAnsi="Courier New"/>
                <w:b/>
                <w:iCs/>
                <w:sz w:val="24"/>
                <w:szCs w:val="24"/>
                <w:shd w:fill="auto" w:val="clear"/>
                <w:lang w:val="hy-AM"/>
              </w:rPr>
              <w:t xml:space="preserve"> </w:t>
            </w:r>
            <w:r>
              <w:rPr>
                <w:rFonts w:ascii="GHEA Grapalat" w:hAnsi="GHEA Grapalat"/>
                <w:b/>
                <w:iCs/>
                <w:sz w:val="24"/>
                <w:szCs w:val="24"/>
                <w:shd w:fill="auto" w:val="clear"/>
                <w:lang w:val="hy-AM"/>
              </w:rPr>
              <w:t>(res judicata)</w:t>
            </w:r>
            <w:r>
              <w:rPr>
                <w:rFonts w:cs="Courier New" w:ascii="Courier New" w:hAnsi="Courier New"/>
                <w:b/>
                <w:iCs/>
                <w:sz w:val="24"/>
                <w:szCs w:val="24"/>
                <w:shd w:fill="auto" w:val="clear"/>
                <w:lang w:val="hy-AM"/>
              </w:rPr>
              <w:t xml:space="preserve"> </w:t>
            </w:r>
            <w:r>
              <w:rPr>
                <w:rFonts w:ascii="GHEA Grapalat" w:hAnsi="GHEA Grapalat"/>
                <w:b/>
                <w:iCs/>
                <w:sz w:val="24"/>
                <w:szCs w:val="24"/>
                <w:shd w:fill="auto" w:val="clear"/>
                <w:lang w:val="hy-AM"/>
              </w:rPr>
              <w:t>սկզբունքին, այսինքն` ձևակերպված չէ բավարար աստիճանի հստակությամբ:»</w:t>
            </w:r>
            <w:r>
              <w:rPr>
                <w:rFonts w:ascii="GHEA Grapalat" w:hAnsi="GHEA Grapalat"/>
                <w:b/>
                <w:sz w:val="24"/>
                <w:szCs w:val="24"/>
                <w:shd w:fill="auto" w:val="clear"/>
                <w:lang w:val="hy-AM"/>
              </w:rPr>
              <w:t>:</w:t>
            </w:r>
          </w:p>
          <w:p>
            <w:pPr>
              <w:pStyle w:val="Normal"/>
              <w:spacing w:lineRule="auto" w:line="276" w:before="0" w:after="160"/>
              <w:ind w:hanging="0"/>
              <w:jc w:val="both"/>
              <w:rPr>
                <w:rFonts w:ascii="GHEA Grapalat" w:hAnsi="GHEA Grapalat"/>
              </w:rPr>
            </w:pPr>
            <w:r>
              <w:rPr>
                <w:rFonts w:cs="Arial" w:ascii="GHEA Grapalat" w:hAnsi="GHEA Grapalat"/>
                <w:b/>
                <w:color w:val="000000"/>
                <w:sz w:val="24"/>
                <w:szCs w:val="24"/>
                <w:shd w:fill="auto" w:val="clear"/>
                <w:lang w:val="hy-AM"/>
              </w:rPr>
              <w:t xml:space="preserve">   </w:t>
            </w:r>
            <w:r>
              <w:rPr>
                <w:rFonts w:cs="Arial" w:ascii="GHEA Grapalat" w:hAnsi="GHEA Grapalat"/>
                <w:color w:val="000000"/>
                <w:sz w:val="24"/>
                <w:szCs w:val="24"/>
                <w:shd w:fill="auto" w:val="clear"/>
                <w:lang w:val="hy-AM"/>
              </w:rPr>
              <w:t>Վերոնշյալ դիտարկումները վերաբերում են նաև Նախագծի 2-րդ, 3-րդ, 5-րդ և 6-րդ հոդվածներով նախատեսվող լրացումներին, որոնցում առկա են դրույթներ լիազոր մարմնի փոխարեն գնահատում իրականացնելու, թույլտվություն տալու, միջգերատեսչական վերահսկողության շրջանակում լիազոր մարմնին վերապահված լիազորությունների իրականացման մասին:</w:t>
            </w:r>
          </w:p>
        </w:tc>
        <w:tc>
          <w:tcPr>
            <w:tcW w:w="5761" w:type="dxa"/>
            <w:tcBorders>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center"/>
              <w:rPr>
                <w:sz w:val="24"/>
                <w:szCs w:val="24"/>
              </w:rPr>
            </w:pPr>
            <w:r>
              <w:rPr>
                <w:rFonts w:ascii="GHEA Grapalat" w:hAnsi="GHEA Grapalat"/>
                <w:b w:val="false"/>
                <w:bCs w:val="false"/>
                <w:sz w:val="24"/>
                <w:szCs w:val="24"/>
                <w:shd w:fill="auto" w:val="clear"/>
              </w:rPr>
              <w:t xml:space="preserve">  </w:t>
            </w:r>
            <w:r>
              <w:rPr>
                <w:rFonts w:ascii="GHEA Grapalat" w:hAnsi="GHEA Grapalat"/>
                <w:b/>
                <w:bCs/>
                <w:sz w:val="24"/>
                <w:szCs w:val="24"/>
                <w:shd w:fill="auto" w:val="clear"/>
              </w:rPr>
              <w:t xml:space="preserve"> </w:t>
            </w:r>
            <w:r>
              <w:rPr>
                <w:rFonts w:ascii="GHEA Grapalat" w:hAnsi="GHEA Grapalat"/>
                <w:b/>
                <w:bCs/>
                <w:sz w:val="24"/>
                <w:szCs w:val="24"/>
                <w:shd w:fill="auto" w:val="clear"/>
              </w:rPr>
              <w:t xml:space="preserve">4․ Չի ընդունվել </w:t>
            </w:r>
          </w:p>
          <w:p>
            <w:pPr>
              <w:pStyle w:val="Normal"/>
              <w:widowControl w:val="false"/>
              <w:suppressAutoHyphens w:val="true"/>
              <w:spacing w:lineRule="auto" w:line="276" w:before="0" w:after="0"/>
              <w:jc w:val="both"/>
              <w:rPr>
                <w:sz w:val="24"/>
                <w:szCs w:val="24"/>
              </w:rPr>
            </w:pPr>
            <w:r>
              <w:rPr>
                <w:rFonts w:ascii="GHEA Grapalat" w:hAnsi="GHEA Grapalat"/>
                <w:b w:val="false"/>
                <w:bCs w:val="false"/>
                <w:sz w:val="24"/>
                <w:szCs w:val="24"/>
                <w:shd w:fill="auto" w:val="clear"/>
              </w:rPr>
              <w:t>Ներկայացված դիտարկումից անհասկանալի է, թե մատնանշված դրույթներն ինչ առումով չեն բավարարում իրավական որոշակիության սկզբունքին, ավելին՝ գտնում ենք, որ առաջարկվող կարգավորումները հստակ են և համապատասխանում են իրավական որոշակիության պահանջին։</w:t>
            </w:r>
          </w:p>
        </w:tc>
      </w:tr>
      <w:tr>
        <w:trPr>
          <w:trHeight w:val="1509" w:hRule="atLeast"/>
        </w:trPr>
        <w:tc>
          <w:tcPr>
            <w:tcW w:w="8913" w:type="dxa"/>
            <w:tcBorders>
              <w:start w:val="single" w:sz="4" w:space="0" w:color="000000"/>
              <w:bottom w:val="single" w:sz="4" w:space="0" w:color="000000"/>
              <w:end w:val="single" w:sz="4" w:space="0" w:color="000000"/>
            </w:tcBorders>
          </w:tcPr>
          <w:p>
            <w:pPr>
              <w:pStyle w:val="Normal"/>
              <w:spacing w:lineRule="auto" w:line="276" w:before="0" w:after="0"/>
              <w:ind w:hanging="0"/>
              <w:jc w:val="both"/>
              <w:rPr>
                <w:rFonts w:ascii="GHEA Grapalat" w:hAnsi="GHEA Grapalat"/>
              </w:rPr>
            </w:pPr>
            <w:r>
              <w:rPr>
                <w:rFonts w:cs="Tahoma" w:ascii="GHEA Grapalat" w:hAnsi="GHEA Grapalat"/>
                <w:color w:val="000000"/>
                <w:sz w:val="24"/>
                <w:szCs w:val="24"/>
                <w:shd w:fill="FFFFFF" w:val="clear"/>
                <w:lang w:val="hy-AM"/>
              </w:rPr>
              <w:t xml:space="preserve">   </w:t>
            </w:r>
            <w:r>
              <w:rPr>
                <w:rFonts w:cs="Tahoma" w:ascii="GHEA Grapalat" w:hAnsi="GHEA Grapalat"/>
                <w:color w:val="000000"/>
                <w:sz w:val="24"/>
                <w:szCs w:val="24"/>
                <w:shd w:fill="FFFFFF" w:val="clear"/>
                <w:lang w:val="hy-AM"/>
              </w:rPr>
              <w:t>5. Նախագծի 8-րդ հոդվածի վերնագրում առաջարկում ենք «եզրափակիչ» բառից հետո լրացնել «մաս» բառը՝ հիմք ընդունելով «Նորմատիվ իրավական ակտերի մասին» օրենքի     13-րդ հոդվածի 3-րդ մասի դրույթներն առ այն, որ նորմատիվ իրավական ակտը ունենում է եզրափակիչ մաս:</w:t>
            </w:r>
          </w:p>
        </w:tc>
        <w:tc>
          <w:tcPr>
            <w:tcW w:w="5761" w:type="dxa"/>
            <w:tcBorders>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both"/>
              <w:rPr>
                <w:sz w:val="24"/>
                <w:szCs w:val="24"/>
              </w:rPr>
            </w:pPr>
            <w:r>
              <w:rPr>
                <w:rFonts w:ascii="GHEA Grapalat" w:hAnsi="GHEA Grapalat"/>
                <w:b w:val="false"/>
                <w:bCs w:val="false"/>
                <w:sz w:val="24"/>
                <w:szCs w:val="24"/>
              </w:rPr>
              <w:t xml:space="preserve">  </w:t>
            </w:r>
            <w:r>
              <w:rPr>
                <w:rFonts w:ascii="GHEA Grapalat" w:hAnsi="GHEA Grapalat"/>
                <w:b/>
                <w:bCs/>
                <w:sz w:val="24"/>
                <w:szCs w:val="24"/>
              </w:rPr>
              <w:t>5․ Ընդունվել է,</w:t>
            </w:r>
            <w:r>
              <w:rPr>
                <w:rFonts w:ascii="GHEA Grapalat" w:hAnsi="GHEA Grapalat"/>
                <w:b w:val="false"/>
                <w:bCs w:val="false"/>
                <w:sz w:val="24"/>
                <w:szCs w:val="24"/>
              </w:rPr>
              <w:t xml:space="preserve"> </w:t>
            </w:r>
            <w:r>
              <w:rPr>
                <w:rFonts w:ascii="GHEA Grapalat" w:hAnsi="GHEA Grapalat"/>
                <w:b/>
                <w:bCs/>
                <w:sz w:val="24"/>
                <w:szCs w:val="24"/>
              </w:rPr>
              <w:t>նախագծում կատարվել է համապատասխան փոփոխություն</w:t>
            </w:r>
          </w:p>
        </w:tc>
      </w:tr>
      <w:tr>
        <w:trPr>
          <w:trHeight w:val="326" w:hRule="atLeast"/>
        </w:trPr>
        <w:tc>
          <w:tcPr>
            <w:tcW w:w="8913" w:type="dxa"/>
            <w:vMerge w:val="restart"/>
            <w:tcBorders>
              <w:start w:val="single" w:sz="4" w:space="0" w:color="000000"/>
              <w:bottom w:val="single" w:sz="4" w:space="0" w:color="000000"/>
            </w:tcBorders>
            <w:shd w:fill="DDE8CB" w:val="clear"/>
            <w:vAlign w:val="center"/>
          </w:tcPr>
          <w:p>
            <w:pPr>
              <w:pStyle w:val="Normal"/>
              <w:spacing w:lineRule="auto" w:line="276" w:before="0" w:after="160"/>
              <w:jc w:val="center"/>
              <w:rPr>
                <w:sz w:val="24"/>
                <w:szCs w:val="24"/>
              </w:rPr>
            </w:pPr>
            <w:r>
              <w:rPr>
                <w:rFonts w:ascii="GHEA Grapalat" w:hAnsi="GHEA Grapalat"/>
                <w:b/>
                <w:bCs/>
                <w:sz w:val="24"/>
                <w:szCs w:val="24"/>
                <w:shd w:fill="auto" w:val="clear"/>
              </w:rPr>
              <w:t>7․ ՀՀ ներքին գործերի նախարարություն</w:t>
            </w:r>
          </w:p>
        </w:tc>
        <w:tc>
          <w:tcPr>
            <w:tcW w:w="5761" w:type="dxa"/>
            <w:tcBorders>
              <w:start w:val="single" w:sz="4" w:space="0" w:color="000000"/>
              <w:bottom w:val="single" w:sz="4" w:space="0" w:color="000000"/>
              <w:end w:val="single" w:sz="4" w:space="0" w:color="000000"/>
            </w:tcBorders>
            <w:shd w:fill="DDE8CB" w:val="clear"/>
          </w:tcPr>
          <w:p>
            <w:pPr>
              <w:pStyle w:val="Normal"/>
              <w:spacing w:lineRule="auto" w:line="276" w:before="0" w:after="0"/>
              <w:jc w:val="center"/>
              <w:rPr>
                <w:sz w:val="24"/>
                <w:szCs w:val="24"/>
              </w:rPr>
            </w:pPr>
            <w:r>
              <w:rPr>
                <w:rFonts w:ascii="GHEA Grapalat" w:hAnsi="GHEA Grapalat"/>
                <w:b/>
                <w:bCs/>
                <w:sz w:val="24"/>
                <w:szCs w:val="24"/>
              </w:rPr>
              <w:t>06.08.2024</w:t>
            </w:r>
          </w:p>
        </w:tc>
      </w:tr>
      <w:tr>
        <w:trPr>
          <w:trHeight w:val="326" w:hRule="atLeast"/>
        </w:trPr>
        <w:tc>
          <w:tcPr>
            <w:tcW w:w="8913" w:type="dxa"/>
            <w:vMerge w:val="continue"/>
            <w:tcBorders>
              <w:start w:val="single" w:sz="4" w:space="0" w:color="000000"/>
              <w:bottom w:val="single" w:sz="4" w:space="0" w:color="000000"/>
            </w:tcBorders>
            <w:shd w:fill="DDE8CB" w:val="clear"/>
          </w:tcPr>
          <w:p>
            <w:pPr>
              <w:pStyle w:val="Normal"/>
              <w:widowControl/>
              <w:suppressAutoHyphens w:val="true"/>
              <w:bidi w:val="0"/>
              <w:spacing w:lineRule="auto" w:line="276" w:before="0" w:after="160"/>
              <w:jc w:val="start"/>
              <w:rPr>
                <w:sz w:val="24"/>
                <w:szCs w:val="24"/>
              </w:rPr>
            </w:pPr>
            <w:r>
              <w:rPr>
                <w:sz w:val="24"/>
                <w:szCs w:val="24"/>
              </w:rPr>
            </w:r>
          </w:p>
        </w:tc>
        <w:tc>
          <w:tcPr>
            <w:tcW w:w="5761" w:type="dxa"/>
            <w:tcBorders>
              <w:start w:val="single" w:sz="4" w:space="0" w:color="000000"/>
              <w:bottom w:val="single" w:sz="4" w:space="0" w:color="000000"/>
              <w:end w:val="single" w:sz="4" w:space="0" w:color="000000"/>
            </w:tcBorders>
            <w:shd w:fill="DDE8CB" w:val="clear"/>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lang w:val="hy-AM"/>
              </w:rPr>
              <w:t>N 43/6/132986-24</w:t>
            </w:r>
          </w:p>
        </w:tc>
      </w:tr>
      <w:tr>
        <w:trPr>
          <w:trHeight w:val="585" w:hRule="atLeast"/>
        </w:trPr>
        <w:tc>
          <w:tcPr>
            <w:tcW w:w="8913" w:type="dxa"/>
            <w:tcBorders>
              <w:start w:val="single" w:sz="4" w:space="0" w:color="000000"/>
              <w:bottom w:val="single" w:sz="4" w:space="0" w:color="000000"/>
              <w:end w:val="single" w:sz="4" w:space="0" w:color="000000"/>
            </w:tcBorders>
          </w:tcPr>
          <w:p>
            <w:pPr>
              <w:pStyle w:val="Normal"/>
              <w:spacing w:lineRule="auto" w:line="276" w:before="0" w:after="160"/>
              <w:jc w:val="center"/>
              <w:rPr>
                <w:rFonts w:ascii="GHEA Grapalat" w:hAnsi="GHEA Grapalat"/>
              </w:rPr>
            </w:pPr>
            <w:r>
              <w:rPr>
                <w:rFonts w:ascii="GHEA Grapalat" w:hAnsi="GHEA Grapalat"/>
                <w:sz w:val="24"/>
                <w:szCs w:val="24"/>
              </w:rPr>
              <w:t>Դիտողություն և առաջարկություններ չկան</w:t>
            </w:r>
          </w:p>
        </w:tc>
        <w:tc>
          <w:tcPr>
            <w:tcW w:w="5761" w:type="dxa"/>
            <w:tcBorders>
              <w:start w:val="single" w:sz="4" w:space="0" w:color="000000"/>
              <w:bottom w:val="single" w:sz="4" w:space="0" w:color="000000"/>
              <w:end w:val="single" w:sz="4" w:space="0" w:color="000000"/>
            </w:tcBorders>
          </w:tcPr>
          <w:p>
            <w:pPr>
              <w:pStyle w:val="Normal"/>
              <w:spacing w:lineRule="auto" w:line="276" w:before="0" w:after="160"/>
              <w:jc w:val="both"/>
              <w:rPr>
                <w:sz w:val="24"/>
                <w:szCs w:val="24"/>
              </w:rPr>
            </w:pPr>
            <w:r>
              <w:rPr>
                <w:sz w:val="24"/>
                <w:szCs w:val="24"/>
              </w:rPr>
            </w:r>
          </w:p>
        </w:tc>
      </w:tr>
      <w:tr>
        <w:trPr>
          <w:trHeight w:val="195" w:hRule="atLeast"/>
        </w:trPr>
        <w:tc>
          <w:tcPr>
            <w:tcW w:w="8913" w:type="dxa"/>
            <w:vMerge w:val="restart"/>
            <w:tcBorders>
              <w:start w:val="single" w:sz="4" w:space="0" w:color="000000"/>
              <w:bottom w:val="single" w:sz="4" w:space="0" w:color="000000"/>
            </w:tcBorders>
            <w:shd w:fill="DDE8CB" w:val="clear"/>
          </w:tcPr>
          <w:p>
            <w:pPr>
              <w:pStyle w:val="Normal"/>
              <w:spacing w:lineRule="auto" w:line="276" w:before="0" w:after="160"/>
              <w:jc w:val="center"/>
              <w:rPr>
                <w:sz w:val="24"/>
                <w:szCs w:val="24"/>
              </w:rPr>
            </w:pPr>
            <w:r>
              <w:rPr>
                <w:b/>
                <w:bCs/>
                <w:sz w:val="24"/>
                <w:szCs w:val="24"/>
                <w:shd w:fill="auto" w:val="clear"/>
              </w:rPr>
              <w:t xml:space="preserve">    </w:t>
            </w:r>
            <w:r>
              <w:rPr>
                <w:b/>
                <w:bCs/>
                <w:sz w:val="24"/>
                <w:szCs w:val="24"/>
                <w:shd w:fill="auto" w:val="clear"/>
              </w:rPr>
              <w:t>8․ ՀՀ արդարադատության նախարարություն</w:t>
            </w:r>
          </w:p>
        </w:tc>
        <w:tc>
          <w:tcPr>
            <w:tcW w:w="5761" w:type="dxa"/>
            <w:tcBorders>
              <w:start w:val="single" w:sz="4" w:space="0" w:color="000000"/>
              <w:bottom w:val="single" w:sz="4" w:space="0" w:color="000000"/>
              <w:end w:val="single" w:sz="4" w:space="0" w:color="000000"/>
            </w:tcBorders>
            <w:shd w:fill="DDE8CB" w:val="clear"/>
          </w:tcPr>
          <w:p>
            <w:pPr>
              <w:pStyle w:val="Normal"/>
              <w:widowControl w:val="false"/>
              <w:spacing w:lineRule="auto" w:line="276" w:before="0" w:after="0"/>
              <w:jc w:val="center"/>
              <w:rPr>
                <w:sz w:val="24"/>
                <w:szCs w:val="24"/>
              </w:rPr>
            </w:pPr>
            <w:r>
              <w:rPr>
                <w:rFonts w:ascii="GHEA Grapalat" w:hAnsi="GHEA Grapalat"/>
                <w:b/>
                <w:bCs/>
                <w:sz w:val="24"/>
                <w:szCs w:val="24"/>
                <w:lang w:val="hy-AM"/>
              </w:rPr>
              <w:t>12.09.2024</w:t>
            </w:r>
          </w:p>
        </w:tc>
      </w:tr>
      <w:tr>
        <w:trPr>
          <w:trHeight w:val="195" w:hRule="atLeast"/>
        </w:trPr>
        <w:tc>
          <w:tcPr>
            <w:tcW w:w="8913" w:type="dxa"/>
            <w:vMerge w:val="continue"/>
            <w:tcBorders>
              <w:start w:val="single" w:sz="4" w:space="0" w:color="000000"/>
              <w:bottom w:val="single" w:sz="4" w:space="0" w:color="000000"/>
            </w:tcBorders>
            <w:shd w:fill="DDE8CB" w:val="clear"/>
          </w:tcPr>
          <w:p>
            <w:pPr>
              <w:pStyle w:val="Normal"/>
              <w:spacing w:lineRule="auto" w:line="276" w:before="0" w:after="160"/>
              <w:jc w:val="center"/>
              <w:rPr>
                <w:b/>
                <w:bCs/>
                <w:sz w:val="24"/>
                <w:szCs w:val="24"/>
                <w:shd w:fill="auto" w:val="clear"/>
              </w:rPr>
            </w:pPr>
            <w:r>
              <w:rPr>
                <w:b/>
                <w:bCs/>
                <w:sz w:val="24"/>
                <w:szCs w:val="24"/>
                <w:shd w:fill="auto" w:val="clear"/>
              </w:rPr>
            </w:r>
          </w:p>
        </w:tc>
        <w:tc>
          <w:tcPr>
            <w:tcW w:w="5761" w:type="dxa"/>
            <w:tcBorders>
              <w:start w:val="single" w:sz="4" w:space="0" w:color="000000"/>
              <w:bottom w:val="single" w:sz="4" w:space="0" w:color="000000"/>
              <w:end w:val="single" w:sz="4" w:space="0" w:color="000000"/>
            </w:tcBorders>
            <w:shd w:fill="DDE8CB" w:val="clear"/>
          </w:tcPr>
          <w:p>
            <w:pPr>
              <w:pStyle w:val="Normal"/>
              <w:widowControl w:val="false"/>
              <w:spacing w:lineRule="auto" w:line="276" w:before="0" w:after="0"/>
              <w:jc w:val="center"/>
              <w:rPr>
                <w:sz w:val="24"/>
                <w:szCs w:val="24"/>
              </w:rPr>
            </w:pPr>
            <w:r>
              <w:rPr>
                <w:rFonts w:ascii="GHEA Grapalat" w:hAnsi="GHEA Grapalat"/>
                <w:b/>
                <w:bCs/>
                <w:sz w:val="24"/>
                <w:szCs w:val="24"/>
                <w:lang w:val="hy-AM"/>
              </w:rPr>
              <w:t>/27.3/36195-2024</w:t>
            </w:r>
          </w:p>
        </w:tc>
      </w:tr>
      <w:tr>
        <w:trPr>
          <w:trHeight w:val="585" w:hRule="atLeast"/>
        </w:trPr>
        <w:tc>
          <w:tcPr>
            <w:tcW w:w="8913" w:type="dxa"/>
            <w:tcBorders>
              <w:start w:val="single" w:sz="4" w:space="0" w:color="000000"/>
              <w:bottom w:val="single" w:sz="4" w:space="0" w:color="000000"/>
            </w:tcBorders>
          </w:tcPr>
          <w:p>
            <w:pPr>
              <w:pStyle w:val="Normal"/>
              <w:spacing w:lineRule="auto" w:line="276" w:before="0" w:after="0"/>
              <w:ind w:start="1440"/>
              <w:jc w:val="start"/>
              <w:rPr>
                <w:sz w:val="24"/>
                <w:szCs w:val="24"/>
              </w:rPr>
            </w:pPr>
            <w:r>
              <w:rPr>
                <w:rFonts w:cs="Sylfaen" w:ascii="GHEA Grapalat" w:hAnsi="GHEA Grapalat"/>
                <w:b/>
                <w:sz w:val="24"/>
                <w:szCs w:val="24"/>
              </w:rPr>
              <w:t xml:space="preserve">      </w:t>
            </w:r>
            <w:r>
              <w:rPr>
                <w:rFonts w:cs="Sylfaen" w:ascii="GHEA Grapalat" w:hAnsi="GHEA Grapalat"/>
                <w:b/>
                <w:sz w:val="24"/>
                <w:szCs w:val="24"/>
              </w:rPr>
              <w:t>ՊԵՏԱԿԱՆ ՓՈՐՁԱԳԻՏԱԿԱՆ ԵԶՐԱԿԱՑՈՒԹՅՈՒՆ</w:t>
            </w:r>
          </w:p>
          <w:p>
            <w:pPr>
              <w:pStyle w:val="Normal"/>
              <w:spacing w:lineRule="auto" w:line="276" w:before="0" w:after="0"/>
              <w:jc w:val="center"/>
              <w:rPr>
                <w:sz w:val="24"/>
                <w:szCs w:val="24"/>
              </w:rPr>
            </w:pPr>
            <w:r>
              <w:rPr>
                <w:rFonts w:cs="Sylfaen" w:ascii="GHEA Grapalat" w:hAnsi="GHEA Grapalat"/>
                <w:b/>
                <w:sz w:val="24"/>
                <w:szCs w:val="24"/>
                <w:lang w:val="hy-AM"/>
              </w:rPr>
              <w:t>««</w:t>
            </w:r>
            <w:r>
              <w:rPr>
                <w:rFonts w:cs="Sylfaen" w:ascii="GHEA Grapalat" w:hAnsi="GHEA Grapalat"/>
                <w:b/>
                <w:sz w:val="24"/>
                <w:szCs w:val="24"/>
              </w:rPr>
              <w:t xml:space="preserve">Պետական գաղտնիքի </w:t>
            </w:r>
            <w:r>
              <w:rPr>
                <w:rFonts w:ascii="GHEA Grapalat" w:hAnsi="GHEA Grapalat"/>
                <w:b/>
                <w:bCs/>
                <w:color w:val="000000"/>
                <w:sz w:val="24"/>
                <w:szCs w:val="24"/>
                <w:lang w:val="hy-AM"/>
              </w:rPr>
              <w:t>մասին» օրենք</w:t>
            </w:r>
            <w:r>
              <w:rPr>
                <w:rFonts w:ascii="GHEA Grapalat" w:hAnsi="GHEA Grapalat"/>
                <w:b/>
                <w:bCs/>
                <w:color w:val="000000"/>
                <w:sz w:val="24"/>
                <w:szCs w:val="24"/>
              </w:rPr>
              <w:t>ում փոփոխություններ և լրացումներ կատարելու մասին</w:t>
            </w:r>
            <w:r>
              <w:rPr>
                <w:rFonts w:ascii="GHEA Grapalat" w:hAnsi="GHEA Grapalat"/>
                <w:b/>
                <w:bCs/>
                <w:color w:val="000000"/>
                <w:sz w:val="24"/>
                <w:szCs w:val="24"/>
                <w:lang w:val="hy-AM"/>
              </w:rPr>
              <w:t xml:space="preserve">» </w:t>
            </w:r>
            <w:r>
              <w:rPr>
                <w:rFonts w:ascii="GHEA Grapalat" w:hAnsi="GHEA Grapalat"/>
                <w:b/>
                <w:bCs/>
                <w:color w:val="000000"/>
                <w:sz w:val="24"/>
                <w:szCs w:val="24"/>
              </w:rPr>
              <w:t>օրենքի</w:t>
            </w:r>
            <w:r>
              <w:rPr>
                <w:rFonts w:ascii="GHEA Grapalat" w:hAnsi="GHEA Grapalat"/>
                <w:b/>
                <w:bCs/>
                <w:color w:val="000000"/>
                <w:sz w:val="24"/>
                <w:szCs w:val="24"/>
                <w:lang w:val="hy-AM"/>
              </w:rPr>
              <w:t xml:space="preserve"> նախագծի </w:t>
            </w:r>
            <w:r>
              <w:rPr>
                <w:rFonts w:cs="Sylfaen" w:ascii="GHEA Grapalat" w:hAnsi="GHEA Grapalat"/>
                <w:b/>
                <w:sz w:val="24"/>
                <w:szCs w:val="24"/>
                <w:lang w:val="hy-AM"/>
              </w:rPr>
              <w:t>վերաբերյալ</w:t>
            </w:r>
          </w:p>
          <w:p>
            <w:pPr>
              <w:pStyle w:val="Normal"/>
              <w:spacing w:lineRule="auto" w:line="276" w:before="0" w:after="0"/>
              <w:jc w:val="center"/>
              <w:rPr>
                <w:rFonts w:ascii="GHEA Grapalat" w:hAnsi="GHEA Grapalat" w:cs="Sylfaen"/>
                <w:b/>
                <w:sz w:val="24"/>
                <w:szCs w:val="24"/>
                <w:lang w:val="hy-AM"/>
              </w:rPr>
            </w:pPr>
            <w:r>
              <w:rPr>
                <w:rFonts w:cs="Sylfaen" w:ascii="GHEA Grapalat" w:hAnsi="GHEA Grapalat"/>
                <w:b/>
                <w:sz w:val="24"/>
                <w:szCs w:val="24"/>
                <w:lang w:val="hy-AM"/>
              </w:rPr>
            </w:r>
          </w:p>
          <w:p>
            <w:pPr>
              <w:pStyle w:val="NormalWeb"/>
              <w:spacing w:lineRule="auto" w:line="276" w:beforeAutospacing="0" w:before="0" w:afterAutospacing="0" w:after="0"/>
              <w:ind w:firstLine="360"/>
              <w:jc w:val="both"/>
              <w:rPr>
                <w:sz w:val="24"/>
                <w:szCs w:val="24"/>
              </w:rPr>
            </w:pPr>
            <w:r>
              <w:rPr>
                <w:rFonts w:cs="Sylfaen" w:ascii="GHEA Grapalat" w:hAnsi="GHEA Grapalat"/>
                <w:sz w:val="24"/>
                <w:szCs w:val="24"/>
              </w:rPr>
              <w:t xml:space="preserve">1. </w:t>
            </w:r>
            <w:r>
              <w:rPr>
                <w:rFonts w:cs="Sylfaen" w:ascii="GHEA Grapalat" w:hAnsi="GHEA Grapalat"/>
                <w:sz w:val="24"/>
                <w:szCs w:val="24"/>
                <w:lang w:val="hy-AM"/>
              </w:rPr>
              <w:t>««</w:t>
            </w:r>
            <w:r>
              <w:rPr>
                <w:rFonts w:cs="Sylfaen" w:ascii="GHEA Grapalat" w:hAnsi="GHEA Grapalat"/>
                <w:sz w:val="24"/>
                <w:szCs w:val="24"/>
              </w:rPr>
              <w:t xml:space="preserve">Պետական գաղտնիքի </w:t>
            </w:r>
            <w:r>
              <w:rPr>
                <w:rFonts w:ascii="GHEA Grapalat" w:hAnsi="GHEA Grapalat"/>
                <w:bCs/>
                <w:color w:val="000000"/>
                <w:sz w:val="24"/>
                <w:szCs w:val="24"/>
                <w:lang w:val="hy-AM"/>
              </w:rPr>
              <w:t>մասին» օրենք</w:t>
            </w:r>
            <w:r>
              <w:rPr>
                <w:rFonts w:ascii="GHEA Grapalat" w:hAnsi="GHEA Grapalat"/>
                <w:bCs/>
                <w:color w:val="000000"/>
                <w:sz w:val="24"/>
                <w:szCs w:val="24"/>
              </w:rPr>
              <w:t>ում փոփոխություններ և լրացումներ կատարելու մասին</w:t>
            </w:r>
            <w:r>
              <w:rPr>
                <w:rFonts w:ascii="GHEA Grapalat" w:hAnsi="GHEA Grapalat"/>
                <w:bCs/>
                <w:color w:val="000000"/>
                <w:sz w:val="24"/>
                <w:szCs w:val="24"/>
                <w:lang w:val="hy-AM"/>
              </w:rPr>
              <w:t xml:space="preserve">» </w:t>
            </w:r>
            <w:r>
              <w:rPr>
                <w:rFonts w:ascii="GHEA Grapalat" w:hAnsi="GHEA Grapalat"/>
                <w:bCs/>
                <w:color w:val="000000"/>
                <w:sz w:val="24"/>
                <w:szCs w:val="24"/>
              </w:rPr>
              <w:t>օրենքի</w:t>
            </w:r>
            <w:r>
              <w:rPr>
                <w:rFonts w:ascii="GHEA Grapalat" w:hAnsi="GHEA Grapalat"/>
                <w:bCs/>
                <w:color w:val="000000"/>
                <w:sz w:val="24"/>
                <w:szCs w:val="24"/>
                <w:lang w:val="hy-AM"/>
              </w:rPr>
              <w:t xml:space="preserve"> նախագծի</w:t>
            </w:r>
            <w:r>
              <w:rPr>
                <w:rFonts w:ascii="GHEA Grapalat" w:hAnsi="GHEA Grapalat"/>
                <w:b/>
                <w:bCs/>
                <w:color w:val="000000"/>
                <w:sz w:val="24"/>
                <w:szCs w:val="24"/>
                <w:lang w:val="hy-AM"/>
              </w:rPr>
              <w:t xml:space="preserve"> </w:t>
            </w:r>
            <w:r>
              <w:rPr>
                <w:rFonts w:ascii="GHEA Grapalat" w:hAnsi="GHEA Grapalat"/>
                <w:bCs/>
                <w:color w:val="000000"/>
                <w:sz w:val="24"/>
                <w:szCs w:val="24"/>
                <w:lang w:val="hy-AM"/>
              </w:rPr>
              <w:t xml:space="preserve">(այսուհետ՝ Նախագիծ) </w:t>
            </w:r>
            <w:r>
              <w:rPr>
                <w:rFonts w:ascii="GHEA Grapalat" w:hAnsi="GHEA Grapalat"/>
                <w:bCs/>
                <w:color w:val="000000"/>
                <w:sz w:val="24"/>
                <w:szCs w:val="24"/>
              </w:rPr>
              <w:t xml:space="preserve">1-ին հոդվածն անհրաժեշտ է խմբագրել՝ նկատի ունենալով </w:t>
            </w:r>
            <w:r>
              <w:rPr>
                <w:rFonts w:ascii="GHEA Grapalat" w:hAnsi="GHEA Grapalat"/>
                <w:sz w:val="24"/>
                <w:szCs w:val="24"/>
                <w:lang w:val="hy-AM"/>
              </w:rPr>
              <w:t>«</w:t>
            </w:r>
            <w:r>
              <w:rPr>
                <w:rFonts w:ascii="GHEA Grapalat" w:hAnsi="GHEA Grapalat"/>
                <w:sz w:val="24"/>
                <w:szCs w:val="24"/>
              </w:rPr>
              <w:t>Նորմատիվ իրավական ակտերի մասին</w:t>
            </w:r>
            <w:r>
              <w:rPr>
                <w:rFonts w:ascii="GHEA Grapalat" w:hAnsi="GHEA Grapalat"/>
                <w:sz w:val="24"/>
                <w:szCs w:val="24"/>
                <w:lang w:val="hy-AM"/>
              </w:rPr>
              <w:t>»</w:t>
            </w:r>
            <w:r>
              <w:rPr>
                <w:rFonts w:ascii="GHEA Grapalat" w:hAnsi="GHEA Grapalat"/>
                <w:sz w:val="24"/>
                <w:szCs w:val="24"/>
              </w:rPr>
              <w:t xml:space="preserve"> օրենքի 17-րդ հոդվածի 8-րդ մասը, համաձայն որի՝ </w:t>
            </w:r>
            <w:r>
              <w:rPr>
                <w:rFonts w:cs="Calibri" w:ascii="Calibri" w:hAnsi="Calibri"/>
                <w:color w:val="000000"/>
                <w:sz w:val="24"/>
                <w:szCs w:val="24"/>
                <w:shd w:fill="FFFFFF" w:val="clear"/>
              </w:rPr>
              <w:t> </w:t>
            </w:r>
            <w:r>
              <w:rPr>
                <w:rFonts w:ascii="GHEA Grapalat" w:hAnsi="GHEA Grapalat"/>
                <w:b/>
                <w:color w:val="000000"/>
                <w:sz w:val="24"/>
                <w:szCs w:val="24"/>
                <w:shd w:fill="FFFFFF" w:val="clear"/>
              </w:rPr>
              <w:t>հղում կատարելիս նորմատիվ իրավական ակտի լրիվ անվանումը հիշատակվում է նորմատիվ իրավական ակտում փոփոխություններ կամ լրացումներ նախատեսող</w:t>
            </w:r>
            <w:r>
              <w:rPr>
                <w:rFonts w:ascii="GHEA Grapalat" w:hAnsi="GHEA Grapalat"/>
                <w:color w:val="000000"/>
                <w:sz w:val="24"/>
                <w:szCs w:val="24"/>
                <w:shd w:fill="FFFFFF" w:val="clear"/>
              </w:rPr>
              <w:t xml:space="preserve"> կամ նորմատիվ իրավական ակտի գործողությունը դադարեցնող </w:t>
            </w:r>
            <w:r>
              <w:rPr>
                <w:rFonts w:ascii="GHEA Grapalat" w:hAnsi="GHEA Grapalat"/>
                <w:b/>
                <w:color w:val="000000"/>
                <w:sz w:val="24"/>
                <w:szCs w:val="24"/>
                <w:shd w:fill="FFFFFF" w:val="clear"/>
              </w:rPr>
              <w:t>ակտում</w:t>
            </w:r>
            <w:r>
              <w:rPr>
                <w:rFonts w:ascii="GHEA Grapalat" w:hAnsi="GHEA Grapalat"/>
                <w:color w:val="000000"/>
                <w:sz w:val="24"/>
                <w:szCs w:val="24"/>
                <w:shd w:fill="FFFFFF" w:val="clear"/>
              </w:rPr>
              <w:t xml:space="preserve">: (…), ինչպես նաև 18-րդ հոդվածի 3-րդ մասը, համաձայն որի՝ </w:t>
            </w:r>
            <w:r>
              <w:rPr>
                <w:rFonts w:ascii="GHEA Grapalat" w:hAnsi="GHEA Grapalat"/>
                <w:b/>
                <w:color w:val="000000"/>
                <w:sz w:val="24"/>
                <w:szCs w:val="24"/>
                <w:shd w:fill="FFFFFF" w:val="clear"/>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w:t>
            </w:r>
            <w:r>
              <w:rPr>
                <w:rFonts w:ascii="GHEA Grapalat" w:hAnsi="GHEA Grapalat"/>
                <w:color w:val="000000"/>
                <w:sz w:val="24"/>
                <w:szCs w:val="24"/>
                <w:shd w:fill="FFFFFF" w:val="clear"/>
              </w:rPr>
              <w:t>: (…):</w:t>
            </w:r>
          </w:p>
        </w:tc>
        <w:tc>
          <w:tcPr>
            <w:tcW w:w="5761" w:type="dxa"/>
            <w:tcBorders>
              <w:start w:val="single" w:sz="4" w:space="0" w:color="000000"/>
              <w:bottom w:val="single" w:sz="4" w:space="0" w:color="000000"/>
              <w:end w:val="single" w:sz="4" w:space="0" w:color="000000"/>
            </w:tcBorders>
          </w:tcPr>
          <w:p>
            <w:pPr>
              <w:pStyle w:val="Normal"/>
              <w:spacing w:lineRule="auto" w:line="276"/>
              <w:rPr>
                <w:sz w:val="24"/>
                <w:szCs w:val="24"/>
              </w:rPr>
            </w:pPr>
            <w:r>
              <w:rPr>
                <w:sz w:val="24"/>
                <w:szCs w:val="24"/>
              </w:rPr>
            </w:r>
          </w:p>
          <w:p>
            <w:pPr>
              <w:pStyle w:val="Normal"/>
              <w:spacing w:lineRule="auto" w:line="276"/>
              <w:rPr>
                <w:sz w:val="24"/>
                <w:szCs w:val="24"/>
              </w:rPr>
            </w:pPr>
            <w:r>
              <w:rPr>
                <w:sz w:val="24"/>
                <w:szCs w:val="24"/>
              </w:rPr>
            </w:r>
          </w:p>
          <w:p>
            <w:pPr>
              <w:pStyle w:val="Normal"/>
              <w:spacing w:lineRule="auto" w:line="276"/>
              <w:rPr>
                <w:sz w:val="24"/>
                <w:szCs w:val="24"/>
              </w:rPr>
            </w:pPr>
            <w:r>
              <w:rPr>
                <w:sz w:val="24"/>
                <w:szCs w:val="24"/>
              </w:rPr>
            </w:r>
          </w:p>
          <w:p>
            <w:pPr>
              <w:pStyle w:val="Normal"/>
              <w:spacing w:lineRule="auto" w:line="276"/>
              <w:rPr>
                <w:sz w:val="24"/>
                <w:szCs w:val="24"/>
              </w:rPr>
            </w:pPr>
            <w:r>
              <w:rPr>
                <w:sz w:val="24"/>
                <w:szCs w:val="24"/>
              </w:rPr>
            </w:r>
          </w:p>
          <w:p>
            <w:pPr>
              <w:pStyle w:val="Normal"/>
              <w:spacing w:lineRule="auto" w:line="276" w:before="0" w:after="0"/>
              <w:ind w:hanging="0"/>
              <w:jc w:val="both"/>
              <w:rPr>
                <w:rFonts w:ascii="GHEA Grapalat" w:hAnsi="GHEA Grapalat" w:eastAsia="Times New Roman"/>
                <w:b/>
                <w:bCs/>
                <w:color w:val="000000"/>
                <w:sz w:val="24"/>
                <w:szCs w:val="24"/>
              </w:rPr>
            </w:pPr>
            <w:r>
              <w:rPr>
                <w:rFonts w:eastAsia="Times New Roman" w:ascii="GHEA Grapalat" w:hAnsi="GHEA Grapalat"/>
                <w:b/>
                <w:bCs/>
                <w:color w:val="000000"/>
                <w:sz w:val="24"/>
                <w:szCs w:val="24"/>
              </w:rPr>
            </w:r>
          </w:p>
          <w:p>
            <w:pPr>
              <w:pStyle w:val="Normal"/>
              <w:spacing w:lineRule="auto" w:line="276" w:before="0" w:after="0"/>
              <w:ind w:hanging="0"/>
              <w:jc w:val="both"/>
              <w:rPr>
                <w:sz w:val="24"/>
                <w:szCs w:val="24"/>
              </w:rPr>
            </w:pPr>
            <w:r>
              <w:rPr>
                <w:rFonts w:eastAsia="Times New Roman" w:ascii="GHEA Grapalat" w:hAnsi="GHEA Grapalat"/>
                <w:b/>
                <w:bCs/>
                <w:color w:val="000000"/>
                <w:sz w:val="24"/>
                <w:szCs w:val="24"/>
              </w:rPr>
              <w:t>1․ Ընդունվել է, նախագծում կատարվել է համապատասխան փոփոխություն</w:t>
            </w:r>
          </w:p>
        </w:tc>
      </w:tr>
      <w:tr>
        <w:trPr>
          <w:trHeight w:val="585" w:hRule="atLeast"/>
        </w:trPr>
        <w:tc>
          <w:tcPr>
            <w:tcW w:w="8913" w:type="dxa"/>
            <w:tcBorders>
              <w:start w:val="single" w:sz="4" w:space="0" w:color="000000"/>
              <w:bottom w:val="single" w:sz="4" w:space="0" w:color="000000"/>
            </w:tcBorders>
          </w:tcPr>
          <w:p>
            <w:pPr>
              <w:pStyle w:val="NormalWeb"/>
              <w:widowControl/>
              <w:suppressAutoHyphens w:val="true"/>
              <w:overflowPunct w:val="false"/>
              <w:bidi w:val="0"/>
              <w:spacing w:lineRule="auto" w:line="276" w:beforeAutospacing="0" w:before="0" w:afterAutospacing="0" w:after="0"/>
              <w:ind w:firstLine="360"/>
              <w:jc w:val="both"/>
              <w:rPr>
                <w:rFonts w:ascii="GHEA Grapalat" w:hAnsi="GHEA Grapalat"/>
              </w:rPr>
            </w:pPr>
            <w:r>
              <w:rPr>
                <w:rFonts w:cs="Noto Sans Arabic" w:ascii="GHEA Grapalat" w:hAnsi="GHEA Grapalat"/>
                <w:bCs/>
                <w:color w:val="000000"/>
                <w:kern w:val="0"/>
                <w:lang w:val="en-US" w:eastAsia="en-US" w:bidi="ar-SA"/>
              </w:rPr>
              <w:t>2. Նախագծի 1-ին հոդվածով նախատեսվում է «Պետական գաղտնիքի մասին» օրենքի (այսուհետ՝ Օրենք) 20-րդ հոդվածի 2-րդ մասից հետո լրացնել նոր 2.1-ին մաս, համաձայն որի՝ Արտաքին հետախուզության ծառայությունում հանրային ծառայության պաշտոն զբաղեցնող անձանց, ինչպես նաև Արտաքին հետախուզության ծառայության հետ համագործակցող ֆիզիկական անձանց պետական գաղտնիք պարունակող տեղեկություններին առնչվելու թույլտվություն տրամադրում է, իսկ իրավաբանական անձանց գաղտնի տեղեկությունների կիրառմամբ աշխատանքներ կատարելու իրավունք տրվում է Արտաքին հետախուզության ծառայության կողմից, որի դեպքում սույն մասով սահմանված կարգով ստուգողական միջոցառումները (այդ թվում՝ օրենսդրությամբ սահմանված օպերատիվ-հետախուզական միջոցառումները) իրականացնում է Արտաքին հետախուզության ծառայությունը՝ համագործակցելով լիազոր մարմնի հետ:</w:t>
            </w:r>
          </w:p>
          <w:p>
            <w:pPr>
              <w:pStyle w:val="NormalWeb"/>
              <w:widowControl/>
              <w:suppressAutoHyphens w:val="true"/>
              <w:overflowPunct w:val="false"/>
              <w:bidi w:val="0"/>
              <w:spacing w:lineRule="auto" w:line="276" w:beforeAutospacing="0" w:before="0" w:afterAutospacing="0" w:after="0"/>
              <w:ind w:firstLine="360"/>
              <w:jc w:val="both"/>
              <w:rPr>
                <w:rFonts w:ascii="GHEA Grapalat" w:hAnsi="GHEA Grapalat"/>
              </w:rPr>
            </w:pPr>
            <w:r>
              <w:rPr>
                <w:rFonts w:cs="Noto Sans Arabic" w:ascii="GHEA Grapalat" w:hAnsi="GHEA Grapalat"/>
                <w:bCs/>
                <w:color w:val="000000"/>
                <w:kern w:val="0"/>
                <w:lang w:val="en-US" w:eastAsia="en-US" w:bidi="ar-SA"/>
              </w:rPr>
              <w:t>Արտաքին հետախուզության ծառայության կողմից ստացված պետական գաղտնիք պարունակող տեղեկություններին առնչվելու թույլտվությունը կամ գաղտնի տեղեկությունների կիրառմամբ աշխատանքներ կատարելու թույլտվությունը կիրառելի է միայն Արտաքին հետախուզության ծառայությունում աշխատանքի կամ վերջինիս հետ համագործակցության շրջանակում պետական գաղտնիք պարունակող տեղեկություններին առնչվելու համար:</w:t>
            </w:r>
          </w:p>
          <w:p>
            <w:pPr>
              <w:pStyle w:val="NormalWeb"/>
              <w:widowControl/>
              <w:suppressAutoHyphens w:val="true"/>
              <w:overflowPunct w:val="false"/>
              <w:bidi w:val="0"/>
              <w:spacing w:lineRule="auto" w:line="276" w:beforeAutospacing="0" w:before="0" w:afterAutospacing="0" w:after="0"/>
              <w:ind w:firstLine="360"/>
              <w:jc w:val="both"/>
              <w:rPr>
                <w:rFonts w:ascii="GHEA Grapalat" w:hAnsi="GHEA Grapalat"/>
              </w:rPr>
            </w:pPr>
            <w:r>
              <w:rPr>
                <w:rFonts w:cs="Noto Sans Arabic" w:ascii="GHEA Grapalat" w:hAnsi="GHEA Grapalat"/>
                <w:bCs/>
                <w:color w:val="000000"/>
                <w:kern w:val="0"/>
                <w:lang w:val="en-US" w:eastAsia="en-US" w:bidi="ar-SA"/>
              </w:rPr>
              <w:t>Արտաքին հետախուզության ծառայության և լիազոր մարմնի համագործակցության կարգն ու պայմանները սահմանում է Վարչապետը:</w:t>
            </w:r>
          </w:p>
          <w:p>
            <w:pPr>
              <w:pStyle w:val="NormalWeb"/>
              <w:widowControl/>
              <w:suppressAutoHyphens w:val="true"/>
              <w:overflowPunct w:val="false"/>
              <w:bidi w:val="0"/>
              <w:spacing w:lineRule="auto" w:line="276" w:beforeAutospacing="0" w:before="0" w:afterAutospacing="0" w:after="0"/>
              <w:ind w:firstLine="360"/>
              <w:jc w:val="both"/>
              <w:rPr>
                <w:rFonts w:ascii="GHEA Grapalat" w:hAnsi="GHEA Grapalat"/>
              </w:rPr>
            </w:pPr>
            <w:r>
              <w:rPr>
                <w:rFonts w:cs="Noto Sans Arabic" w:ascii="GHEA Grapalat" w:hAnsi="GHEA Grapalat"/>
                <w:bCs/>
                <w:color w:val="000000"/>
                <w:kern w:val="0"/>
                <w:lang w:val="en-US" w:eastAsia="en-US" w:bidi="ar-SA"/>
              </w:rPr>
              <w:t>Այս կապակցությամբ անհրաժեշտ է նկատի ունենալ, որ Օրենքի 20-րդ հոդվածի 1-ին մասի համաձայն՝ պետական գաղտնիք պարունակող տեղեկություններին առնչվելու թույլտվություն կարող են ունենալ`</w:t>
            </w:r>
          </w:p>
          <w:p>
            <w:pPr>
              <w:pStyle w:val="NormalWeb"/>
              <w:widowControl/>
              <w:suppressAutoHyphens w:val="true"/>
              <w:overflowPunct w:val="false"/>
              <w:bidi w:val="0"/>
              <w:spacing w:lineRule="auto" w:line="276" w:beforeAutospacing="0" w:before="0" w:afterAutospacing="0" w:after="0"/>
              <w:ind w:firstLine="360"/>
              <w:jc w:val="both"/>
              <w:rPr>
                <w:rFonts w:ascii="GHEA Grapalat" w:hAnsi="GHEA Grapalat"/>
              </w:rPr>
            </w:pPr>
            <w:r>
              <w:rPr>
                <w:rFonts w:cs="Noto Sans Arabic" w:ascii="GHEA Grapalat" w:hAnsi="GHEA Grapalat"/>
                <w:bCs/>
                <w:color w:val="000000"/>
                <w:kern w:val="0"/>
                <w:lang w:val="en-US" w:eastAsia="en-US" w:bidi="ar-SA"/>
              </w:rPr>
              <w:t>1) Հայաստանի Հանրապետության քաղաքացիները` աշխատանքային կամ ծառայողական անհրաժեշտությամբ պայմանավորված կամ գիտական աշխատանք կատարելու անհրաժեշտությամբ,</w:t>
            </w:r>
          </w:p>
          <w:p>
            <w:pPr>
              <w:pStyle w:val="NormalWeb"/>
              <w:widowControl/>
              <w:suppressAutoHyphens w:val="true"/>
              <w:overflowPunct w:val="false"/>
              <w:bidi w:val="0"/>
              <w:spacing w:lineRule="auto" w:line="276" w:beforeAutospacing="0" w:before="0" w:afterAutospacing="0" w:after="0"/>
              <w:ind w:firstLine="360"/>
              <w:jc w:val="both"/>
              <w:rPr>
                <w:rFonts w:ascii="GHEA Grapalat" w:hAnsi="GHEA Grapalat"/>
              </w:rPr>
            </w:pPr>
            <w:r>
              <w:rPr>
                <w:rFonts w:cs="Noto Sans Arabic" w:ascii="GHEA Grapalat" w:hAnsi="GHEA Grapalat"/>
                <w:bCs/>
                <w:color w:val="000000"/>
                <w:kern w:val="0"/>
                <w:lang w:val="en-US" w:eastAsia="en-US" w:bidi="ar-SA"/>
              </w:rPr>
              <w:t>2) օտարերկրյա քաղաքացիները և քաղաքացիություն չունեցող անձինք` աշխատանքային կամ ծառայողական անհրաժեշտությամբ պայմանավորված կամ գիտական աշխատանք կատարելու անհրաժեշտությամբ` Կառավարության սահմանած կարգով:</w:t>
            </w:r>
          </w:p>
          <w:p>
            <w:pPr>
              <w:pStyle w:val="NormalWeb"/>
              <w:widowControl/>
              <w:suppressAutoHyphens w:val="true"/>
              <w:overflowPunct w:val="false"/>
              <w:bidi w:val="0"/>
              <w:spacing w:lineRule="auto" w:line="276" w:beforeAutospacing="0" w:before="0" w:afterAutospacing="0" w:after="0"/>
              <w:ind w:firstLine="360"/>
              <w:jc w:val="both"/>
              <w:rPr/>
            </w:pPr>
            <w:r>
              <w:rPr>
                <w:rFonts w:cs="Noto Sans Arabic" w:ascii="GHEA Grapalat" w:hAnsi="GHEA Grapalat"/>
                <w:bCs/>
                <w:color w:val="000000"/>
                <w:kern w:val="0"/>
                <w:lang w:val="en-US" w:eastAsia="en-US" w:bidi="ar-SA"/>
              </w:rPr>
              <w:t>Նշված դրույթից բխում է, որ պետական գաղտնիք պարունակող տեղեկություններին առնչվելու թույլտվություն տրամադրվում է Հայաստանի Հանրապետության քաղաքացիներին, օտարերկրյա քաղաքացիներին և քաղաքացիություն չունեցող անձանց, ուստի «ֆիզիկական անձանց» և «իրավաբանական անձանց» ձևակերպումները և վերջիններիս պետական գաղտնիք պարունակող տեղեկություններին առնչվելու թույլտվություն տրամադրելու վերաբերյալ կարգավորումն ունի վերանայման կարիք: Բացի այդ, նշված ձևակերպումներն ունեն վերանայման կարիք՝ հաշվի առնելով «</w:t>
            </w:r>
            <w:r>
              <w:rPr>
                <w:rStyle w:val="Strong"/>
                <w:rFonts w:cs="Noto Sans Arabic" w:ascii="GHEA Grapalat" w:hAnsi="GHEA Grapalat"/>
                <w:bCs/>
                <w:color w:val="000000"/>
                <w:kern w:val="0"/>
                <w:lang w:val="en-US" w:eastAsia="en-US" w:bidi="ar-SA"/>
              </w:rPr>
              <w:t>Արտաքին հետախուզական գործունեության և արտաքին հետախուզության ծառայության մասին</w:t>
            </w:r>
            <w:r>
              <w:rPr>
                <w:rFonts w:cs="Noto Sans Arabic" w:ascii="GHEA Grapalat" w:hAnsi="GHEA Grapalat"/>
                <w:bCs/>
                <w:color w:val="000000"/>
                <w:kern w:val="0"/>
                <w:lang w:val="en-US" w:eastAsia="en-US" w:bidi="ar-SA"/>
              </w:rPr>
              <w:t xml:space="preserve">» օրենքի 8-րդ և 10-րդ հոդվածներով նախատեսված կարգավորումները, որոնք վերաբերում են </w:t>
            </w:r>
            <w:r>
              <w:rPr>
                <w:rStyle w:val="Strong"/>
                <w:rFonts w:cs="Noto Sans Arabic" w:ascii="GHEA Grapalat" w:hAnsi="GHEA Grapalat"/>
                <w:bCs/>
                <w:color w:val="000000"/>
                <w:kern w:val="0"/>
                <w:lang w:val="en-US" w:eastAsia="en-US" w:bidi="ar-SA"/>
              </w:rPr>
              <w:t xml:space="preserve">Արտաքին հետախուզական գործունեություն իրականացնող մարմինների համագործակցությանը Հայաստանի Հանրապետության պետական և տեղական ինքնակառավարման մարմինների, կազմակերպությունների և օտարերկրյա պետությունների, հատուկ ծառայությունների, իրավապահ մարմինների ու կազմակերպությունների հետ, ինչպես նաև </w:t>
            </w:r>
            <w:r>
              <w:rPr>
                <w:rFonts w:cs="Noto Sans Arabic" w:ascii="GHEA Grapalat" w:hAnsi="GHEA Grapalat"/>
                <w:bCs/>
                <w:color w:val="000000"/>
                <w:kern w:val="0"/>
                <w:lang w:val="en-US" w:eastAsia="en-US" w:bidi="ar-SA"/>
              </w:rPr>
              <w:t>Արտաքին հետախուզական գործունեություն իրականացնող մարմինների հետ համագործակցող անձանց:</w:t>
            </w:r>
          </w:p>
        </w:tc>
        <w:tc>
          <w:tcPr>
            <w:tcW w:w="5761" w:type="dxa"/>
            <w:tcBorders>
              <w:start w:val="single" w:sz="4" w:space="0" w:color="000000"/>
              <w:bottom w:val="single" w:sz="4" w:space="0" w:color="000000"/>
              <w:end w:val="single" w:sz="4" w:space="0" w:color="000000"/>
            </w:tcBorders>
          </w:tcPr>
          <w:p>
            <w:pPr>
              <w:pStyle w:val="NormalWeb"/>
              <w:widowControl/>
              <w:suppressAutoHyphens w:val="true"/>
              <w:overflowPunct w:val="false"/>
              <w:bidi w:val="0"/>
              <w:spacing w:lineRule="auto" w:line="276" w:beforeAutospacing="0" w:before="0" w:afterAutospacing="0" w:after="0"/>
              <w:ind w:firstLine="360"/>
              <w:jc w:val="both"/>
              <w:rPr>
                <w:rFonts w:ascii="GHEA Grapalat" w:hAnsi="GHEA Grapalat" w:cs="Noto Sans Arabic"/>
                <w:b/>
                <w:bCs/>
                <w:color w:val="000000"/>
                <w:kern w:val="0"/>
                <w:lang w:val="en-US" w:eastAsia="en-US" w:bidi="ar-SA"/>
              </w:rPr>
            </w:pPr>
            <w:r>
              <w:rPr>
                <w:rFonts w:cs="Noto Sans Arabic" w:ascii="GHEA Grapalat" w:hAnsi="GHEA Grapalat"/>
                <w:b/>
                <w:bCs/>
                <w:color w:val="000000"/>
                <w:kern w:val="0"/>
                <w:lang w:val="en-US" w:eastAsia="en-US" w:bidi="ar-SA"/>
              </w:rPr>
              <w:t xml:space="preserve">Ընդունվել է ի գիտություն։ </w:t>
            </w:r>
          </w:p>
          <w:p>
            <w:pPr>
              <w:pStyle w:val="NormalWeb"/>
              <w:widowControl/>
              <w:suppressAutoHyphens w:val="true"/>
              <w:overflowPunct w:val="false"/>
              <w:bidi w:val="0"/>
              <w:spacing w:lineRule="auto" w:line="276" w:beforeAutospacing="0" w:before="0" w:afterAutospacing="0" w:after="0"/>
              <w:ind w:firstLine="360"/>
              <w:jc w:val="both"/>
              <w:rPr/>
            </w:pPr>
            <w:r>
              <w:rPr>
                <w:rFonts w:cs="Noto Sans Arabic" w:ascii="GHEA Grapalat" w:hAnsi="GHEA Grapalat"/>
                <w:bCs/>
                <w:color w:val="000000"/>
                <w:kern w:val="0"/>
                <w:lang w:val="en-US" w:eastAsia="en-US" w:bidi="ar-SA"/>
              </w:rPr>
              <w:t xml:space="preserve">Նախագծով առաջարկվում է օրենքի 20֊րդ հոդվածի 1֊ին մասում նշված ֆիզիկական անձանց (ՀՀ քաղաքացիներին, օտարերկրյա քաղաքացիներին և քաղաքացիություն չունեցող անձանց) տրամադրել պետական գաղտնիք պարունակող տեղեկություններին առնչվելու թույլտվություն, իսկ իրավաբանական անձանց գաղտնի տեղեկությունների կիրառմամբ աշխատանքներ կատարելու իրավունք։ Իսկ ինչ վերաբերում է համագործակցության վերաբերյալ համապատասխան կարգավորումներին, ապա պետք է նկատի ունենալ, որ </w:t>
            </w:r>
            <w:r>
              <w:rPr>
                <w:rFonts w:cs="Noto Sans Arabic" w:ascii="GHEA Grapalat" w:hAnsi="GHEA Grapalat"/>
                <w:b w:val="false"/>
                <w:bCs w:val="false"/>
                <w:color w:val="000000"/>
                <w:kern w:val="0"/>
                <w:lang w:val="en-US" w:eastAsia="en-US" w:bidi="ar-SA"/>
              </w:rPr>
              <w:t>«</w:t>
            </w:r>
            <w:r>
              <w:rPr>
                <w:rStyle w:val="Strong"/>
                <w:rFonts w:cs="Noto Sans Arabic" w:ascii="GHEA Grapalat" w:hAnsi="GHEA Grapalat"/>
                <w:b w:val="false"/>
                <w:bCs w:val="false"/>
                <w:color w:val="000000"/>
                <w:kern w:val="0"/>
                <w:lang w:val="en-US" w:eastAsia="en-US" w:bidi="ar-SA"/>
              </w:rPr>
              <w:t>Արտաքին հետախուզական գործունեության և արտաքին</w:t>
            </w:r>
            <w:r>
              <w:rPr>
                <w:rStyle w:val="Strong"/>
                <w:rFonts w:cs="Noto Sans Arabic" w:ascii="GHEA Grapalat" w:hAnsi="GHEA Grapalat"/>
                <w:bCs/>
                <w:color w:val="000000"/>
                <w:kern w:val="0"/>
                <w:lang w:val="en-US" w:eastAsia="en-US" w:bidi="ar-SA"/>
              </w:rPr>
              <w:t xml:space="preserve"> </w:t>
            </w:r>
            <w:r>
              <w:rPr>
                <w:rStyle w:val="Strong"/>
                <w:rFonts w:cs="Noto Sans Arabic" w:ascii="GHEA Grapalat" w:hAnsi="GHEA Grapalat"/>
                <w:b w:val="false"/>
                <w:bCs w:val="false"/>
                <w:color w:val="000000"/>
                <w:kern w:val="0"/>
                <w:lang w:val="en-US" w:eastAsia="en-US" w:bidi="ar-SA"/>
              </w:rPr>
              <w:t>հետախուզության ծառայության մասին</w:t>
            </w:r>
            <w:r>
              <w:rPr>
                <w:rFonts w:cs="Noto Sans Arabic" w:ascii="GHEA Grapalat" w:hAnsi="GHEA Grapalat"/>
                <w:b w:val="false"/>
                <w:bCs w:val="false"/>
                <w:color w:val="000000"/>
                <w:kern w:val="0"/>
                <w:lang w:val="en-US" w:eastAsia="en-US" w:bidi="ar-SA"/>
              </w:rPr>
              <w:t xml:space="preserve">» </w:t>
            </w:r>
            <w:r>
              <w:rPr>
                <w:rFonts w:cs="Noto Sans Arabic" w:ascii="GHEA Grapalat" w:hAnsi="GHEA Grapalat"/>
                <w:bCs/>
                <w:color w:val="000000"/>
                <w:kern w:val="0"/>
                <w:lang w:val="en-US" w:eastAsia="en-US" w:bidi="ar-SA"/>
              </w:rPr>
              <w:t xml:space="preserve">օրենքի 8 և 10֊րդ հոդվածներով նկարագրված  համագործակցային իրավահարաբերությունների բնույթը տարբեր է, միաժամանակ՝ 10֊րդ հոդվածում նկարագրվում են համապատասխան համագործակցության ձևերը, կարգը, այն սուբյեկտները, ովքեր չեն կարող համագործակցության կողմ լինել և այլն։ Սույն օրենքի նախագիծը կապված է </w:t>
            </w:r>
            <w:r>
              <w:rPr>
                <w:rFonts w:cs="Noto Sans Arabic" w:ascii="GHEA Grapalat" w:hAnsi="GHEA Grapalat"/>
                <w:b w:val="false"/>
                <w:bCs w:val="false"/>
                <w:color w:val="000000"/>
                <w:kern w:val="0"/>
                <w:lang w:val="en-US" w:eastAsia="en-US" w:bidi="ar-SA"/>
              </w:rPr>
              <w:t>«</w:t>
            </w:r>
            <w:r>
              <w:rPr>
                <w:rStyle w:val="Strong"/>
                <w:rFonts w:cs="Noto Sans Arabic" w:ascii="GHEA Grapalat" w:hAnsi="GHEA Grapalat"/>
                <w:b w:val="false"/>
                <w:bCs w:val="false"/>
                <w:color w:val="000000"/>
                <w:kern w:val="0"/>
                <w:lang w:val="en-US" w:eastAsia="en-US" w:bidi="ar-SA"/>
              </w:rPr>
              <w:t>Արտաքին հետախուզական գործունեության և արտաքին հետախուզության ծառայության մասին</w:t>
            </w:r>
            <w:r>
              <w:rPr>
                <w:rFonts w:cs="Noto Sans Arabic" w:ascii="GHEA Grapalat" w:hAnsi="GHEA Grapalat"/>
                <w:b w:val="false"/>
                <w:bCs w:val="false"/>
                <w:color w:val="000000"/>
                <w:kern w:val="0"/>
                <w:lang w:val="en-US" w:eastAsia="en-US" w:bidi="ar-SA"/>
              </w:rPr>
              <w:t xml:space="preserve">» </w:t>
            </w:r>
            <w:r>
              <w:rPr>
                <w:rFonts w:cs="Noto Sans Arabic" w:ascii="GHEA Grapalat" w:hAnsi="GHEA Grapalat"/>
                <w:bCs/>
                <w:color w:val="000000"/>
                <w:kern w:val="0"/>
                <w:lang w:val="en-US" w:eastAsia="en-US" w:bidi="ar-SA"/>
              </w:rPr>
              <w:t>օրենքի 10֊րդ հոդվածում նշված համագործակցության հետ և վերաբերելու է միայն սույն հոդվածի և դրա հիման վրա ընդունված Վարչապետի համապատասխան որոշման շրջանակներում կարգավորվող համագործակցային իրավահարաբերությունների մասնակիցներին։</w:t>
            </w:r>
          </w:p>
        </w:tc>
      </w:tr>
      <w:tr>
        <w:trPr>
          <w:trHeight w:val="585" w:hRule="atLeast"/>
        </w:trPr>
        <w:tc>
          <w:tcPr>
            <w:tcW w:w="8913" w:type="dxa"/>
            <w:tcBorders>
              <w:start w:val="single" w:sz="4" w:space="0" w:color="000000"/>
              <w:bottom w:val="single" w:sz="4" w:space="0" w:color="000000"/>
            </w:tcBorders>
          </w:tcPr>
          <w:p>
            <w:pPr>
              <w:pStyle w:val="Normal"/>
              <w:spacing w:lineRule="auto" w:line="276" w:before="0" w:after="0"/>
              <w:ind w:firstLine="360"/>
              <w:jc w:val="both"/>
              <w:rPr>
                <w:rFonts w:ascii="GHEA Grapalat" w:hAnsi="GHEA Grapalat"/>
              </w:rPr>
            </w:pPr>
            <w:r>
              <w:rPr>
                <w:rFonts w:eastAsia="Times New Roman" w:ascii="GHEA Grapalat" w:hAnsi="GHEA Grapalat"/>
                <w:bCs/>
                <w:color w:val="000000"/>
                <w:sz w:val="24"/>
                <w:szCs w:val="24"/>
              </w:rPr>
              <w:t xml:space="preserve">Միաժամանակ հարկ է նկատի ունենալ, որ Օրենքի 20-րդ հոդվածի վերնագիրն է՝ Պետական գաղտնիք պարունակող տեղեկություններին առնչվելու թույլտվություն ունենալը, սակայն նախատեսված կարգավորումը վերաբերում է նաև իրավաբանական անձանց գաղտնի տեղեկությունների կիրառմամբ աշխատանքներ կատարելու իրավունք տրամադրելուն, մինչդեռ՝ «Նորմատիվ իրավական ակտերի մասին» օրենքի 14-րդ ոդվածի 8-րդ մասի համաձայն՝ (…): </w:t>
            </w:r>
            <w:r>
              <w:rPr>
                <w:rFonts w:eastAsia="Times New Roman" w:ascii="GHEA Grapalat" w:hAnsi="GHEA Grapalat"/>
                <w:b/>
                <w:bCs/>
                <w:color w:val="000000"/>
                <w:sz w:val="24"/>
                <w:szCs w:val="24"/>
              </w:rPr>
              <w:t>Հոդվածների վերնագրերը համապատասխանում են հոդվածների բովանդակությանը:</w:t>
            </w:r>
            <w:r>
              <w:rPr>
                <w:rFonts w:eastAsia="Times New Roman" w:ascii="GHEA Grapalat" w:hAnsi="GHEA Grapalat"/>
                <w:bCs/>
                <w:color w:val="000000"/>
                <w:sz w:val="24"/>
                <w:szCs w:val="24"/>
              </w:rPr>
              <w:t xml:space="preserve"> (…): Նշվածը հիմք ընդունելով՝ անհրաժեշտ է գաղտնի տեղեկությունների կիրառմամբ աշխատանքներ կատարելու իրավունք տրամադրելուն վերաբերող կարգավորումը վերանայել: </w:t>
            </w:r>
          </w:p>
        </w:tc>
        <w:tc>
          <w:tcPr>
            <w:tcW w:w="5761" w:type="dxa"/>
            <w:tcBorders>
              <w:start w:val="single" w:sz="4" w:space="0" w:color="000000"/>
              <w:bottom w:val="single" w:sz="4" w:space="0" w:color="000000"/>
              <w:end w:val="single" w:sz="4" w:space="0" w:color="000000"/>
            </w:tcBorders>
          </w:tcPr>
          <w:p>
            <w:pPr>
              <w:pStyle w:val="Normal"/>
              <w:spacing w:lineRule="auto" w:line="276" w:before="0" w:after="0"/>
              <w:ind w:hanging="0"/>
              <w:jc w:val="center"/>
              <w:rPr>
                <w:sz w:val="24"/>
                <w:szCs w:val="24"/>
              </w:rPr>
            </w:pPr>
            <w:r>
              <w:rPr>
                <w:rFonts w:eastAsia="Times New Roman" w:cs="Calibri" w:ascii="GHEA Grapalat" w:hAnsi="GHEA Grapalat"/>
                <w:b w:val="false"/>
                <w:bCs w:val="false"/>
                <w:i w:val="false"/>
                <w:caps w:val="false"/>
                <w:smallCaps w:val="false"/>
                <w:color w:val="000000"/>
                <w:spacing w:val="0"/>
                <w:sz w:val="24"/>
                <w:szCs w:val="24"/>
                <w:shd w:fill="auto" w:val="clear"/>
                <w:lang w:val="hy-AM"/>
              </w:rPr>
              <w:t xml:space="preserve">       </w:t>
            </w:r>
            <w:r>
              <w:rPr>
                <w:rFonts w:eastAsia="Times New Roman" w:cs="Calibri" w:ascii="GHEA Grapalat" w:hAnsi="GHEA Grapalat"/>
                <w:b/>
                <w:bCs/>
                <w:i w:val="false"/>
                <w:caps w:val="false"/>
                <w:smallCaps w:val="false"/>
                <w:color w:val="000000"/>
                <w:spacing w:val="0"/>
                <w:sz w:val="24"/>
                <w:szCs w:val="24"/>
                <w:shd w:fill="auto" w:val="clear"/>
                <w:lang w:val="hy-AM"/>
              </w:rPr>
              <w:t>Ընդունվել է ի գիտություն</w:t>
            </w:r>
          </w:p>
          <w:p>
            <w:pPr>
              <w:pStyle w:val="Normal"/>
              <w:spacing w:lineRule="auto" w:line="276" w:before="0" w:after="0"/>
              <w:ind w:hanging="0"/>
              <w:jc w:val="both"/>
              <w:rPr>
                <w:sz w:val="24"/>
                <w:szCs w:val="24"/>
              </w:rPr>
            </w:pPr>
            <w:r>
              <w:rPr>
                <w:rFonts w:eastAsia="Times New Roman" w:cs="Calibri" w:ascii="GHEA Grapalat" w:hAnsi="GHEA Grapalat"/>
                <w:b w:val="false"/>
                <w:bCs w:val="false"/>
                <w:i w:val="false"/>
                <w:caps w:val="false"/>
                <w:smallCaps w:val="false"/>
                <w:color w:val="000000"/>
                <w:spacing w:val="0"/>
                <w:sz w:val="24"/>
                <w:szCs w:val="24"/>
                <w:shd w:fill="auto" w:val="clear"/>
                <w:lang w:val="hy-AM"/>
              </w:rPr>
              <w:t xml:space="preserve"> </w:t>
            </w:r>
            <w:r>
              <w:rPr>
                <w:rFonts w:eastAsia="Times New Roman" w:cs="Calibri" w:ascii="GHEA Grapalat" w:hAnsi="GHEA Grapalat"/>
                <w:b w:val="false"/>
                <w:bCs w:val="false"/>
                <w:i w:val="false"/>
                <w:caps w:val="false"/>
                <w:smallCaps w:val="false"/>
                <w:color w:val="000000"/>
                <w:spacing w:val="0"/>
                <w:sz w:val="24"/>
                <w:szCs w:val="24"/>
                <w:shd w:fill="auto" w:val="clear"/>
                <w:lang w:val="hy-AM"/>
              </w:rPr>
              <w:t>Նախագծով նշված կարգավորումը վերանայման կարիք չունի, հաշվի առնելով, որ  իրավաբանական անձանց տրվելու է գաղտնի տեղեկությունների կիրառմամբ աշխատանքներ կատարելու թույլտվություն ենթադրող իրավունք, ինչն ըստ էության վերնագրի համատեքստում կիրառելի կարգավորում է։</w:t>
            </w:r>
          </w:p>
        </w:tc>
      </w:tr>
      <w:tr>
        <w:trPr>
          <w:trHeight w:val="585" w:hRule="atLeast"/>
        </w:trPr>
        <w:tc>
          <w:tcPr>
            <w:tcW w:w="8913" w:type="dxa"/>
            <w:tcBorders>
              <w:start w:val="single" w:sz="4" w:space="0" w:color="000000"/>
              <w:bottom w:val="single" w:sz="4" w:space="0" w:color="000000"/>
            </w:tcBorders>
          </w:tcPr>
          <w:p>
            <w:pPr>
              <w:pStyle w:val="Normal"/>
              <w:spacing w:lineRule="auto" w:line="276" w:before="0" w:after="0"/>
              <w:ind w:firstLine="360"/>
              <w:jc w:val="both"/>
              <w:rPr>
                <w:rFonts w:ascii="GHEA Grapalat" w:hAnsi="GHEA Grapalat"/>
              </w:rPr>
            </w:pPr>
            <w:r>
              <w:rPr>
                <w:rFonts w:eastAsia="Times New Roman" w:ascii="GHEA Grapalat" w:hAnsi="GHEA Grapalat"/>
                <w:bCs/>
                <w:color w:val="000000"/>
                <w:sz w:val="24"/>
                <w:szCs w:val="24"/>
              </w:rPr>
              <w:t xml:space="preserve">Բացի այդ, վերանայման կարիք ունի «սույն մասով սահմանված կարգով ստուգողական միջոցառումները» ձևակերպումը, քանի որ նշված մասով ստուգողական միջոցառումներ իրականացնելու կարգ սահմանված չէ: </w:t>
            </w:r>
          </w:p>
        </w:tc>
        <w:tc>
          <w:tcPr>
            <w:tcW w:w="5761" w:type="dxa"/>
            <w:tcBorders>
              <w:start w:val="single" w:sz="4" w:space="0" w:color="000000"/>
              <w:bottom w:val="single" w:sz="4" w:space="0" w:color="000000"/>
              <w:end w:val="single" w:sz="4" w:space="0" w:color="000000"/>
            </w:tcBorders>
          </w:tcPr>
          <w:p>
            <w:pPr>
              <w:pStyle w:val="Normal"/>
              <w:spacing w:lineRule="auto" w:line="276" w:before="0" w:after="0"/>
              <w:ind w:hanging="0"/>
              <w:jc w:val="both"/>
              <w:rPr>
                <w:sz w:val="24"/>
                <w:szCs w:val="24"/>
              </w:rPr>
            </w:pPr>
            <w:r>
              <w:rPr>
                <w:rFonts w:eastAsia="Times New Roman" w:cs="Calibri" w:ascii="GHEA Grapalat" w:hAnsi="GHEA Grapalat"/>
                <w:b w:val="false"/>
                <w:bCs w:val="false"/>
                <w:i w:val="false"/>
                <w:caps w:val="false"/>
                <w:smallCaps w:val="false"/>
                <w:color w:val="000000"/>
                <w:spacing w:val="0"/>
                <w:sz w:val="24"/>
                <w:szCs w:val="24"/>
                <w:shd w:fill="auto" w:val="clear"/>
                <w:lang w:val="hy-AM"/>
              </w:rPr>
              <w:t xml:space="preserve"> </w:t>
            </w:r>
            <w:r>
              <w:rPr>
                <w:rFonts w:eastAsia="Times New Roman" w:cs="Calibri" w:ascii="GHEA Grapalat" w:hAnsi="GHEA Grapalat"/>
                <w:b/>
                <w:bCs/>
                <w:i w:val="false"/>
                <w:caps w:val="false"/>
                <w:smallCaps w:val="false"/>
                <w:color w:val="000000"/>
                <w:spacing w:val="0"/>
                <w:sz w:val="24"/>
                <w:szCs w:val="24"/>
                <w:shd w:fill="auto" w:val="clear"/>
                <w:lang w:val="hy-AM"/>
              </w:rPr>
              <w:t xml:space="preserve"> </w:t>
            </w:r>
            <w:r>
              <w:rPr>
                <w:rFonts w:eastAsia="Times New Roman" w:cs="Calibri" w:ascii="GHEA Grapalat" w:hAnsi="GHEA Grapalat"/>
                <w:b/>
                <w:bCs/>
                <w:i w:val="false"/>
                <w:caps w:val="false"/>
                <w:smallCaps w:val="false"/>
                <w:color w:val="000000"/>
                <w:spacing w:val="0"/>
                <w:sz w:val="24"/>
                <w:szCs w:val="24"/>
                <w:shd w:fill="auto" w:val="clear"/>
                <w:lang w:val="hy-AM"/>
              </w:rPr>
              <w:t>Ընդունվել է, նախագծում կատարվել է համապատասխան փոփոխություն</w:t>
            </w:r>
          </w:p>
        </w:tc>
      </w:tr>
      <w:tr>
        <w:trPr>
          <w:trHeight w:val="585" w:hRule="atLeast"/>
        </w:trPr>
        <w:tc>
          <w:tcPr>
            <w:tcW w:w="8913" w:type="dxa"/>
            <w:tcBorders>
              <w:start w:val="single" w:sz="4" w:space="0" w:color="000000"/>
              <w:bottom w:val="single" w:sz="4" w:space="0" w:color="000000"/>
            </w:tcBorders>
          </w:tcPr>
          <w:p>
            <w:pPr>
              <w:pStyle w:val="NormalWeb"/>
              <w:spacing w:lineRule="auto" w:line="276" w:beforeAutospacing="0" w:before="0" w:afterAutospacing="0" w:after="0"/>
              <w:ind w:firstLine="360"/>
              <w:jc w:val="both"/>
              <w:rPr>
                <w:sz w:val="24"/>
                <w:szCs w:val="24"/>
              </w:rPr>
            </w:pPr>
            <w:r>
              <w:rPr>
                <w:rFonts w:cs="Arial Unicode" w:ascii="GHEA Grapalat" w:hAnsi="GHEA Grapalat"/>
                <w:sz w:val="24"/>
                <w:szCs w:val="24"/>
                <w:shd w:fill="FFFFFF" w:val="clear"/>
              </w:rPr>
              <w:t xml:space="preserve">Հարկ է նկատի ունենալ, որ նախատեսված կարգավորման արդյունքում Արտաքին </w:t>
            </w:r>
            <w:r>
              <w:rPr>
                <w:rFonts w:ascii="GHEA Grapalat" w:hAnsi="GHEA Grapalat"/>
                <w:sz w:val="24"/>
                <w:szCs w:val="24"/>
              </w:rPr>
              <w:t xml:space="preserve">հետախուզության ծառայության կողմից ստացված պետական գաղտնիք պարունակող տեղեկություններին առնչվելու թույլտվությունը կամ գաղտնի տեղեկությունների կիրառմամբ աշխատանքներ կատարելու թույլտվությունը կիրառելի է լինելու միայն Արտաքին հետախուզության ծառայությունում աշխատանքի կամ վերջինիս հետ համագործակցության շրջանակում պետական գաղտնիք պարունակող տեղեկություններին առնչվելու համար, ինչից բխում է, որ վերջիններիս համար թույլտվություն ստանալու Օրենքով սահմանված ընդհանուր կարգը չի կիրառվելու: Նախատեսված կարգավորումներն որոշակի չեն, պարզ չէ՝ արդյոք  </w:t>
            </w:r>
            <w:r>
              <w:rPr>
                <w:rFonts w:cs="Arial Unicode" w:ascii="GHEA Grapalat" w:hAnsi="GHEA Grapalat"/>
                <w:sz w:val="24"/>
                <w:szCs w:val="24"/>
                <w:shd w:fill="FFFFFF" w:val="clear"/>
              </w:rPr>
              <w:t xml:space="preserve">Արտաքին </w:t>
            </w:r>
            <w:r>
              <w:rPr>
                <w:rFonts w:ascii="GHEA Grapalat" w:hAnsi="GHEA Grapalat"/>
                <w:sz w:val="24"/>
                <w:szCs w:val="24"/>
              </w:rPr>
              <w:t xml:space="preserve">հետախուզության ծառայության կողմից թույլտվության տրամադրումը ևս իրականացվելու է </w:t>
            </w:r>
            <w:r>
              <w:rPr>
                <w:rFonts w:ascii="GHEA Grapalat" w:hAnsi="GHEA Grapalat"/>
                <w:sz w:val="24"/>
                <w:szCs w:val="24"/>
                <w:shd w:fill="FFFFFF" w:val="clear"/>
              </w:rPr>
              <w:t xml:space="preserve">պարտավորագիր կնքելու միջոցով, թե ոչ, </w:t>
            </w:r>
            <w:r>
              <w:rPr>
                <w:rFonts w:ascii="GHEA Grapalat" w:hAnsi="GHEA Grapalat"/>
                <w:sz w:val="24"/>
                <w:szCs w:val="24"/>
              </w:rPr>
              <w:t xml:space="preserve">ինչ կարգով է իրականացվելու թույլտվության տրամադրումը, ուստի գտնում ենք, որ այդ մասով ևս կարգավորումներն ունեն խմբագրման կարիք: Հարկ է նկատի ունենալ, որ Օրենքի 23-րդ հոդվածի համաձայն՝ </w:t>
            </w:r>
            <w:r>
              <w:rPr>
                <w:rFonts w:ascii="GHEA Grapalat" w:hAnsi="GHEA Grapalat"/>
                <w:sz w:val="24"/>
                <w:szCs w:val="24"/>
                <w:shd w:fill="FFFFFF" w:val="clear"/>
              </w:rPr>
              <w:t xml:space="preserve">պետական գաղտնիք պարունակող տեղեկություններին կարող են ծանոթանալ միայն պետական գաղտնիքին առնչվելու </w:t>
            </w:r>
            <w:r>
              <w:rPr>
                <w:rFonts w:ascii="GHEA Grapalat" w:hAnsi="GHEA Grapalat"/>
                <w:b/>
                <w:sz w:val="24"/>
                <w:szCs w:val="24"/>
                <w:shd w:fill="FFFFFF" w:val="clear"/>
              </w:rPr>
              <w:t>համապատասխան ձևի թույլտվություն ունեցող անձինք</w:t>
            </w:r>
            <w:r>
              <w:rPr>
                <w:rFonts w:ascii="GHEA Grapalat" w:hAnsi="GHEA Grapalat"/>
                <w:sz w:val="24"/>
                <w:szCs w:val="24"/>
                <w:shd w:fill="FFFFFF" w:val="clear"/>
              </w:rPr>
              <w:t xml:space="preserve">` պետական գաղտնիք պարունակող տեղեկությունները տնօրինելու լիազորությամբ օժտված պետական և տեղական ինքնակառավարման մարմնի ղեկավարի կամ նրա լիազորած համապատասխան պաշտոնատար անձի թույլտվությամբ: Սույն դեպքում հստակեցման կարիք ունի նաև՝ </w:t>
            </w:r>
            <w:r>
              <w:rPr>
                <w:rFonts w:ascii="GHEA Grapalat" w:hAnsi="GHEA Grapalat"/>
                <w:sz w:val="24"/>
                <w:szCs w:val="24"/>
              </w:rPr>
              <w:t>Արտաքին հետախուզության ծառայության</w:t>
            </w:r>
            <w:r>
              <w:rPr>
                <w:rFonts w:ascii="GHEA Grapalat" w:hAnsi="GHEA Grapalat"/>
                <w:sz w:val="24"/>
                <w:szCs w:val="24"/>
                <w:shd w:fill="FFFFFF" w:val="clear"/>
              </w:rPr>
              <w:t xml:space="preserve"> կողմից տրամադրվող թույլտվությունը ևս տրամադրվելու է համապատասխան ձևով, թե այլ ձևաչափով է տրամադրվելու:</w:t>
            </w:r>
          </w:p>
        </w:tc>
        <w:tc>
          <w:tcPr>
            <w:tcW w:w="5761" w:type="dxa"/>
            <w:tcBorders>
              <w:start w:val="single" w:sz="4" w:space="0" w:color="000000"/>
              <w:bottom w:val="single" w:sz="4" w:space="0" w:color="000000"/>
              <w:end w:val="single" w:sz="4" w:space="0" w:color="000000"/>
            </w:tcBorders>
          </w:tcPr>
          <w:p>
            <w:pPr>
              <w:pStyle w:val="NormalWeb"/>
              <w:widowControl/>
              <w:suppressAutoHyphens w:val="true"/>
              <w:bidi w:val="0"/>
              <w:spacing w:lineRule="auto" w:line="276" w:beforeAutospacing="0" w:before="0" w:afterAutospacing="0" w:after="0"/>
              <w:ind w:firstLine="360"/>
              <w:jc w:val="center"/>
              <w:rPr>
                <w:sz w:val="24"/>
                <w:szCs w:val="24"/>
              </w:rPr>
            </w:pPr>
            <w:r>
              <w:rPr>
                <w:rFonts w:cs="Noto Sans Arabic" w:ascii="GHEA Grapalat" w:hAnsi="GHEA Grapalat"/>
                <w:b/>
                <w:bCs/>
                <w:color w:val="auto"/>
                <w:kern w:val="0"/>
                <w:sz w:val="24"/>
                <w:szCs w:val="24"/>
                <w:lang w:val="en-US" w:eastAsia="en-US" w:bidi="ar-SA"/>
              </w:rPr>
              <w:t>Ընդունվել է ի գիտություն։</w:t>
            </w:r>
          </w:p>
          <w:p>
            <w:pPr>
              <w:pStyle w:val="NormalWeb"/>
              <w:widowControl/>
              <w:suppressAutoHyphens w:val="true"/>
              <w:bidi w:val="0"/>
              <w:spacing w:lineRule="auto" w:line="276" w:beforeAutospacing="0" w:before="0" w:afterAutospacing="0" w:after="0"/>
              <w:ind w:firstLine="360"/>
              <w:jc w:val="both"/>
              <w:rPr>
                <w:sz w:val="24"/>
                <w:szCs w:val="24"/>
              </w:rPr>
            </w:pPr>
            <w:r>
              <w:rPr>
                <w:rFonts w:cs="Noto Sans Arabic" w:ascii="GHEA Grapalat" w:hAnsi="GHEA Grapalat"/>
                <w:color w:val="auto"/>
                <w:kern w:val="0"/>
                <w:sz w:val="24"/>
                <w:szCs w:val="24"/>
                <w:lang w:val="en-US" w:eastAsia="en-US" w:bidi="ar-SA"/>
              </w:rPr>
              <w:t>Նախագծի ընդունման արդյունքում համագործակցող անձանց համապատասխան թույլտվությունը տրամադրվելու է «Պետական գաղտնիքի մասին» օրենքի և դրա հիման վրա ընդունված ենթաօրենսդրական ակտերով սահմանված ընդհանուր կարգավորումների կիրառմամբ, այդ թվում՝ կիրառելով թույլտվության գործող ձևը։ Նախագծի ընդունման արդյունքում միակ առանձնահատոկությունը լինելու է այն, որ համապատասխան ձևի թույլտվությունը տրամադրելու է ոչ թե լիազոր մարմինը, այլ՝ Արտաքին հետախուզության ծառայությունը։</w:t>
            </w:r>
          </w:p>
        </w:tc>
      </w:tr>
      <w:tr>
        <w:trPr>
          <w:trHeight w:val="585" w:hRule="atLeast"/>
        </w:trPr>
        <w:tc>
          <w:tcPr>
            <w:tcW w:w="8913" w:type="dxa"/>
            <w:tcBorders>
              <w:start w:val="single" w:sz="4" w:space="0" w:color="000000"/>
              <w:bottom w:val="single" w:sz="4" w:space="0" w:color="000000"/>
            </w:tcBorders>
          </w:tcPr>
          <w:p>
            <w:pPr>
              <w:pStyle w:val="NormalWeb"/>
              <w:widowControl/>
              <w:suppressAutoHyphens w:val="true"/>
              <w:bidi w:val="0"/>
              <w:spacing w:lineRule="auto" w:line="276" w:beforeAutospacing="0" w:before="0" w:afterAutospacing="0" w:after="0"/>
              <w:ind w:firstLine="360"/>
              <w:jc w:val="both"/>
              <w:rPr>
                <w:sz w:val="24"/>
                <w:szCs w:val="24"/>
              </w:rPr>
            </w:pPr>
            <w:r>
              <w:rPr>
                <w:rFonts w:cs="Noto Sans Arabic" w:ascii="GHEA Grapalat" w:hAnsi="GHEA Grapalat"/>
                <w:color w:val="auto"/>
                <w:kern w:val="0"/>
                <w:sz w:val="24"/>
                <w:szCs w:val="24"/>
                <w:lang w:val="en-US" w:eastAsia="en-US" w:bidi="ar-SA"/>
              </w:rPr>
              <w:t xml:space="preserve">Միաժամանակ հարկ ենք համարում հայտնել, որ նախատեսված կարգավորմամբ սահմանվել է լիազորող նորմ՝ Վարչապետի կողմից Արտաքին հետախուզության ծառայության և լիազոր մարմնի համագործակցության կարգն ու պայմանները սահմանելու վերաբերյալ, որը վերաբերում է </w:t>
            </w:r>
            <w:r>
              <w:rPr>
                <w:rFonts w:cs="Noto Sans Arabic" w:ascii="GHEA Grapalat" w:hAnsi="GHEA Grapalat"/>
                <w:b/>
                <w:bCs/>
                <w:color w:val="auto"/>
                <w:kern w:val="0"/>
                <w:sz w:val="24"/>
                <w:szCs w:val="24"/>
                <w:lang w:val="en-US" w:eastAsia="en-US" w:bidi="ar-SA"/>
              </w:rPr>
              <w:t>միայն ստուգողական միջոցառումների</w:t>
            </w:r>
            <w:r>
              <w:rPr>
                <w:rFonts w:cs="Noto Sans Arabic" w:ascii="GHEA Grapalat" w:hAnsi="GHEA Grapalat"/>
                <w:color w:val="auto"/>
                <w:kern w:val="0"/>
                <w:sz w:val="24"/>
                <w:szCs w:val="24"/>
                <w:lang w:val="en-US" w:eastAsia="en-US" w:bidi="ar-SA"/>
              </w:rPr>
              <w:t xml:space="preserve"> (այդ թվում՝ օրենսդրությամբ սահմանված կարգով ստուգողական միջոցառումների) </w:t>
            </w:r>
            <w:r>
              <w:rPr>
                <w:rFonts w:cs="Noto Sans Arabic" w:ascii="GHEA Grapalat" w:hAnsi="GHEA Grapalat"/>
                <w:b/>
                <w:bCs/>
                <w:color w:val="auto"/>
                <w:kern w:val="0"/>
                <w:sz w:val="24"/>
                <w:szCs w:val="24"/>
                <w:lang w:val="en-US" w:eastAsia="en-US" w:bidi="ar-SA"/>
              </w:rPr>
              <w:t>կատարումը համագործակցությամբ իրականացնելուն:</w:t>
            </w:r>
          </w:p>
        </w:tc>
        <w:tc>
          <w:tcPr>
            <w:tcW w:w="5761" w:type="dxa"/>
            <w:tcBorders>
              <w:start w:val="single" w:sz="4" w:space="0" w:color="000000"/>
              <w:bottom w:val="single" w:sz="4" w:space="0" w:color="000000"/>
              <w:end w:val="single" w:sz="4" w:space="0" w:color="000000"/>
            </w:tcBorders>
          </w:tcPr>
          <w:p>
            <w:pPr>
              <w:pStyle w:val="NormalWeb"/>
              <w:widowControl/>
              <w:suppressAutoHyphens w:val="true"/>
              <w:bidi w:val="0"/>
              <w:spacing w:lineRule="auto" w:line="276" w:beforeAutospacing="0" w:before="0" w:afterAutospacing="0" w:after="0"/>
              <w:ind w:firstLine="360"/>
              <w:jc w:val="both"/>
              <w:rPr>
                <w:sz w:val="24"/>
                <w:szCs w:val="24"/>
              </w:rPr>
            </w:pPr>
            <w:r>
              <w:rPr>
                <w:rFonts w:cs="Noto Sans Arabic" w:ascii="GHEA Grapalat" w:hAnsi="GHEA Grapalat"/>
                <w:b/>
                <w:bCs/>
                <w:color w:val="auto"/>
                <w:kern w:val="0"/>
                <w:sz w:val="24"/>
                <w:szCs w:val="24"/>
                <w:lang w:val="en-US" w:eastAsia="en-US" w:bidi="ar-SA"/>
              </w:rPr>
              <w:t>Ընդունվել է ի գիտություն։</w:t>
            </w:r>
          </w:p>
        </w:tc>
      </w:tr>
      <w:tr>
        <w:trPr>
          <w:trHeight w:val="585" w:hRule="atLeast"/>
        </w:trPr>
        <w:tc>
          <w:tcPr>
            <w:tcW w:w="8913" w:type="dxa"/>
            <w:tcBorders>
              <w:start w:val="single" w:sz="4" w:space="0" w:color="000000"/>
              <w:bottom w:val="single" w:sz="4" w:space="0" w:color="000000"/>
            </w:tcBorders>
          </w:tcPr>
          <w:p>
            <w:pPr>
              <w:pStyle w:val="NormalWeb"/>
              <w:spacing w:lineRule="auto" w:line="276" w:beforeAutospacing="0" w:before="0" w:afterAutospacing="0" w:after="0"/>
              <w:ind w:firstLine="360"/>
              <w:jc w:val="both"/>
              <w:rPr>
                <w:sz w:val="24"/>
                <w:szCs w:val="24"/>
              </w:rPr>
            </w:pPr>
            <w:r>
              <w:rPr>
                <w:rFonts w:ascii="GHEA Grapalat" w:hAnsi="GHEA Grapalat"/>
                <w:bCs/>
                <w:color w:val="000000"/>
                <w:sz w:val="24"/>
                <w:szCs w:val="24"/>
              </w:rPr>
              <w:t xml:space="preserve"> </w:t>
            </w:r>
            <w:r>
              <w:rPr>
                <w:rFonts w:ascii="GHEA Grapalat" w:hAnsi="GHEA Grapalat"/>
                <w:bCs/>
                <w:sz w:val="24"/>
                <w:szCs w:val="24"/>
              </w:rPr>
              <w:t xml:space="preserve">Նախագծի 2-րդ հոդվածով նախատեսված լրացման արդյունքում՝ Արտաքին հետախուզության ծառայության կողմից տրամադրվող թույլտվությունների տրամադրումն իրականացվելու է </w:t>
            </w:r>
            <w:r>
              <w:rPr>
                <w:rFonts w:ascii="GHEA Grapalat" w:hAnsi="GHEA Grapalat"/>
                <w:b/>
                <w:bCs/>
                <w:sz w:val="24"/>
                <w:szCs w:val="24"/>
              </w:rPr>
              <w:t>առանց լիազոր մարմնի համաձայնության</w:t>
            </w:r>
            <w:r>
              <w:rPr>
                <w:rFonts w:ascii="GHEA Grapalat" w:hAnsi="GHEA Grapalat"/>
                <w:bCs/>
                <w:sz w:val="24"/>
                <w:szCs w:val="24"/>
              </w:rPr>
              <w:t>: Իսկ Նախագծի 3-րդ հոդվածով նախատեսված լրացման արդյունքում՝ պ</w:t>
            </w:r>
            <w:r>
              <w:rPr>
                <w:rFonts w:ascii="GHEA Grapalat" w:hAnsi="GHEA Grapalat"/>
                <w:sz w:val="24"/>
                <w:szCs w:val="24"/>
                <w:shd w:fill="FFFFFF" w:val="clear"/>
              </w:rPr>
              <w:t>ետական գաղտնիք պարունակող տեղեկություններին առնչվելու իրավունքի տրամադրումը Հայաստանի Հանրապետության քաղաքացուն, օտարերկրյա քաղաքացուն և քաղաքացիություն չունեցող անձին կարող է մերժվել, եթե`</w:t>
            </w:r>
            <w:r>
              <w:rPr>
                <w:rFonts w:ascii="GHEA Grapalat" w:hAnsi="GHEA Grapalat"/>
                <w:bCs/>
                <w:sz w:val="24"/>
                <w:szCs w:val="24"/>
              </w:rPr>
              <w:t xml:space="preserve"> </w:t>
            </w:r>
            <w:r>
              <w:rPr>
                <w:rFonts w:ascii="GHEA Grapalat" w:hAnsi="GHEA Grapalat"/>
                <w:sz w:val="24"/>
                <w:szCs w:val="24"/>
                <w:shd w:fill="FFFFFF" w:val="clear"/>
              </w:rPr>
              <w:t xml:space="preserve">աշխատել է օտարերկրյա պետությունների հատուկ ծառայություններում, բացառությամբ այն դեպքերի, երբ լիազոր մարմնի գնահատմամբ, </w:t>
            </w:r>
            <w:r>
              <w:rPr>
                <w:rFonts w:ascii="GHEA Grapalat" w:hAnsi="GHEA Grapalat"/>
                <w:b/>
                <w:sz w:val="24"/>
                <w:szCs w:val="24"/>
                <w:shd w:fill="FFFFFF" w:val="clear"/>
              </w:rPr>
              <w:t>իսկ արտաքին հետախուզության ծառայության կողմից տրամադրվող թույլտվության դեպքում՝ արտաքին հետախուզության ծառայության գնահատմամբ</w:t>
            </w:r>
            <w:r>
              <w:rPr>
                <w:rFonts w:ascii="GHEA Grapalat" w:hAnsi="GHEA Grapalat"/>
                <w:sz w:val="24"/>
                <w:szCs w:val="24"/>
                <w:shd w:fill="FFFFFF" w:val="clear"/>
              </w:rPr>
              <w:t xml:space="preserve"> վերջինիս </w:t>
            </w:r>
            <w:r>
              <w:rPr>
                <w:rFonts w:ascii="GHEA Grapalat" w:hAnsi="GHEA Grapalat"/>
                <w:b/>
                <w:sz w:val="24"/>
                <w:szCs w:val="24"/>
                <w:shd w:fill="FFFFFF" w:val="clear"/>
              </w:rPr>
              <w:t>գործունեությունը Հայաստանի Հանրապետության ազգային անվտանգության համար սպառնալիքներ չի պարունակում</w:t>
            </w:r>
            <w:r>
              <w:rPr>
                <w:rFonts w:ascii="GHEA Grapalat" w:hAnsi="GHEA Grapalat"/>
                <w:sz w:val="24"/>
                <w:szCs w:val="24"/>
                <w:shd w:fill="FFFFFF" w:val="clear"/>
              </w:rPr>
              <w:t>: Նշվածից բխում է, որ</w:t>
            </w:r>
            <w:r>
              <w:rPr>
                <w:rFonts w:ascii="GHEA Grapalat" w:hAnsi="GHEA Grapalat"/>
                <w:bCs/>
                <w:sz w:val="24"/>
                <w:szCs w:val="24"/>
              </w:rPr>
              <w:t xml:space="preserve"> Արտաքին հետախուզության ծառայության կողմից տրամադրվող թույլտվությունների տրամադրման դեպքում համաձայնեցում չի իրականացվելու լիազոր մարմնի հետ, ինչպես նաև, նշված</w:t>
            </w:r>
            <w:r>
              <w:rPr>
                <w:rFonts w:ascii="GHEA Grapalat" w:hAnsi="GHEA Grapalat"/>
                <w:sz w:val="24"/>
                <w:szCs w:val="24"/>
                <w:shd w:fill="FFFFFF" w:val="clear"/>
              </w:rPr>
              <w:t xml:space="preserve"> թույլտվությունների դեպքում Հայաստանի Հանրապետության ազգային անվտանգության համար սպառնալիքներ պարունակելու կամ չպարունակելու գնահատումը վերապահվում է միայն Արտաքին հետախուզության ծառայությանը: </w:t>
            </w:r>
          </w:p>
          <w:p>
            <w:pPr>
              <w:pStyle w:val="NormalWeb"/>
              <w:widowControl/>
              <w:suppressAutoHyphens w:val="true"/>
              <w:bidi w:val="0"/>
              <w:spacing w:lineRule="auto" w:line="276" w:beforeAutospacing="0" w:before="0" w:afterAutospacing="0" w:after="0"/>
              <w:ind w:firstLine="360"/>
              <w:jc w:val="both"/>
              <w:rPr/>
            </w:pPr>
            <w:r>
              <w:rPr>
                <w:rFonts w:cs="Noto Sans Arabic" w:ascii="GHEA Grapalat" w:hAnsi="GHEA Grapalat"/>
                <w:color w:val="auto"/>
                <w:kern w:val="0"/>
                <w:sz w:val="24"/>
                <w:szCs w:val="24"/>
                <w:lang w:val="en-US" w:eastAsia="en-US" w:bidi="ar-SA"/>
              </w:rPr>
              <w:t>Վերոգրյալի առնչությամբ հարկ է նկատի ունենալ, որ Օրենքի շրջանակում  </w:t>
            </w:r>
            <w:r>
              <w:rPr>
                <w:rStyle w:val="Strong"/>
                <w:rFonts w:cs="Noto Sans Arabic" w:ascii="GHEA Grapalat" w:hAnsi="GHEA Grapalat"/>
                <w:color w:val="auto"/>
                <w:kern w:val="0"/>
                <w:sz w:val="24"/>
                <w:szCs w:val="24"/>
                <w:lang w:val="en-US" w:eastAsia="en-US" w:bidi="ar-SA"/>
              </w:rPr>
              <w:t>լիազոր մարմինը՝</w:t>
            </w:r>
            <w:r>
              <w:rPr>
                <w:rFonts w:cs="Noto Sans Arabic" w:ascii="GHEA Grapalat" w:hAnsi="GHEA Grapalat"/>
                <w:color w:val="auto"/>
                <w:kern w:val="0"/>
                <w:sz w:val="24"/>
                <w:szCs w:val="24"/>
                <w:lang w:val="en-US" w:eastAsia="en-US" w:bidi="ar-SA"/>
              </w:rPr>
              <w:t xml:space="preserve"> ազգային անվտանգության հարցերով լիազորված պետական մարմինն է, իսկ Օրենքի 3-րդ հոդվածի 1-ին մասի 10-րդ կետի համաձայն՝ </w:t>
            </w:r>
            <w:r>
              <w:rPr>
                <w:rStyle w:val="Strong"/>
                <w:rFonts w:cs="Noto Sans Arabic" w:ascii="GHEA Grapalat" w:hAnsi="GHEA Grapalat"/>
                <w:color w:val="auto"/>
                <w:kern w:val="0"/>
                <w:sz w:val="24"/>
                <w:szCs w:val="24"/>
                <w:lang w:val="en-US" w:eastAsia="en-US" w:bidi="ar-SA"/>
              </w:rPr>
              <w:t xml:space="preserve">պետական գաղտնիքի պաշտպանությունը </w:t>
            </w:r>
            <w:r>
              <w:rPr>
                <w:rFonts w:cs="Noto Sans Arabic" w:ascii="GHEA Grapalat" w:hAnsi="GHEA Grapalat"/>
                <w:color w:val="auto"/>
                <w:kern w:val="0"/>
                <w:sz w:val="24"/>
                <w:szCs w:val="24"/>
                <w:lang w:val="en-US" w:eastAsia="en-US" w:bidi="ar-SA"/>
              </w:rPr>
              <w:t xml:space="preserve"> լիազոր մարմնի համակարգմամբ Հայաստանի Հանրապետության պետական և տեղական ինքնակառավարման մարմինների, կազմակերպությունների, իրավաբանական անձանց ուժերի ու միջոցների կիրառումն է` ուղղված պետական գաղտնիք պարունակող տեղեկությունների, արտադրանքների և նյութերի հրապարակումը և հոսակորուստը կանխելուն: Նշված դրույթներից բխում է, որ պետական գաղտնիքի պաշտպանությունը իրականացվում է լիազոր մարմնի համակարգմամբ: Ուստի նախագծով առաջարկվող կարգավորումների ամբողջական ներդրման համար առաջարկում ենք նախատեսել համապատասխան փոփոխություններ նշված դրույթներում ևս: </w:t>
            </w:r>
          </w:p>
        </w:tc>
        <w:tc>
          <w:tcPr>
            <w:tcW w:w="5761" w:type="dxa"/>
            <w:tcBorders>
              <w:start w:val="single" w:sz="4" w:space="0" w:color="000000"/>
              <w:bottom w:val="single" w:sz="4" w:space="0" w:color="000000"/>
              <w:end w:val="single" w:sz="4" w:space="0" w:color="000000"/>
            </w:tcBorders>
          </w:tcPr>
          <w:p>
            <w:pPr>
              <w:pStyle w:val="NormalWeb"/>
              <w:widowControl/>
              <w:suppressAutoHyphens w:val="true"/>
              <w:bidi w:val="0"/>
              <w:spacing w:lineRule="auto" w:line="276" w:beforeAutospacing="0" w:before="0" w:afterAutospacing="0" w:after="0"/>
              <w:ind w:firstLine="360"/>
              <w:jc w:val="center"/>
              <w:rPr>
                <w:sz w:val="24"/>
                <w:szCs w:val="24"/>
              </w:rPr>
            </w:pPr>
            <w:r>
              <w:rPr>
                <w:rFonts w:cs="Noto Sans Arabic" w:ascii="GHEA Grapalat" w:hAnsi="GHEA Grapalat"/>
                <w:b/>
                <w:bCs/>
                <w:color w:val="000000"/>
                <w:kern w:val="0"/>
                <w:sz w:val="24"/>
                <w:szCs w:val="24"/>
                <w:shd w:fill="FFFFFF" w:val="clear"/>
                <w:lang w:val="en-US" w:eastAsia="en-US" w:bidi="ar-SA"/>
              </w:rPr>
              <w:t xml:space="preserve">Ընդունվել է ի գիտություն։ </w:t>
            </w:r>
          </w:p>
          <w:p>
            <w:pPr>
              <w:pStyle w:val="NormalWeb"/>
              <w:widowControl/>
              <w:suppressAutoHyphens w:val="true"/>
              <w:bidi w:val="0"/>
              <w:spacing w:lineRule="auto" w:line="276" w:beforeAutospacing="0" w:before="0" w:afterAutospacing="0" w:after="0"/>
              <w:ind w:firstLine="360"/>
              <w:jc w:val="both"/>
              <w:rPr>
                <w:sz w:val="24"/>
                <w:szCs w:val="24"/>
              </w:rPr>
            </w:pPr>
            <w:r>
              <w:rPr>
                <w:rFonts w:cs="Noto Sans Arabic" w:ascii="GHEA Grapalat" w:hAnsi="GHEA Grapalat"/>
                <w:color w:val="000000"/>
                <w:kern w:val="0"/>
                <w:sz w:val="24"/>
                <w:szCs w:val="24"/>
                <w:shd w:fill="FFFFFF" w:val="clear"/>
                <w:lang w:val="en-US" w:eastAsia="en-US" w:bidi="ar-SA"/>
              </w:rPr>
              <w:t>Օրենքում այլ փոփոխություններ կատարելու անհրաժեշտություն չկա, քանի որ նախագծի ընդունմամբ Ազգային անվտանգության ծառայության կողմից իրականացվող գործառույթների մասով որևէ փոփոխություն չի իրականացվում, վերջինս շարունակելու է իրականացնել «Պետական գաղտնիքի մասին» օրենքով սահմանված լիազորությունները, իսկ Արտաքին հետախուզության ծառայության կողմից տրվող թույտվությունը և վերջինիս շրջանակում իրականացվող միջոցառումները կիրառելի են միայն Արտաքին հետախուզության ծառայությունում աշխատանքի կամ վերջինիս հետ համագործակցության շրջանակում պետական գաղտնիք պարունակող տեղեկություններին առնչվելու համար։ Միաժամանակ, անհրաժեշտ է նաև նկատի ունենալ, որ նախագծի 1֊ին հոդվածով նախատեսվել է, որ Արտաքին հետախուզության ծառայությունը համապատասխան ստուգողական միջոցառումներն իրականացնում է՝ համագործակցելով լիազոր մարմնի հետ</w:t>
            </w:r>
            <w:r>
              <w:rPr>
                <w:rFonts w:eastAsia="Times New Roman" w:cs="Calibri"/>
                <w:b w:val="false"/>
                <w:bCs w:val="false"/>
                <w:i w:val="false"/>
                <w:caps w:val="false"/>
                <w:smallCaps w:val="false"/>
                <w:color w:val="000000"/>
                <w:spacing w:val="0"/>
                <w:sz w:val="24"/>
                <w:szCs w:val="24"/>
                <w:shd w:fill="auto" w:val="clear"/>
                <w:lang w:val="hy-AM"/>
              </w:rPr>
              <w:t>։</w:t>
            </w:r>
          </w:p>
        </w:tc>
      </w:tr>
      <w:tr>
        <w:trPr>
          <w:trHeight w:val="585" w:hRule="atLeast"/>
        </w:trPr>
        <w:tc>
          <w:tcPr>
            <w:tcW w:w="8913" w:type="dxa"/>
            <w:tcBorders>
              <w:start w:val="single" w:sz="4" w:space="0" w:color="000000"/>
              <w:bottom w:val="single" w:sz="4" w:space="0" w:color="000000"/>
            </w:tcBorders>
          </w:tcPr>
          <w:p>
            <w:pPr>
              <w:pStyle w:val="NormalWeb"/>
              <w:widowControl/>
              <w:suppressAutoHyphens w:val="true"/>
              <w:bidi w:val="0"/>
              <w:spacing w:lineRule="auto" w:line="276" w:beforeAutospacing="0" w:before="0" w:afterAutospacing="0" w:after="0"/>
              <w:ind w:firstLine="360"/>
              <w:jc w:val="both"/>
              <w:rPr>
                <w:sz w:val="24"/>
                <w:szCs w:val="24"/>
              </w:rPr>
            </w:pPr>
            <w:r>
              <w:rPr>
                <w:rFonts w:cs="Noto Sans Arabic" w:ascii="GHEA Grapalat" w:hAnsi="GHEA Grapalat"/>
                <w:color w:val="auto"/>
                <w:kern w:val="0"/>
                <w:sz w:val="24"/>
                <w:szCs w:val="24"/>
                <w:lang w:val="en-US" w:eastAsia="en-US" w:bidi="ar-SA"/>
              </w:rPr>
              <w:t xml:space="preserve">Բացի այդ, հիմք ընդունելով «Նորմատիվ իրավական ակտերի մասին» օրենքի 14-րդ հոդվածի 3-րդ մասը, համաձայն որի՝ օրենսդրական ակտերում հոդվածները բաժանվում են «մասեր» կոչվող </w:t>
            </w:r>
            <w:r>
              <w:rPr>
                <w:rFonts w:cs="Noto Sans Arabic" w:ascii="GHEA Grapalat" w:hAnsi="GHEA Grapalat"/>
                <w:b/>
                <w:bCs/>
                <w:color w:val="auto"/>
                <w:kern w:val="0"/>
                <w:sz w:val="24"/>
                <w:szCs w:val="24"/>
                <w:lang w:val="en-US" w:eastAsia="en-US" w:bidi="ar-SA"/>
              </w:rPr>
              <w:t>միայն համարակալված պարբերությունների:</w:t>
            </w:r>
            <w:r>
              <w:rPr>
                <w:rFonts w:cs="Noto Sans Arabic" w:ascii="GHEA Grapalat" w:hAnsi="GHEA Grapalat"/>
                <w:color w:val="auto"/>
                <w:kern w:val="0"/>
                <w:sz w:val="24"/>
                <w:szCs w:val="24"/>
                <w:lang w:val="en-US" w:eastAsia="en-US" w:bidi="ar-SA"/>
              </w:rPr>
              <w:t xml:space="preserve"> Հոդվածների մասերը կարող են բաժանվել </w:t>
            </w:r>
            <w:r>
              <w:rPr>
                <w:rFonts w:cs="Noto Sans Arabic" w:ascii="GHEA Grapalat" w:hAnsi="GHEA Grapalat"/>
                <w:b/>
                <w:bCs/>
                <w:color w:val="auto"/>
                <w:kern w:val="0"/>
                <w:sz w:val="24"/>
                <w:szCs w:val="24"/>
                <w:lang w:val="en-US" w:eastAsia="en-US" w:bidi="ar-SA"/>
              </w:rPr>
              <w:t>միայն համարակալված</w:t>
            </w:r>
            <w:r>
              <w:rPr>
                <w:rFonts w:cs="Noto Sans Arabic" w:ascii="GHEA Grapalat" w:hAnsi="GHEA Grapalat"/>
                <w:color w:val="auto"/>
                <w:kern w:val="0"/>
                <w:sz w:val="24"/>
                <w:szCs w:val="24"/>
                <w:lang w:val="en-US" w:eastAsia="en-US" w:bidi="ar-SA"/>
              </w:rPr>
              <w:t xml:space="preserve"> կետերի, կետերը` </w:t>
            </w:r>
            <w:r>
              <w:rPr>
                <w:rFonts w:cs="Noto Sans Arabic" w:ascii="GHEA Grapalat" w:hAnsi="GHEA Grapalat"/>
                <w:b/>
                <w:bCs/>
                <w:color w:val="auto"/>
                <w:kern w:val="0"/>
                <w:sz w:val="24"/>
                <w:szCs w:val="24"/>
                <w:lang w:val="en-US" w:eastAsia="en-US" w:bidi="ar-SA"/>
              </w:rPr>
              <w:t>միայն համարակալված</w:t>
            </w:r>
            <w:r>
              <w:rPr>
                <w:rFonts w:cs="Noto Sans Arabic" w:ascii="GHEA Grapalat" w:hAnsi="GHEA Grapalat"/>
                <w:color w:val="auto"/>
                <w:kern w:val="0"/>
                <w:sz w:val="24"/>
                <w:szCs w:val="24"/>
                <w:lang w:val="en-US" w:eastAsia="en-US" w:bidi="ar-SA"/>
              </w:rPr>
              <w:t xml:space="preserve"> ենթակետերի՝ անհրաժեշտ է նոր լրացվող 2.1-ին մասի չհամարակալված պարբերությունները վերանայել:</w:t>
            </w:r>
          </w:p>
        </w:tc>
        <w:tc>
          <w:tcPr>
            <w:tcW w:w="5761" w:type="dxa"/>
            <w:tcBorders>
              <w:start w:val="single" w:sz="4" w:space="0" w:color="000000"/>
              <w:bottom w:val="single" w:sz="4" w:space="0" w:color="000000"/>
              <w:end w:val="single" w:sz="4" w:space="0" w:color="000000"/>
            </w:tcBorders>
          </w:tcPr>
          <w:p>
            <w:pPr>
              <w:pStyle w:val="NormalWeb"/>
              <w:widowControl/>
              <w:suppressAutoHyphens w:val="true"/>
              <w:bidi w:val="0"/>
              <w:spacing w:lineRule="auto" w:line="276" w:beforeAutospacing="0" w:before="0" w:afterAutospacing="0" w:after="0"/>
              <w:ind w:hanging="0"/>
              <w:jc w:val="both"/>
              <w:rPr>
                <w:sz w:val="24"/>
                <w:szCs w:val="24"/>
              </w:rPr>
            </w:pPr>
            <w:r>
              <w:rPr>
                <w:rFonts w:cs="Noto Sans Arabic" w:ascii="GHEA Grapalat" w:hAnsi="GHEA Grapalat"/>
                <w:color w:val="auto"/>
                <w:kern w:val="0"/>
                <w:sz w:val="24"/>
                <w:szCs w:val="24"/>
                <w:lang w:val="en-US" w:eastAsia="en-US" w:bidi="ar-SA"/>
              </w:rPr>
              <w:t xml:space="preserve"> </w:t>
            </w:r>
            <w:r>
              <w:rPr>
                <w:rFonts w:cs="Noto Sans Arabic" w:ascii="GHEA Grapalat" w:hAnsi="GHEA Grapalat"/>
                <w:b/>
                <w:bCs/>
                <w:color w:val="auto"/>
                <w:kern w:val="0"/>
                <w:sz w:val="24"/>
                <w:szCs w:val="24"/>
                <w:lang w:val="en-US" w:eastAsia="en-US" w:bidi="ar-SA"/>
              </w:rPr>
              <w:t>Ընդունվել է, նախագծում կատարվել է համապատասխան փոփոխություն։</w:t>
            </w:r>
          </w:p>
        </w:tc>
      </w:tr>
      <w:tr>
        <w:trPr>
          <w:trHeight w:val="585" w:hRule="atLeast"/>
        </w:trPr>
        <w:tc>
          <w:tcPr>
            <w:tcW w:w="8913" w:type="dxa"/>
            <w:tcBorders>
              <w:start w:val="single" w:sz="4" w:space="0" w:color="000000"/>
              <w:bottom w:val="single" w:sz="4" w:space="0" w:color="000000"/>
            </w:tcBorders>
          </w:tcPr>
          <w:p>
            <w:pPr>
              <w:pStyle w:val="NormalWeb"/>
              <w:widowControl/>
              <w:suppressAutoHyphens w:val="true"/>
              <w:bidi w:val="0"/>
              <w:spacing w:lineRule="auto" w:line="276" w:beforeAutospacing="0" w:before="0" w:afterAutospacing="0" w:after="0"/>
              <w:ind w:firstLine="360"/>
              <w:jc w:val="both"/>
              <w:rPr>
                <w:sz w:val="24"/>
                <w:szCs w:val="24"/>
              </w:rPr>
            </w:pPr>
            <w:r>
              <w:rPr>
                <w:rFonts w:cs="Noto Sans Arabic" w:ascii="GHEA Grapalat" w:hAnsi="GHEA Grapalat"/>
                <w:color w:val="auto"/>
                <w:kern w:val="0"/>
                <w:sz w:val="24"/>
                <w:szCs w:val="24"/>
                <w:lang w:val="en-US" w:eastAsia="en-US" w:bidi="ar-SA"/>
              </w:rPr>
              <w:t xml:space="preserve">3. Նախագծի 4-րդ հոդվածով նախատեսվում է Օրենքի 24-րդ հոդվածի 6-րդ մասը լրացնել նոր նախադասությամբ, համաձայն որի՝ Արտաքին հետախուզության ծառայությունում միջգերատեսչական ստուգումն իրականացվում է Արտաքին հետախուզության ծառայության պետի հետ նախապես համաձայնեցված դեպքերում և ծավալներով: Գտնում ենք, որ կարգավորումն ունի հստակեցման կարիք, քանի որ պարզ չէ, թե ինչ կարգով է իրականացվելու դեպքերի և ծավալների նախապես համաձայնեցումը: Բացի այդ, անհրաժեշտ է վերանայել «միջգերատեսչական ստուգում» ձևակերպումը, քանի որ Օրենքի 24-րդ հոդվածի 2-րդ մասով նախատեսված կարգավորումից (գաղտնիության ռեժիմի ապահովման փաստացի վիճակի ուսումնասիրման ու գնահատման, թերությունների և խախտումների հայտնաբերման, պատճառների ճշտման և դրանց վերացման ու կանխման նպատակով </w:t>
            </w:r>
            <w:r>
              <w:rPr>
                <w:rFonts w:cs="Noto Sans Arabic" w:ascii="GHEA Grapalat" w:hAnsi="GHEA Grapalat"/>
                <w:b/>
                <w:bCs/>
                <w:color w:val="auto"/>
                <w:kern w:val="0"/>
                <w:sz w:val="24"/>
                <w:szCs w:val="24"/>
                <w:lang w:val="en-US" w:eastAsia="en-US" w:bidi="ar-SA"/>
              </w:rPr>
              <w:t>միջգերատեսչական վերահսկողությունը</w:t>
            </w:r>
            <w:r>
              <w:rPr>
                <w:rFonts w:cs="Noto Sans Arabic" w:ascii="GHEA Grapalat" w:hAnsi="GHEA Grapalat"/>
                <w:color w:val="auto"/>
                <w:kern w:val="0"/>
                <w:sz w:val="24"/>
                <w:szCs w:val="24"/>
                <w:lang w:val="en-US" w:eastAsia="en-US" w:bidi="ar-SA"/>
              </w:rPr>
              <w:t xml:space="preserve"> պետական և տեղական ինքնակառավարման մարմիններում, կազմակերպություններում, իրավաբանական անձանց մոտ իրականացնում է </w:t>
            </w:r>
            <w:r>
              <w:rPr>
                <w:rFonts w:cs="Noto Sans Arabic" w:ascii="GHEA Grapalat" w:hAnsi="GHEA Grapalat"/>
                <w:b/>
                <w:bCs/>
                <w:color w:val="auto"/>
                <w:kern w:val="0"/>
                <w:sz w:val="24"/>
                <w:szCs w:val="24"/>
                <w:lang w:val="en-US" w:eastAsia="en-US" w:bidi="ar-SA"/>
              </w:rPr>
              <w:t>լիազոր մարմինը՝ ստուգումների միջոցով)</w:t>
            </w:r>
            <w:r>
              <w:rPr>
                <w:rFonts w:cs="Noto Sans Arabic" w:ascii="GHEA Grapalat" w:hAnsi="GHEA Grapalat"/>
                <w:color w:val="auto"/>
                <w:kern w:val="0"/>
                <w:sz w:val="24"/>
                <w:szCs w:val="24"/>
                <w:lang w:val="en-US" w:eastAsia="en-US" w:bidi="ar-SA"/>
              </w:rPr>
              <w:t xml:space="preserve"> բխում է, որ </w:t>
            </w:r>
            <w:r>
              <w:rPr>
                <w:rFonts w:cs="Noto Sans Arabic" w:ascii="GHEA Grapalat" w:hAnsi="GHEA Grapalat"/>
                <w:b w:val="false"/>
                <w:bCs w:val="false"/>
                <w:i w:val="false"/>
                <w:iCs w:val="false"/>
                <w:color w:val="auto"/>
                <w:kern w:val="0"/>
                <w:sz w:val="24"/>
                <w:szCs w:val="24"/>
                <w:lang w:val="en-US" w:eastAsia="en-US" w:bidi="ar-SA"/>
              </w:rPr>
              <w:t>վերահսկողությունը իրականացվում է ստուգումների միջոցով</w:t>
            </w:r>
            <w:r>
              <w:rPr>
                <w:rFonts w:cs="Noto Sans Arabic" w:ascii="GHEA Grapalat" w:hAnsi="GHEA Grapalat"/>
                <w:b/>
                <w:bCs/>
                <w:color w:val="auto"/>
                <w:kern w:val="0"/>
                <w:sz w:val="24"/>
                <w:szCs w:val="24"/>
                <w:lang w:val="en-US" w:eastAsia="en-US" w:bidi="ar-SA"/>
              </w:rPr>
              <w:t xml:space="preserve">, </w:t>
            </w:r>
            <w:r>
              <w:rPr>
                <w:rFonts w:cs="Noto Sans Arabic" w:ascii="GHEA Grapalat" w:hAnsi="GHEA Grapalat"/>
                <w:color w:val="auto"/>
                <w:kern w:val="0"/>
                <w:sz w:val="24"/>
                <w:szCs w:val="24"/>
                <w:lang w:val="en-US" w:eastAsia="en-US" w:bidi="ar-SA"/>
              </w:rPr>
              <w:t xml:space="preserve">իսկ նույն հոդվածի 1-ին մասի համաձայն՝ գաղտնիության ռեժիմի ապահովման նպատակով </w:t>
            </w:r>
            <w:r>
              <w:rPr>
                <w:rFonts w:cs="Noto Sans Arabic" w:ascii="GHEA Grapalat" w:hAnsi="GHEA Grapalat"/>
                <w:b/>
                <w:bCs/>
                <w:color w:val="auto"/>
                <w:kern w:val="0"/>
                <w:sz w:val="24"/>
                <w:szCs w:val="24"/>
                <w:lang w:val="en-US" w:eastAsia="en-US" w:bidi="ar-SA"/>
              </w:rPr>
              <w:t xml:space="preserve">սահմանվում է միջգերատեսչական և գերատեսչական վերահսկողություն: </w:t>
            </w:r>
          </w:p>
        </w:tc>
        <w:tc>
          <w:tcPr>
            <w:tcW w:w="5761" w:type="dxa"/>
            <w:tcBorders>
              <w:start w:val="single" w:sz="4" w:space="0" w:color="000000"/>
              <w:bottom w:val="single" w:sz="4" w:space="0" w:color="000000"/>
              <w:end w:val="single" w:sz="4" w:space="0" w:color="000000"/>
            </w:tcBorders>
          </w:tcPr>
          <w:p>
            <w:pPr>
              <w:pStyle w:val="NormalWeb"/>
              <w:widowControl/>
              <w:suppressAutoHyphens w:val="true"/>
              <w:bidi w:val="0"/>
              <w:spacing w:lineRule="auto" w:line="276" w:beforeAutospacing="0" w:before="0" w:afterAutospacing="0" w:after="0"/>
              <w:ind w:hanging="0"/>
              <w:jc w:val="center"/>
              <w:rPr>
                <w:sz w:val="24"/>
                <w:szCs w:val="24"/>
              </w:rPr>
            </w:pPr>
            <w:r>
              <w:rPr>
                <w:rFonts w:cs="Noto Sans Arabic" w:ascii="GHEA Grapalat" w:hAnsi="GHEA Grapalat"/>
                <w:b/>
                <w:bCs/>
                <w:color w:val="auto"/>
                <w:kern w:val="0"/>
                <w:sz w:val="24"/>
                <w:szCs w:val="24"/>
                <w:lang w:val="en-US" w:eastAsia="en-US" w:bidi="ar-SA"/>
              </w:rPr>
              <w:t xml:space="preserve"> </w:t>
            </w:r>
            <w:r>
              <w:rPr>
                <w:rFonts w:cs="Noto Sans Arabic" w:ascii="GHEA Grapalat" w:hAnsi="GHEA Grapalat"/>
                <w:b/>
                <w:bCs/>
                <w:color w:val="auto"/>
                <w:kern w:val="0"/>
                <w:sz w:val="24"/>
                <w:szCs w:val="24"/>
                <w:lang w:val="en-US" w:eastAsia="en-US" w:bidi="ar-SA"/>
              </w:rPr>
              <w:t>Ընդունվել է մասամբ։</w:t>
            </w:r>
          </w:p>
          <w:p>
            <w:pPr>
              <w:pStyle w:val="NormalWeb"/>
              <w:widowControl/>
              <w:suppressAutoHyphens w:val="true"/>
              <w:bidi w:val="0"/>
              <w:spacing w:lineRule="auto" w:line="276" w:beforeAutospacing="0" w:before="0" w:afterAutospacing="0" w:after="0"/>
              <w:ind w:hanging="0"/>
              <w:jc w:val="both"/>
              <w:rPr>
                <w:sz w:val="24"/>
                <w:szCs w:val="24"/>
              </w:rPr>
            </w:pPr>
            <w:r>
              <w:rPr>
                <w:rFonts w:cs="Noto Sans Arabic" w:ascii="GHEA Grapalat" w:hAnsi="GHEA Grapalat"/>
                <w:color w:val="auto"/>
                <w:kern w:val="0"/>
                <w:sz w:val="24"/>
                <w:szCs w:val="24"/>
                <w:lang w:val="en-US" w:eastAsia="en-US" w:bidi="ar-SA"/>
              </w:rPr>
              <w:t xml:space="preserve">Արտաքին հետախուզության ծառայությունում միջգերատեսչական ստուգումն իրականացվելու է գրավոր եղանակով՝ ստուգման ծավալը նախապես համաձայնեցնելով Արտաքին հետախուզության ծառայության պետի հետ, բացառությամբ </w:t>
            </w:r>
            <w:r>
              <w:rPr>
                <w:rFonts w:eastAsia="Times New Roman" w:cs="Times New Roman" w:ascii="GHEA Grapalat" w:hAnsi="GHEA Grapalat"/>
                <w:color w:val="000000"/>
                <w:kern w:val="0"/>
                <w:sz w:val="24"/>
                <w:szCs w:val="24"/>
                <w:shd w:fill="auto" w:val="clear"/>
                <w:lang w:val="hy-AM" w:eastAsia="en-US" w:bidi="ar-SA"/>
              </w:rPr>
              <w:t>գաղտնիության ռեժիմի պահպանման տեխնիկական հագեցվածության և կահավորվածության պայմանների ստուգման դեպքերի։</w:t>
            </w:r>
            <w:r>
              <w:rPr>
                <w:rFonts w:cs="Noto Sans Arabic" w:ascii="GHEA Grapalat" w:hAnsi="GHEA Grapalat"/>
                <w:color w:val="auto"/>
                <w:kern w:val="0"/>
                <w:sz w:val="24"/>
                <w:szCs w:val="24"/>
                <w:lang w:val="en-US" w:eastAsia="en-US" w:bidi="ar-SA"/>
              </w:rPr>
              <w:t xml:space="preserve"> Իսկ ընթացակարգային հարցերը կարգավորվելու են ընդհանուր հիմունքներով, այնպես ինչպես մնացյալ պետական մարմինների դեպքում է իրականացվում։</w:t>
            </w:r>
          </w:p>
        </w:tc>
      </w:tr>
      <w:tr>
        <w:trPr>
          <w:trHeight w:val="585" w:hRule="atLeast"/>
        </w:trPr>
        <w:tc>
          <w:tcPr>
            <w:tcW w:w="8913" w:type="dxa"/>
            <w:tcBorders>
              <w:start w:val="single" w:sz="4" w:space="0" w:color="000000"/>
              <w:bottom w:val="single" w:sz="4" w:space="0" w:color="000000"/>
            </w:tcBorders>
          </w:tcPr>
          <w:p>
            <w:pPr>
              <w:pStyle w:val="NormalWeb"/>
              <w:widowControl/>
              <w:suppressAutoHyphens w:val="true"/>
              <w:bidi w:val="0"/>
              <w:spacing w:lineRule="auto" w:line="276" w:beforeAutospacing="0" w:before="0" w:afterAutospacing="0" w:after="0"/>
              <w:ind w:firstLine="360"/>
              <w:jc w:val="both"/>
              <w:rPr>
                <w:sz w:val="24"/>
                <w:szCs w:val="24"/>
              </w:rPr>
            </w:pPr>
            <w:r>
              <w:rPr>
                <w:rFonts w:cs="Noto Sans Arabic" w:ascii="GHEA Grapalat" w:hAnsi="GHEA Grapalat"/>
                <w:color w:val="000000"/>
                <w:kern w:val="0"/>
                <w:sz w:val="24"/>
                <w:szCs w:val="24"/>
                <w:shd w:fill="FFFFFF" w:val="clear"/>
                <w:lang w:val="en-US" w:eastAsia="en-US" w:bidi="ar-SA"/>
              </w:rPr>
              <w:t>4. Հարկ են համարում հայտնել, որ Օրենքի 25-րդ հոդվածի համաձայն՝ պետական գաղտնիք պարունակող տեղեկություններին առնչվելու թույլտվություն ունեցող անձանց նկատմամբ սույն օրենքի 21-րդ և 22-րդ հոդվածներով նախատեսված հիմքերի առկայության վերաբերյալ կասկածներ առաջանալու դեպքում լիազոր մարմինը սեփական նախաձեռնությամբ կամ պետական գաղտնիքը տնօրինելու լիազորությամբ օժտված մարմնի ղեկավարի միջնորդությամբ կարող է իրականացնել ստուգողական՝ օրենսդրությամբ սահմանված օպերատիվ-հետախուզական միջոցառումներ, որի արդյունքների մասին տեղեկացվում է պետական գաղտնիքը տնօրինելու լիազորությամբ օժտված մարմնին: Տվյալ դեպքում, պարզ չէ, թե Արտաքին հետախուզության ծառայության կողմից պետական գաղտնիք պարունակող տեղեկություններին առնչվելու թույլտվություն տված անձանց նկատմամբ Օրենքի 21-րդ և 22-րդ հոդվածներով նախատեսված հիմքերի առկայության վերաբերյալ կասկածներ առաջանալու դեպքում ինչ ընթացակարգ է կիրառվելու:</w:t>
            </w:r>
          </w:p>
        </w:tc>
        <w:tc>
          <w:tcPr>
            <w:tcW w:w="5761" w:type="dxa"/>
            <w:tcBorders>
              <w:start w:val="single" w:sz="4" w:space="0" w:color="000000"/>
              <w:bottom w:val="single" w:sz="4" w:space="0" w:color="000000"/>
              <w:end w:val="single" w:sz="4" w:space="0" w:color="000000"/>
            </w:tcBorders>
          </w:tcPr>
          <w:p>
            <w:pPr>
              <w:pStyle w:val="NormalWeb"/>
              <w:widowControl/>
              <w:suppressAutoHyphens w:val="true"/>
              <w:bidi w:val="0"/>
              <w:spacing w:lineRule="auto" w:line="276" w:beforeAutospacing="0" w:before="0" w:afterAutospacing="0" w:after="0"/>
              <w:ind w:firstLine="360"/>
              <w:jc w:val="center"/>
              <w:rPr>
                <w:sz w:val="24"/>
                <w:szCs w:val="24"/>
              </w:rPr>
            </w:pPr>
            <w:r>
              <w:rPr>
                <w:rFonts w:cs="Noto Sans Arabic" w:ascii="GHEA Grapalat" w:hAnsi="GHEA Grapalat"/>
                <w:b/>
                <w:bCs/>
                <w:color w:val="000000"/>
                <w:kern w:val="0"/>
                <w:sz w:val="24"/>
                <w:szCs w:val="24"/>
                <w:shd w:fill="FFFFFF" w:val="clear"/>
                <w:lang w:val="en-US" w:eastAsia="en-US" w:bidi="ar-SA"/>
              </w:rPr>
              <w:t xml:space="preserve">Ընդունվել է ի գիտություն։ </w:t>
            </w:r>
          </w:p>
          <w:p>
            <w:pPr>
              <w:pStyle w:val="NormalWeb"/>
              <w:widowControl/>
              <w:suppressAutoHyphens w:val="true"/>
              <w:bidi w:val="0"/>
              <w:spacing w:lineRule="auto" w:line="276" w:beforeAutospacing="0" w:before="0" w:afterAutospacing="0" w:after="0"/>
              <w:ind w:hanging="0"/>
              <w:jc w:val="both"/>
              <w:rPr>
                <w:sz w:val="24"/>
                <w:szCs w:val="24"/>
              </w:rPr>
            </w:pPr>
            <w:r>
              <w:rPr>
                <w:rFonts w:cs="Noto Sans Arabic" w:ascii="GHEA Grapalat" w:hAnsi="GHEA Grapalat"/>
                <w:color w:val="000000"/>
                <w:kern w:val="0"/>
                <w:sz w:val="24"/>
                <w:szCs w:val="24"/>
                <w:shd w:fill="FFFFFF" w:val="clear"/>
                <w:lang w:val="en-US" w:eastAsia="en-US" w:bidi="ar-SA"/>
              </w:rPr>
              <w:t>Օրենքի 21 և 22-րդ հոդվածներով նախատեսված հիմքերի առկայության վերաբերյալ կասկածներ առաջանալու դեպքում կիրառվելու են «Պետական գաղտնիքի մասին» օրենքով և նախագծի 2․3 կետով լրացվող «</w:t>
            </w:r>
            <w:r>
              <w:rPr>
                <w:rFonts w:eastAsia="Times New Roman" w:cs="Calibri" w:ascii="GHEA Grapalat" w:hAnsi="GHEA Grapalat"/>
                <w:b w:val="false"/>
                <w:bCs w:val="false"/>
                <w:color w:val="000000"/>
                <w:kern w:val="0"/>
                <w:sz w:val="24"/>
                <w:szCs w:val="24"/>
                <w:shd w:fill="FFFFFF" w:val="clear"/>
                <w:lang w:val="hy-AM" w:eastAsia="en-US" w:bidi="ar-SA"/>
              </w:rPr>
              <w:t>Արտաքին հետախուզության ծառայության և լիազոր մարմնի</w:t>
            </w:r>
            <w:r>
              <w:rPr>
                <w:rFonts w:eastAsia="Times New Roman" w:cs="Calibri" w:ascii="GHEA Grapalat" w:hAnsi="GHEA Grapalat"/>
                <w:b w:val="false"/>
                <w:bCs w:val="false"/>
                <w:color w:val="000000"/>
                <w:kern w:val="0"/>
                <w:sz w:val="24"/>
                <w:szCs w:val="24"/>
                <w:shd w:fill="FFFFFF" w:val="clear"/>
                <w:lang w:val="hy-AM" w:eastAsia="en-US" w:bidi="ar-SA"/>
              </w:rPr>
              <w:t>`</w:t>
            </w:r>
            <w:r>
              <w:rPr>
                <w:rFonts w:eastAsia="Times New Roman" w:cs="Calibri" w:ascii="GHEA Grapalat" w:hAnsi="GHEA Grapalat"/>
                <w:b w:val="false"/>
                <w:bCs w:val="false"/>
                <w:color w:val="000000"/>
                <w:kern w:val="0"/>
                <w:sz w:val="24"/>
                <w:szCs w:val="24"/>
                <w:shd w:fill="FFFFFF" w:val="clear"/>
                <w:lang w:val="hy-AM" w:eastAsia="en-US" w:bidi="ar-SA"/>
              </w:rPr>
              <w:t xml:space="preserve"> </w:t>
            </w:r>
            <w:r>
              <w:rPr>
                <w:rFonts w:eastAsia="Times New Roman" w:cs="Calibri" w:ascii="GHEA Grapalat" w:hAnsi="GHEA Grapalat"/>
                <w:b w:val="false"/>
                <w:bCs w:val="false"/>
                <w:color w:val="000000"/>
                <w:kern w:val="0"/>
                <w:sz w:val="24"/>
                <w:szCs w:val="24"/>
                <w:shd w:fill="auto" w:val="clear"/>
                <w:lang w:val="hy-AM" w:eastAsia="en-US" w:bidi="ar-SA"/>
              </w:rPr>
              <w:t xml:space="preserve">պետական գաղտնիքին առնչվելու թույլտվության </w:t>
            </w:r>
            <w:r>
              <w:rPr>
                <w:rFonts w:eastAsia="Times New Roman" w:cs="Calibri" w:ascii="GHEA Grapalat" w:hAnsi="GHEA Grapalat"/>
                <w:b w:val="false"/>
                <w:bCs w:val="false"/>
                <w:color w:val="000000"/>
                <w:kern w:val="0"/>
                <w:sz w:val="24"/>
                <w:szCs w:val="24"/>
                <w:shd w:fill="auto" w:val="clear"/>
                <w:lang w:val="hy-AM" w:eastAsia="en-US" w:bidi="ar-SA"/>
              </w:rPr>
              <w:t>և</w:t>
            </w:r>
            <w:r>
              <w:rPr>
                <w:rFonts w:eastAsia="Times New Roman" w:cs="Calibri" w:ascii="GHEA Grapalat" w:hAnsi="GHEA Grapalat"/>
                <w:b w:val="false"/>
                <w:bCs w:val="false"/>
                <w:color w:val="000000"/>
                <w:kern w:val="0"/>
                <w:sz w:val="24"/>
                <w:szCs w:val="24"/>
                <w:shd w:fill="auto" w:val="clear"/>
                <w:lang w:val="hy-AM" w:eastAsia="en-US" w:bidi="ar-SA"/>
              </w:rPr>
              <w:t xml:space="preserve"> </w:t>
            </w:r>
            <w:r>
              <w:rPr>
                <w:rFonts w:eastAsia="Times New Roman" w:cs="Calibri" w:ascii="GHEA Grapalat" w:hAnsi="GHEA Grapalat"/>
                <w:b w:val="false"/>
                <w:bCs w:val="false"/>
                <w:i w:val="false"/>
                <w:caps w:val="false"/>
                <w:smallCaps w:val="false"/>
                <w:color w:val="000000"/>
                <w:spacing w:val="0"/>
                <w:kern w:val="0"/>
                <w:sz w:val="24"/>
                <w:szCs w:val="24"/>
                <w:shd w:fill="auto" w:val="clear"/>
                <w:lang w:val="hy-AM" w:eastAsia="en-US" w:bidi="ar-SA"/>
              </w:rPr>
              <w:t>իրավաբանական անձանց գաղտնի տեղեկությունների կիրառմամբ աշխատանքներ կատարելու իրավունքի</w:t>
            </w:r>
            <w:r>
              <w:rPr>
                <w:rFonts w:eastAsia="Times New Roman" w:cs="Calibri" w:ascii="GHEA Grapalat" w:hAnsi="GHEA Grapalat"/>
                <w:b w:val="false"/>
                <w:bCs w:val="false"/>
                <w:color w:val="000000"/>
                <w:kern w:val="0"/>
                <w:sz w:val="24"/>
                <w:szCs w:val="24"/>
                <w:shd w:fill="auto" w:val="clear"/>
                <w:lang w:val="hy-AM" w:eastAsia="en-US" w:bidi="ar-SA"/>
              </w:rPr>
              <w:t xml:space="preserve"> տրամադրման շրջանակներում</w:t>
            </w:r>
            <w:r>
              <w:rPr>
                <w:rFonts w:eastAsia="Times New Roman" w:cs="Calibri" w:ascii="GHEA Grapalat" w:hAnsi="GHEA Grapalat"/>
                <w:b w:val="false"/>
                <w:bCs w:val="false"/>
                <w:color w:val="000000"/>
                <w:kern w:val="0"/>
                <w:sz w:val="24"/>
                <w:szCs w:val="24"/>
                <w:shd w:fill="FFFFFF" w:val="clear"/>
                <w:lang w:val="hy-AM" w:eastAsia="en-US" w:bidi="ar-SA"/>
              </w:rPr>
              <w:t xml:space="preserve"> համագործակցության կարգն ու պայմանները</w:t>
            </w:r>
            <w:r>
              <w:rPr>
                <w:rFonts w:cs="Noto Sans Arabic" w:ascii="GHEA Grapalat" w:hAnsi="GHEA Grapalat"/>
                <w:color w:val="000000"/>
                <w:kern w:val="0"/>
                <w:sz w:val="24"/>
                <w:szCs w:val="24"/>
                <w:shd w:fill="FFFFFF" w:val="clear"/>
                <w:lang w:val="en-US" w:eastAsia="en-US" w:bidi="ar-SA"/>
              </w:rPr>
              <w:t xml:space="preserve"> սահմանելու մասին» Վարչապետի որոշմամբ սահմանվելիք կարգավորումները։</w:t>
            </w:r>
          </w:p>
        </w:tc>
      </w:tr>
      <w:tr>
        <w:trPr>
          <w:trHeight w:val="585" w:hRule="atLeast"/>
        </w:trPr>
        <w:tc>
          <w:tcPr>
            <w:tcW w:w="8913" w:type="dxa"/>
            <w:tcBorders>
              <w:start w:val="single" w:sz="4" w:space="0" w:color="000000"/>
              <w:bottom w:val="single" w:sz="4" w:space="0" w:color="000000"/>
            </w:tcBorders>
          </w:tcPr>
          <w:p>
            <w:pPr>
              <w:pStyle w:val="NormalWeb"/>
              <w:widowControl/>
              <w:suppressAutoHyphens w:val="true"/>
              <w:bidi w:val="0"/>
              <w:spacing w:lineRule="auto" w:line="276" w:beforeAutospacing="0" w:before="0" w:afterAutospacing="0" w:after="0"/>
              <w:ind w:hanging="0"/>
              <w:jc w:val="both"/>
              <w:rPr>
                <w:sz w:val="24"/>
                <w:szCs w:val="24"/>
              </w:rPr>
            </w:pPr>
            <w:r>
              <w:rPr>
                <w:rFonts w:cs="Noto Sans Arabic" w:ascii="GHEA Grapalat" w:hAnsi="GHEA Grapalat"/>
                <w:color w:val="000000"/>
                <w:kern w:val="0"/>
                <w:sz w:val="24"/>
                <w:szCs w:val="24"/>
                <w:shd w:fill="FFFFFF" w:val="clear"/>
                <w:lang w:val="en-US" w:eastAsia="en-US" w:bidi="ar-SA"/>
              </w:rPr>
              <w:t xml:space="preserve">5. Նախագծի 5-րդ հոդվածով նախատեսվում է Օրենքի 26-րդ հոդվածում կատարել լրացում, որի արդյունքում՝ պետական գաղտնիք պարունակող տեղեկություններին առնչվելու լիազորություններ ունեցող հանրային ծառայության պաշտոնում նշանակված անձն իր նշանակումից հետո՝ մեկամսյա ժամկետում, պարտավոր է սահմանված կարգով ներկայացնել անհրաժեշտ փաստաթղթեր և գրավոր համաձայնություն պետական գաղտնիք կազմող տեղեկություններին առնչվելու թույլտվություն ստանալու նպատակով լիազոր մարմին դիմելու համար, </w:t>
            </w:r>
            <w:r>
              <w:rPr>
                <w:rFonts w:cs="Noto Sans Arabic" w:ascii="GHEA Grapalat" w:hAnsi="GHEA Grapalat"/>
                <w:b/>
                <w:bCs/>
                <w:color w:val="000000"/>
                <w:kern w:val="0"/>
                <w:sz w:val="24"/>
                <w:szCs w:val="24"/>
                <w:shd w:fill="FFFFFF" w:val="clear"/>
                <w:lang w:val="en-US" w:eastAsia="en-US" w:bidi="ar-SA"/>
              </w:rPr>
              <w:t>բացառությամբ Արտաքին հետախուզության ծառայությունում հանրային ծառայության պաշտոն զբաղեցնող անձանց, ովքեր պետական գաղտնիք պարունակող տեղեկություններին առնչվելու թույլտվություն ստանում են Արտաքին հետախուզության ծառայությունից:</w:t>
            </w:r>
            <w:r>
              <w:rPr>
                <w:rFonts w:cs="Noto Sans Arabic" w:ascii="GHEA Grapalat" w:hAnsi="GHEA Grapalat"/>
                <w:color w:val="000000"/>
                <w:kern w:val="0"/>
                <w:sz w:val="24"/>
                <w:szCs w:val="24"/>
                <w:shd w:fill="FFFFFF" w:val="clear"/>
                <w:lang w:val="en-US" w:eastAsia="en-US" w:bidi="ar-SA"/>
              </w:rPr>
              <w:t xml:space="preserve"> Նախատեսված լրացմամբ հստակեցվում է միայն, որ Արտաքին հետախուզության ծառայությունում հանրային ծառայության պաշտոն զբաղեցնող անձանց թույլտվությունը տրամադրում է Արտաքին հետախուզության ծառայության կողմից, սակայն պարզ չէ՝ նույն հոդվածով նախատեսված կարգով և ժամկետում է տրամադրվում, թե՝ ոչ:</w:t>
            </w:r>
          </w:p>
        </w:tc>
        <w:tc>
          <w:tcPr>
            <w:tcW w:w="5761" w:type="dxa"/>
            <w:tcBorders>
              <w:start w:val="single" w:sz="4" w:space="0" w:color="000000"/>
              <w:bottom w:val="single" w:sz="4" w:space="0" w:color="000000"/>
              <w:end w:val="single" w:sz="4" w:space="0" w:color="000000"/>
            </w:tcBorders>
          </w:tcPr>
          <w:p>
            <w:pPr>
              <w:pStyle w:val="NormalWeb"/>
              <w:widowControl/>
              <w:suppressAutoHyphens w:val="true"/>
              <w:bidi w:val="0"/>
              <w:spacing w:lineRule="auto" w:line="276" w:beforeAutospacing="0" w:before="0" w:afterAutospacing="0" w:after="0"/>
              <w:ind w:firstLine="360"/>
              <w:jc w:val="center"/>
              <w:rPr>
                <w:b/>
                <w:bCs/>
                <w:sz w:val="24"/>
                <w:szCs w:val="24"/>
              </w:rPr>
            </w:pPr>
            <w:r>
              <w:rPr>
                <w:rFonts w:cs="Noto Sans Arabic" w:ascii="GHEA Grapalat" w:hAnsi="GHEA Grapalat"/>
                <w:b/>
                <w:bCs/>
                <w:color w:val="000000"/>
                <w:kern w:val="0"/>
                <w:sz w:val="24"/>
                <w:szCs w:val="24"/>
                <w:shd w:fill="FFFFFF" w:val="clear"/>
                <w:lang w:val="en-US" w:eastAsia="en-US" w:bidi="ar-SA"/>
              </w:rPr>
              <w:t>Ընդունվել է ի գիտություն։</w:t>
            </w:r>
          </w:p>
          <w:p>
            <w:pPr>
              <w:pStyle w:val="NormalWeb"/>
              <w:widowControl/>
              <w:suppressAutoHyphens w:val="true"/>
              <w:bidi w:val="0"/>
              <w:spacing w:lineRule="auto" w:line="276" w:beforeAutospacing="0" w:before="0" w:afterAutospacing="0" w:after="0"/>
              <w:ind w:hanging="0"/>
              <w:jc w:val="both"/>
              <w:rPr>
                <w:sz w:val="24"/>
                <w:szCs w:val="24"/>
              </w:rPr>
            </w:pPr>
            <w:r>
              <w:rPr>
                <w:rFonts w:cs="Noto Sans Arabic" w:ascii="GHEA Grapalat" w:hAnsi="GHEA Grapalat"/>
                <w:color w:val="000000"/>
                <w:kern w:val="0"/>
                <w:sz w:val="24"/>
                <w:szCs w:val="24"/>
                <w:shd w:fill="FFFFFF" w:val="clear"/>
                <w:lang w:val="en-US" w:eastAsia="en-US" w:bidi="ar-SA"/>
              </w:rPr>
              <w:t xml:space="preserve">Նախագծով, ըստ էության, նախատեսվում է միայն, որ Արտաքին հետախուզության ծառայությունում հանրային ծառայության պաշտոն զբաղեցնող անձինք պետական գաղտնիք պարունակող տեղեկություններին առնչվելու թույլտվությունը ստանում են Արտաքին հետախուզության ծառայությունից։ </w:t>
            </w:r>
          </w:p>
          <w:p>
            <w:pPr>
              <w:pStyle w:val="NormalWeb"/>
              <w:widowControl/>
              <w:suppressAutoHyphens w:val="true"/>
              <w:bidi w:val="0"/>
              <w:spacing w:lineRule="auto" w:line="276" w:beforeAutospacing="0" w:before="0" w:afterAutospacing="0" w:after="0"/>
              <w:ind w:hanging="0"/>
              <w:jc w:val="both"/>
              <w:rPr>
                <w:sz w:val="24"/>
                <w:szCs w:val="24"/>
              </w:rPr>
            </w:pPr>
            <w:r>
              <w:rPr>
                <w:rFonts w:cs="Noto Sans Arabic" w:ascii="GHEA Grapalat" w:hAnsi="GHEA Grapalat"/>
                <w:color w:val="000000"/>
                <w:kern w:val="0"/>
                <w:sz w:val="24"/>
                <w:szCs w:val="24"/>
                <w:shd w:fill="FFFFFF" w:val="clear"/>
                <w:lang w:val="en-US" w:eastAsia="en-US" w:bidi="ar-SA"/>
              </w:rPr>
              <w:t>Նախագծով թույլտվության տրամադրման նոր ժամկետ և կարգ չի սահմանվում, ինչը նշանակում է, որ նշված դեպքում ևս կիրառվելու են «Պետական գաղտնիքի մասին» օրենքով սահմանված կարգը և ժամկետները։</w:t>
            </w:r>
          </w:p>
        </w:tc>
      </w:tr>
      <w:tr>
        <w:trPr>
          <w:trHeight w:val="585" w:hRule="atLeast"/>
        </w:trPr>
        <w:tc>
          <w:tcPr>
            <w:tcW w:w="8913" w:type="dxa"/>
            <w:tcBorders>
              <w:start w:val="single" w:sz="4" w:space="0" w:color="000000"/>
              <w:bottom w:val="single" w:sz="4" w:space="0" w:color="000000"/>
            </w:tcBorders>
          </w:tcPr>
          <w:p>
            <w:pPr>
              <w:pStyle w:val="NormalWeb"/>
              <w:spacing w:lineRule="auto" w:line="276" w:beforeAutospacing="0" w:before="0" w:afterAutospacing="0" w:after="0"/>
              <w:ind w:hanging="0"/>
              <w:jc w:val="both"/>
              <w:rPr>
                <w:sz w:val="24"/>
                <w:szCs w:val="24"/>
              </w:rPr>
            </w:pPr>
            <w:r>
              <w:rPr>
                <w:rFonts w:ascii="GHEA Grapalat" w:hAnsi="GHEA Grapalat"/>
                <w:color w:val="000000"/>
                <w:sz w:val="24"/>
                <w:szCs w:val="24"/>
                <w:shd w:fill="FFFFFF" w:val="clear"/>
              </w:rPr>
              <w:t xml:space="preserve">6. Օրենքի 28-րդ հոդվածի համաձայն՝ Հայաստանի Հանրապետության քաղաքացիները, օտարերկրյա քաղաքացիները և քաղաքացիություն չունեցող անձինք պետական գաղտնիք պարունակող տեղեկություններին պատահականորեն, սույն օրենքով չնախատեսված կարգով որևէ կերպ առնչվելու կամ դրանք գտնելու (հայտնաբերելու) դեպքում պարտավոր են դրանք չհրապարակել և </w:t>
            </w:r>
            <w:r>
              <w:rPr>
                <w:rFonts w:ascii="GHEA Grapalat" w:hAnsi="GHEA Grapalat"/>
                <w:b/>
                <w:color w:val="000000"/>
                <w:sz w:val="24"/>
                <w:szCs w:val="24"/>
                <w:shd w:fill="FFFFFF" w:val="clear"/>
              </w:rPr>
              <w:t>այդ մասին հայտնել լիազոր մարմնին</w:t>
            </w:r>
            <w:r>
              <w:rPr>
                <w:rFonts w:ascii="GHEA Grapalat" w:hAnsi="GHEA Grapalat"/>
                <w:color w:val="000000"/>
                <w:sz w:val="24"/>
                <w:szCs w:val="24"/>
                <w:shd w:fill="FFFFFF" w:val="clear"/>
              </w:rPr>
              <w:t xml:space="preserve"> </w:t>
            </w:r>
            <w:r>
              <w:rPr>
                <w:rFonts w:ascii="GHEA Grapalat" w:hAnsi="GHEA Grapalat"/>
                <w:b/>
                <w:color w:val="000000"/>
                <w:sz w:val="24"/>
                <w:szCs w:val="24"/>
                <w:shd w:fill="FFFFFF" w:val="clear"/>
              </w:rPr>
              <w:t>կամ ոստիկանությանը, որի մասին վերջինս անհապաղ տեղեկացնում է լիազոր մարմնին</w:t>
            </w:r>
            <w:r>
              <w:rPr>
                <w:rFonts w:ascii="GHEA Grapalat" w:hAnsi="GHEA Grapalat"/>
                <w:color w:val="000000"/>
                <w:sz w:val="24"/>
                <w:szCs w:val="24"/>
                <w:shd w:fill="FFFFFF" w:val="clear"/>
              </w:rPr>
              <w:t>: Տվյալ դեպքում, պարզ չէ, թե Արտաքին հետախուզության ծառայության կողմից տրված թույլտվությունների դեպքում ինչ ընթացակարգ է կիրառվելու:</w:t>
            </w:r>
          </w:p>
        </w:tc>
        <w:tc>
          <w:tcPr>
            <w:tcW w:w="5761" w:type="dxa"/>
            <w:tcBorders>
              <w:start w:val="single" w:sz="4" w:space="0" w:color="000000"/>
              <w:bottom w:val="single" w:sz="4" w:space="0" w:color="000000"/>
              <w:end w:val="single" w:sz="4" w:space="0" w:color="000000"/>
            </w:tcBorders>
          </w:tcPr>
          <w:p>
            <w:pPr>
              <w:pStyle w:val="NormalWeb"/>
              <w:spacing w:lineRule="auto" w:line="276" w:beforeAutospacing="0" w:before="0" w:afterAutospacing="0" w:after="0"/>
              <w:ind w:firstLine="360"/>
              <w:jc w:val="center"/>
              <w:rPr>
                <w:sz w:val="24"/>
                <w:szCs w:val="24"/>
              </w:rPr>
            </w:pPr>
            <w:r>
              <w:rPr>
                <w:rFonts w:ascii="GHEA Grapalat" w:hAnsi="GHEA Grapalat"/>
                <w:b/>
                <w:bCs/>
                <w:color w:val="000000"/>
                <w:sz w:val="24"/>
                <w:szCs w:val="24"/>
                <w:shd w:fill="FFFFFF" w:val="clear"/>
              </w:rPr>
              <w:t>Ընդունվել է ի գիտություն։</w:t>
            </w:r>
          </w:p>
          <w:p>
            <w:pPr>
              <w:pStyle w:val="NormalWeb"/>
              <w:spacing w:lineRule="auto" w:line="276" w:beforeAutospacing="0" w:before="0" w:afterAutospacing="0" w:after="0"/>
              <w:ind w:hanging="0"/>
              <w:jc w:val="both"/>
              <w:rPr>
                <w:sz w:val="24"/>
                <w:szCs w:val="24"/>
              </w:rPr>
            </w:pPr>
            <w:r>
              <w:rPr>
                <w:rFonts w:ascii="GHEA Grapalat" w:hAnsi="GHEA Grapalat"/>
                <w:color w:val="000000"/>
                <w:sz w:val="24"/>
                <w:szCs w:val="24"/>
                <w:shd w:fill="FFFFFF" w:val="clear"/>
              </w:rPr>
              <w:t xml:space="preserve">Արտաքին հետախուզության ծառայության կողմից տրված թույլտվությունների դեպքում ևս կիրառվելու է օրենքի 28֊րդ հոդվածով սահմանված ընթացակարգը, այսինքն  պետական գաղտնիք պարունակող տեղեկություններին պատահականորեն, սույն օրենքով չնախատեսված կարգով որևէ կերպ առնչվելու կամ դրանք գտնելու (հայտնաբերելու) դեպքում ֆիզիկական անձն </w:t>
            </w:r>
            <w:r>
              <w:rPr>
                <w:rFonts w:ascii="GHEA Grapalat" w:hAnsi="GHEA Grapalat"/>
                <w:b w:val="false"/>
                <w:bCs w:val="false"/>
                <w:color w:val="000000"/>
                <w:sz w:val="24"/>
                <w:szCs w:val="24"/>
                <w:shd w:fill="FFFFFF" w:val="clear"/>
              </w:rPr>
              <w:t>այդ մասին հայտնում է լիազոր մարմնին կամ ոստիկանությանը։ Բացի այդ պետք է նկատի ունենալ նաև այն հանգամանքը, որ ֆիզիկական անձը պարտավոր չէ և/կամ չի կարող իմանալ, թե պետական գաղտնիք պարունակող տեղեկությունները, որոնց պատահականորեն առնչվել կամ գտել է, որ մարմնի տնօրինության ներքո են կամ որ մարմնի</w:t>
            </w:r>
            <w:r>
              <w:rPr>
                <w:rFonts w:ascii="GHEA Grapalat" w:hAnsi="GHEA Grapalat"/>
                <w:b/>
                <w:color w:val="000000"/>
                <w:sz w:val="24"/>
                <w:szCs w:val="24"/>
                <w:shd w:fill="FFFFFF" w:val="clear"/>
              </w:rPr>
              <w:t xml:space="preserve"> </w:t>
            </w:r>
            <w:r>
              <w:rPr>
                <w:rFonts w:ascii="GHEA Grapalat" w:hAnsi="GHEA Grapalat"/>
                <w:b w:val="false"/>
                <w:bCs w:val="false"/>
                <w:color w:val="000000"/>
                <w:sz w:val="24"/>
                <w:szCs w:val="24"/>
                <w:shd w:fill="FFFFFF" w:val="clear"/>
              </w:rPr>
              <w:t>կողմից է տրվել համապատասխան թույլտվությունը։</w:t>
            </w:r>
          </w:p>
        </w:tc>
      </w:tr>
      <w:tr>
        <w:trPr>
          <w:trHeight w:val="585" w:hRule="atLeast"/>
        </w:trPr>
        <w:tc>
          <w:tcPr>
            <w:tcW w:w="8913" w:type="dxa"/>
            <w:tcBorders>
              <w:start w:val="single" w:sz="4" w:space="0" w:color="000000"/>
              <w:bottom w:val="single" w:sz="4" w:space="0" w:color="000000"/>
            </w:tcBorders>
          </w:tcPr>
          <w:p>
            <w:pPr>
              <w:pStyle w:val="NormalWeb"/>
              <w:spacing w:lineRule="auto" w:line="276" w:beforeAutospacing="0" w:before="0" w:afterAutospacing="0" w:after="0"/>
              <w:ind w:hanging="0"/>
              <w:jc w:val="both"/>
              <w:rPr/>
            </w:pPr>
            <w:r>
              <w:rPr>
                <w:rFonts w:eastAsia="Times New Roman" w:cs="Noto Sans Arabic" w:ascii="GHEA Grapalat" w:hAnsi="GHEA Grapalat"/>
                <w:color w:val="000000"/>
                <w:kern w:val="0"/>
                <w:sz w:val="24"/>
                <w:szCs w:val="24"/>
                <w:shd w:fill="FFFFFF" w:val="clear"/>
                <w:lang w:val="en-US" w:eastAsia="en-US" w:bidi="ar-SA"/>
              </w:rPr>
              <w:t xml:space="preserve">7.  Նախագծի 7-րդ հոդվածով նախատեսվում է Օրենքի 16-րդ հոդվածի 2-րդ մասը լրացնել նոր նախադասությամբ, համաձայն որի՝ պետական և տեղական ինքնակառավարման մարմինները, կազմակերպությունները, իրավաբանական անձինք կարող են պետական գաղտնիք պարունակող տեղեկությունները փոխանցել միայն այն կազմակերպություններին և իրավաբանական անձանց, որոնք գաղտնի տեղեկությունների կիրառմամբ աշխատանքներ կատարելու իրավունքը, իսկ ֆիզիկական անձանց դեպքում՝ դրանց առնչվելու համապատասխան թույլտվությունն ստացել են սույն մասով սահմանված ընդհանուր կարգով, իսկ Արտաքին հետախուզության ծառայության հետ համագործակցող և վերջինիս կողմից տրված գաղտնի տեղեկությունների կիրառմամբ աշխատանքներ կատարելու իրավունք ունեցող իրավաբանական անձինք ու Արտաքին հետախուզության ծառայության կողմից տրված պետական գաղտնիքին առնչվելու թույլտվություն ունեցող ֆիզիկական անձինք պետական գաղտնիք պարունակող տեղեկություններին </w:t>
            </w:r>
            <w:r>
              <w:rPr>
                <w:rFonts w:eastAsia="Times New Roman" w:cs="Noto Sans Arabic" w:ascii="GHEA Grapalat" w:hAnsi="GHEA Grapalat"/>
                <w:b/>
                <w:bCs/>
                <w:color w:val="000000"/>
                <w:kern w:val="0"/>
                <w:sz w:val="24"/>
                <w:szCs w:val="24"/>
                <w:shd w:fill="FFFFFF" w:val="clear"/>
                <w:lang w:val="en-US" w:eastAsia="en-US" w:bidi="ar-SA"/>
              </w:rPr>
              <w:t>կարող են առնչվել</w:t>
            </w:r>
            <w:r>
              <w:rPr>
                <w:rFonts w:eastAsia="Times New Roman" w:cs="Noto Sans Arabic" w:ascii="GHEA Grapalat" w:hAnsi="GHEA Grapalat"/>
                <w:color w:val="000000"/>
                <w:kern w:val="0"/>
                <w:sz w:val="24"/>
                <w:szCs w:val="24"/>
                <w:shd w:fill="FFFFFF" w:val="clear"/>
                <w:lang w:val="en-US" w:eastAsia="en-US" w:bidi="ar-SA"/>
              </w:rPr>
              <w:t xml:space="preserve"> միայն Արտաքին հետախուզության ծառայության հետ հարաբերություններում: Գտնում ենք, որ կարգավորումն ունի վերանայման կարիք, քանի որ Օրենքի 16-րդ հոդվածը վերաբերում է պ</w:t>
            </w:r>
            <w:r>
              <w:rPr>
                <w:rStyle w:val="Strong"/>
                <w:rFonts w:eastAsia="Times New Roman" w:cs="Noto Sans Arabic" w:ascii="GHEA Grapalat" w:hAnsi="GHEA Grapalat"/>
                <w:color w:val="000000"/>
                <w:kern w:val="0"/>
                <w:sz w:val="24"/>
                <w:szCs w:val="24"/>
                <w:shd w:fill="FFFFFF" w:val="clear"/>
                <w:lang w:val="en-US" w:eastAsia="en-US" w:bidi="ar-SA"/>
              </w:rPr>
              <w:t xml:space="preserve">ետական գաղտնիք պարունակող տեղեկությունների փոխանցմանը, իսկ նախատեսված կարգավորումը՝ տեղեկություններին առչնվելուն, ինչի արդյունքում առաջանում է հոդվածի վերնագրի և բովանդակության միջև անհամապատասխանություն, մինչդեռ </w:t>
            </w:r>
            <w:r>
              <w:rPr>
                <w:rFonts w:eastAsia="Times New Roman" w:cs="Noto Sans Arabic" w:ascii="GHEA Grapalat" w:hAnsi="GHEA Grapalat"/>
                <w:color w:val="000000"/>
                <w:kern w:val="0"/>
                <w:sz w:val="24"/>
                <w:szCs w:val="24"/>
                <w:shd w:fill="FFFFFF" w:val="clear"/>
                <w:lang w:val="en-US" w:eastAsia="en-US" w:bidi="ar-SA"/>
              </w:rPr>
              <w:t xml:space="preserve">«Նորմատիվ իրավական ակտերի մասին» օրենքի 14-րդ հոդվածի 8-րդ մասի համաձայն՝ (…) </w:t>
            </w:r>
            <w:r>
              <w:rPr>
                <w:rFonts w:eastAsia="Times New Roman" w:cs="Noto Sans Arabic" w:ascii="GHEA Grapalat" w:hAnsi="GHEA Grapalat"/>
                <w:b/>
                <w:bCs/>
                <w:color w:val="000000"/>
                <w:kern w:val="0"/>
                <w:sz w:val="24"/>
                <w:szCs w:val="24"/>
                <w:shd w:fill="FFFFFF" w:val="clear"/>
                <w:lang w:val="en-US" w:eastAsia="en-US" w:bidi="ar-SA"/>
              </w:rPr>
              <w:t>Հոդվածների վերնագրերը համապատասխանում են հոդվածների բովանդակությանը (…)</w:t>
            </w:r>
            <w:r>
              <w:rPr>
                <w:rStyle w:val="Strong"/>
                <w:rFonts w:eastAsia="Times New Roman" w:cs="Noto Sans Arabic" w:ascii="GHEA Grapalat" w:hAnsi="GHEA Grapalat"/>
                <w:b/>
                <w:bCs/>
                <w:color w:val="000000"/>
                <w:kern w:val="0"/>
                <w:sz w:val="24"/>
                <w:szCs w:val="24"/>
                <w:shd w:fill="FFFFFF" w:val="clear"/>
                <w:lang w:val="en-US" w:eastAsia="en-US" w:bidi="ar-SA"/>
              </w:rPr>
              <w:t>:</w:t>
            </w:r>
          </w:p>
        </w:tc>
        <w:tc>
          <w:tcPr>
            <w:tcW w:w="5761" w:type="dxa"/>
            <w:tcBorders>
              <w:start w:val="single" w:sz="4" w:space="0" w:color="000000"/>
              <w:bottom w:val="single" w:sz="4" w:space="0" w:color="000000"/>
              <w:end w:val="single" w:sz="4" w:space="0" w:color="000000"/>
            </w:tcBorders>
          </w:tcPr>
          <w:p>
            <w:pPr>
              <w:pStyle w:val="NormalWeb"/>
              <w:widowControl/>
              <w:suppressAutoHyphens w:val="true"/>
              <w:bidi w:val="0"/>
              <w:spacing w:lineRule="auto" w:line="276" w:beforeAutospacing="0" w:before="0" w:afterAutospacing="0" w:after="0"/>
              <w:ind w:firstLine="360"/>
              <w:jc w:val="center"/>
              <w:rPr>
                <w:sz w:val="24"/>
                <w:szCs w:val="24"/>
              </w:rPr>
            </w:pPr>
            <w:r>
              <w:rPr>
                <w:rFonts w:cs="Noto Sans Arabic" w:ascii="GHEA Grapalat" w:hAnsi="GHEA Grapalat"/>
                <w:b/>
                <w:bCs/>
                <w:color w:val="000000"/>
                <w:kern w:val="0"/>
                <w:sz w:val="24"/>
                <w:szCs w:val="24"/>
                <w:shd w:fill="FFFFFF" w:val="clear"/>
                <w:lang w:val="en-US" w:eastAsia="en-US" w:bidi="ar-SA"/>
              </w:rPr>
              <w:t>Ընդունվել է ի գիտություն։</w:t>
            </w:r>
          </w:p>
          <w:p>
            <w:pPr>
              <w:pStyle w:val="NormalWeb"/>
              <w:widowControl/>
              <w:suppressAutoHyphens w:val="true"/>
              <w:bidi w:val="0"/>
              <w:spacing w:lineRule="auto" w:line="276" w:beforeAutospacing="0" w:before="0" w:afterAutospacing="0" w:after="0"/>
              <w:ind w:firstLine="360"/>
              <w:jc w:val="both"/>
              <w:rPr>
                <w:sz w:val="24"/>
                <w:szCs w:val="24"/>
              </w:rPr>
            </w:pPr>
            <w:r>
              <w:rPr>
                <w:rFonts w:cs="Noto Sans Arabic" w:ascii="GHEA Grapalat" w:hAnsi="GHEA Grapalat"/>
                <w:color w:val="000000"/>
                <w:kern w:val="0"/>
                <w:sz w:val="24"/>
                <w:szCs w:val="24"/>
                <w:shd w:fill="FFFFFF" w:val="clear"/>
                <w:lang w:val="en-US" w:eastAsia="en-US" w:bidi="ar-SA"/>
              </w:rPr>
              <w:t>Գտնում ենք, որ վերնագիրը վերանայման կարիք չունի, քանի որ 16֊րդ հոդվածի 2֊րդ մասով լրացվող նախադասության կարգավորման առարկան ամբողջացնելու նպատակով է նախատեսվել Արտաքին հետախուզության ծառայության հետ հարաբերություններում պետական գաղտնիք պարունակող տեղեկություններին առնչվելու վերաբերյալ համապատասխան ձևակերպումը։ Բացի այդ անհրաժեշտ է նկատի ունենալ նաև այն, որ սույն հոդվածի 2֊րդ մասի 1֊ին նախադասությամբ ևս նմանաբնույթ կարգավորում է նախատեսված։</w:t>
            </w:r>
          </w:p>
        </w:tc>
      </w:tr>
      <w:tr>
        <w:trPr>
          <w:trHeight w:val="292" w:hRule="atLeast"/>
        </w:trPr>
        <w:tc>
          <w:tcPr>
            <w:tcW w:w="8913" w:type="dxa"/>
            <w:vMerge w:val="restart"/>
            <w:tcBorders>
              <w:start w:val="single" w:sz="4" w:space="0" w:color="000000"/>
              <w:bottom w:val="single" w:sz="4" w:space="0" w:color="000000"/>
            </w:tcBorders>
            <w:shd w:fill="DDE8CB" w:val="clear"/>
          </w:tcPr>
          <w:p>
            <w:pPr>
              <w:pStyle w:val="Normal"/>
              <w:spacing w:lineRule="auto" w:line="276" w:before="0" w:after="160"/>
              <w:jc w:val="center"/>
              <w:rPr>
                <w:rFonts w:ascii="GHEA Grapalat" w:hAnsi="GHEA Grapalat"/>
                <w:b/>
                <w:bCs/>
                <w:sz w:val="24"/>
                <w:szCs w:val="24"/>
              </w:rPr>
            </w:pPr>
            <w:r>
              <w:rPr>
                <w:rFonts w:ascii="GHEA Grapalat" w:hAnsi="GHEA Grapalat"/>
                <w:b/>
                <w:bCs/>
                <w:sz w:val="24"/>
                <w:szCs w:val="24"/>
              </w:rPr>
              <w:t>9․ ՀՀ  Վարչապետի աշխատակազմ</w:t>
            </w:r>
          </w:p>
        </w:tc>
        <w:tc>
          <w:tcPr>
            <w:tcW w:w="5761" w:type="dxa"/>
            <w:tcBorders>
              <w:end w:val="single" w:sz="4" w:space="0" w:color="000000"/>
            </w:tcBorders>
            <w:shd w:fill="DDE8CB" w:val="clear"/>
          </w:tcPr>
          <w:p>
            <w:pPr>
              <w:pStyle w:val="Normal"/>
              <w:spacing w:lineRule="auto" w:line="276" w:before="0" w:after="160"/>
              <w:jc w:val="center"/>
              <w:rPr>
                <w:b/>
                <w:bCs/>
                <w:sz w:val="24"/>
                <w:szCs w:val="24"/>
              </w:rPr>
            </w:pPr>
            <w:r>
              <w:rPr>
                <w:b/>
                <w:bCs/>
                <w:sz w:val="24"/>
                <w:szCs w:val="24"/>
              </w:rPr>
              <w:t>07․10.2024</w:t>
            </w:r>
          </w:p>
        </w:tc>
      </w:tr>
      <w:tr>
        <w:trPr>
          <w:trHeight w:val="292" w:hRule="atLeast"/>
        </w:trPr>
        <w:tc>
          <w:tcPr>
            <w:tcW w:w="8913" w:type="dxa"/>
            <w:vMerge w:val="continue"/>
            <w:tcBorders>
              <w:start w:val="single" w:sz="4" w:space="0" w:color="000000"/>
              <w:bottom w:val="single" w:sz="4" w:space="0" w:color="000000"/>
            </w:tcBorders>
            <w:shd w:fill="DDE8CB" w:val="clear"/>
          </w:tcPr>
          <w:p>
            <w:pPr>
              <w:pStyle w:val="Normal"/>
              <w:widowControl w:val="false"/>
              <w:suppressAutoHyphens w:val="true"/>
              <w:spacing w:lineRule="auto" w:line="276" w:before="0" w:after="0"/>
              <w:jc w:val="center"/>
              <w:rPr>
                <w:rFonts w:ascii="GHEA Grapalat" w:hAnsi="GHEA Grapalat"/>
                <w:b/>
                <w:bCs/>
                <w:sz w:val="24"/>
                <w:szCs w:val="24"/>
              </w:rPr>
            </w:pPr>
            <w:r>
              <w:rPr>
                <w:rFonts w:ascii="GHEA Grapalat" w:hAnsi="GHEA Grapalat"/>
                <w:b/>
                <w:bCs/>
                <w:sz w:val="24"/>
                <w:szCs w:val="24"/>
              </w:rPr>
            </w:r>
          </w:p>
        </w:tc>
        <w:tc>
          <w:tcPr>
            <w:tcW w:w="5761" w:type="dxa"/>
            <w:tcBorders>
              <w:bottom w:val="single" w:sz="4" w:space="0" w:color="000000"/>
              <w:end w:val="single" w:sz="4" w:space="0" w:color="000000"/>
            </w:tcBorders>
            <w:shd w:fill="DDE8CB" w:val="clear"/>
          </w:tcPr>
          <w:p>
            <w:pPr>
              <w:pStyle w:val="Normal"/>
              <w:spacing w:lineRule="auto" w:line="276" w:before="0" w:after="160"/>
              <w:jc w:val="center"/>
              <w:rPr>
                <w:b/>
                <w:bCs/>
                <w:sz w:val="24"/>
                <w:szCs w:val="24"/>
              </w:rPr>
            </w:pPr>
            <w:r>
              <w:rPr>
                <w:b/>
                <w:bCs/>
                <w:sz w:val="24"/>
                <w:szCs w:val="24"/>
              </w:rPr>
              <w:t>02/10․39/33452֊2024</w:t>
            </w:r>
          </w:p>
        </w:tc>
      </w:tr>
      <w:tr>
        <w:trPr>
          <w:trHeight w:val="585" w:hRule="atLeast"/>
        </w:trPr>
        <w:tc>
          <w:tcPr>
            <w:tcW w:w="8913" w:type="dxa"/>
            <w:tcBorders>
              <w:start w:val="single" w:sz="4" w:space="0" w:color="000000"/>
              <w:bottom w:val="single" w:sz="4" w:space="0" w:color="000000"/>
            </w:tcBorders>
          </w:tcPr>
          <w:p>
            <w:pPr>
              <w:pStyle w:val="Normal"/>
              <w:widowControl w:val="false"/>
              <w:suppressAutoHyphens w:val="true"/>
              <w:spacing w:lineRule="auto" w:line="276" w:before="0" w:after="0"/>
              <w:jc w:val="center"/>
              <w:rPr>
                <w:rFonts w:ascii="GHEA Grapalat" w:hAnsi="GHEA Grapalat"/>
                <w:b/>
                <w:bCs/>
                <w:sz w:val="24"/>
                <w:szCs w:val="24"/>
              </w:rPr>
            </w:pPr>
            <w:r>
              <w:rPr>
                <w:rFonts w:ascii="GHEA Grapalat" w:hAnsi="GHEA Grapalat"/>
                <w:b/>
                <w:bCs/>
                <w:sz w:val="24"/>
                <w:szCs w:val="24"/>
              </w:rPr>
              <w:t>Իրավաբանական վարչություն</w:t>
            </w:r>
          </w:p>
          <w:p>
            <w:pPr>
              <w:pStyle w:val="Normal"/>
              <w:widowControl w:val="false"/>
              <w:suppressAutoHyphens w:val="true"/>
              <w:spacing w:lineRule="auto" w:line="276" w:before="0" w:after="0"/>
              <w:jc w:val="both"/>
              <w:rPr>
                <w:rFonts w:ascii="GHEA Grapalat" w:hAnsi="GHEA Grapalat"/>
                <w:sz w:val="24"/>
                <w:szCs w:val="24"/>
              </w:rPr>
            </w:pPr>
            <w:r>
              <w:rPr>
                <w:rFonts w:ascii="GHEA Grapalat" w:hAnsi="GHEA Grapalat"/>
                <w:sz w:val="24"/>
                <w:szCs w:val="24"/>
              </w:rPr>
              <w:t>1․ Նախագծի 1֊ին հոդվածով Օրենքի 20֊րդ հոդվածում լրացվող 2․3֊րդ մասի համաձայն՝ Արտաքին հետախուզության ծառայության և լիազոր մարմնի համագործակցության կարգն ու պայմանները սահմանում է վարչապետը, որտեղ սակայն որոշակիացված չէ համագործակցության շրջանակը (ենթադրաբար նշված համագործակցությունը վերաբերելի է միայն նախագծի 1֊ին հոդվածով լրացվող 2․1֊ին մասին)։</w:t>
            </w:r>
          </w:p>
        </w:tc>
        <w:tc>
          <w:tcPr>
            <w:tcW w:w="5761" w:type="dxa"/>
            <w:tcBorders>
              <w:bottom w:val="single" w:sz="4" w:space="0" w:color="000000"/>
              <w:end w:val="single" w:sz="4" w:space="0" w:color="000000"/>
            </w:tcBorders>
          </w:tcPr>
          <w:p>
            <w:pPr>
              <w:pStyle w:val="Normal"/>
              <w:widowControl w:val="false"/>
              <w:suppressAutoHyphens w:val="true"/>
              <w:spacing w:lineRule="auto" w:line="276" w:before="0" w:after="0"/>
              <w:jc w:val="center"/>
              <w:rPr>
                <w:rFonts w:ascii="GHEA Grapalat" w:hAnsi="GHEA Grapalat"/>
                <w:sz w:val="24"/>
                <w:szCs w:val="24"/>
              </w:rPr>
            </w:pPr>
            <w:r>
              <w:rPr>
                <w:rFonts w:ascii="GHEA Grapalat" w:hAnsi="GHEA Grapalat"/>
                <w:sz w:val="24"/>
                <w:szCs w:val="24"/>
              </w:rPr>
            </w:r>
          </w:p>
          <w:p>
            <w:pPr>
              <w:pStyle w:val="Normal"/>
              <w:widowControl w:val="false"/>
              <w:suppressAutoHyphens w:val="true"/>
              <w:spacing w:lineRule="auto" w:line="276" w:before="0" w:after="0"/>
              <w:jc w:val="center"/>
              <w:rPr>
                <w:b/>
                <w:bCs/>
              </w:rPr>
            </w:pPr>
            <w:r>
              <w:rPr>
                <w:rFonts w:ascii="GHEA Grapalat" w:hAnsi="GHEA Grapalat"/>
                <w:b/>
                <w:bCs/>
                <w:sz w:val="24"/>
                <w:szCs w:val="24"/>
              </w:rPr>
              <w:t xml:space="preserve">1․ Ընդունվել է </w:t>
            </w:r>
          </w:p>
          <w:p>
            <w:pPr>
              <w:pStyle w:val="Normal"/>
              <w:widowControl w:val="false"/>
              <w:suppressAutoHyphens w:val="true"/>
              <w:spacing w:lineRule="auto" w:line="276" w:before="0" w:after="0"/>
              <w:jc w:val="both"/>
              <w:rPr>
                <w:rFonts w:ascii="GHEA Grapalat" w:hAnsi="GHEA Grapalat"/>
                <w:sz w:val="24"/>
                <w:szCs w:val="24"/>
              </w:rPr>
            </w:pPr>
            <w:r>
              <w:rPr>
                <w:rFonts w:ascii="GHEA Grapalat" w:hAnsi="GHEA Grapalat"/>
                <w:sz w:val="24"/>
                <w:szCs w:val="24"/>
              </w:rPr>
              <w:t>Աշխատանքային կարգով քննարկման արդյունքում  Օրենքի 20֊րդ հոդվածում լրացվող 2․3֊րդ մասը խմբագրվել է։</w:t>
            </w:r>
          </w:p>
          <w:p>
            <w:pPr>
              <w:pStyle w:val="Normal"/>
              <w:widowControl w:val="false"/>
              <w:suppressAutoHyphens w:val="true"/>
              <w:spacing w:lineRule="auto" w:line="276" w:before="0" w:after="0"/>
              <w:jc w:val="center"/>
              <w:rPr>
                <w:rFonts w:ascii="GHEA Grapalat" w:hAnsi="GHEA Grapalat"/>
                <w:sz w:val="24"/>
                <w:szCs w:val="24"/>
              </w:rPr>
            </w:pPr>
            <w:r>
              <w:rPr>
                <w:rFonts w:ascii="GHEA Grapalat" w:hAnsi="GHEA Grapalat"/>
                <w:sz w:val="24"/>
                <w:szCs w:val="24"/>
              </w:rPr>
            </w:r>
          </w:p>
        </w:tc>
      </w:tr>
      <w:tr>
        <w:trPr>
          <w:trHeight w:val="585" w:hRule="atLeast"/>
        </w:trPr>
        <w:tc>
          <w:tcPr>
            <w:tcW w:w="8913" w:type="dxa"/>
            <w:tcBorders>
              <w:start w:val="single" w:sz="4" w:space="0" w:color="000000"/>
              <w:bottom w:val="single" w:sz="4" w:space="0" w:color="000000"/>
            </w:tcBorders>
          </w:tcPr>
          <w:p>
            <w:pPr>
              <w:pStyle w:val="Normal"/>
              <w:widowControl w:val="false"/>
              <w:suppressAutoHyphens w:val="true"/>
              <w:spacing w:lineRule="auto" w:line="276" w:before="0" w:after="0"/>
              <w:jc w:val="both"/>
              <w:rPr>
                <w:rFonts w:ascii="GHEA Grapalat" w:hAnsi="GHEA Grapalat"/>
                <w:sz w:val="24"/>
                <w:szCs w:val="24"/>
              </w:rPr>
            </w:pPr>
            <w:r>
              <w:rPr>
                <w:rFonts w:ascii="GHEA Grapalat" w:hAnsi="GHEA Grapalat"/>
                <w:sz w:val="24"/>
                <w:szCs w:val="24"/>
              </w:rPr>
              <w:t>2․ Նախագծի 6֊րդ հոդվածով՝ Օրենքի 24֊րդ հոդվածում լրացվող 9․1֊ին մասի համաձայն՝ Արտաքին հետախուզության ծառայության հետ համագործակցող և միայն վերջինիս կողմից տրված՝ գաղտնի տեղեկությունների կիրառմամբ աշխատանքներ կատարելու իրավունք ստացած իրավաբանական անձանց մոտ միջգերատեսչական վերահսկողությունը իրականացնում է Արտաքին հետախուզության ծառայությունը։ Արտաքին հետախուզության ծառայության կողմից սույն մասով սահմանված միջգերատեսչական վերահսկողությունն իրականացվում է սույն հոդվածով սահմանված կարգով՝ իրականացնելով լիազոր մարմնի լիազորությունները, որտեղ, ըստ էության, միջգերատեսչական և գերատեսչական հսկողության իրականացման գործիքակազմերի և իրականացվող մարմինների որոշակի շփոթ է առաջանում, բացի այդ պարզաբանման անհրաժեշտություն ունի այն հարցը, թե ԱՀԾ֊ն ինչպես է իրականացնելու լիազոր մարմին լիազորությունները։</w:t>
            </w:r>
          </w:p>
        </w:tc>
        <w:tc>
          <w:tcPr>
            <w:tcW w:w="5761" w:type="dxa"/>
            <w:tcBorders>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center"/>
              <w:rPr>
                <w:rFonts w:ascii="GHEA Grapalat" w:hAnsi="GHEA Grapalat"/>
                <w:b/>
                <w:bCs/>
                <w:sz w:val="24"/>
                <w:szCs w:val="24"/>
              </w:rPr>
            </w:pPr>
            <w:r>
              <w:rPr>
                <w:rFonts w:ascii="GHEA Grapalat" w:hAnsi="GHEA Grapalat"/>
                <w:b/>
                <w:bCs/>
                <w:sz w:val="24"/>
                <w:szCs w:val="24"/>
              </w:rPr>
              <w:t>2․ Ընդունվել է</w:t>
            </w:r>
          </w:p>
          <w:p>
            <w:pPr>
              <w:pStyle w:val="Normal"/>
              <w:widowControl w:val="false"/>
              <w:suppressAutoHyphens w:val="true"/>
              <w:spacing w:lineRule="auto" w:line="276" w:before="0" w:after="0"/>
              <w:jc w:val="both"/>
              <w:rPr>
                <w:rFonts w:ascii="GHEA Grapalat" w:hAnsi="GHEA Grapalat"/>
                <w:sz w:val="24"/>
                <w:szCs w:val="24"/>
              </w:rPr>
            </w:pPr>
            <w:r>
              <w:rPr>
                <w:rFonts w:ascii="GHEA Grapalat" w:hAnsi="GHEA Grapalat"/>
                <w:b w:val="false"/>
                <w:bCs w:val="false"/>
                <w:color w:val="000000"/>
                <w:sz w:val="24"/>
                <w:szCs w:val="24"/>
                <w:shd w:fill="auto" w:val="clear"/>
                <w:lang w:val="hy-AM"/>
              </w:rPr>
              <w:t>Աշխատանքային կարգով քննարկման արդյունքում նախագծում կիրառված դրույթի վերաբերյալ ձեռք է բերվել համաձայնություն։</w:t>
            </w:r>
          </w:p>
        </w:tc>
      </w:tr>
      <w:tr>
        <w:trPr>
          <w:trHeight w:val="585" w:hRule="atLeast"/>
        </w:trPr>
        <w:tc>
          <w:tcPr>
            <w:tcW w:w="8913" w:type="dxa"/>
            <w:tcBorders>
              <w:start w:val="single" w:sz="4" w:space="0" w:color="000000"/>
              <w:bottom w:val="single" w:sz="4" w:space="0" w:color="000000"/>
            </w:tcBorders>
          </w:tcPr>
          <w:p>
            <w:pPr>
              <w:pStyle w:val="Normal"/>
              <w:widowControl w:val="false"/>
              <w:suppressAutoHyphens w:val="true"/>
              <w:spacing w:lineRule="auto" w:line="276" w:before="0" w:after="0"/>
              <w:jc w:val="both"/>
              <w:rPr>
                <w:rFonts w:ascii="GHEA Grapalat" w:hAnsi="GHEA Grapalat"/>
              </w:rPr>
            </w:pPr>
            <w:r>
              <w:rPr>
                <w:rFonts w:ascii="GHEA Grapalat" w:hAnsi="GHEA Grapalat"/>
                <w:sz w:val="24"/>
                <w:szCs w:val="24"/>
              </w:rPr>
              <w:t>3․ Նախագծի 4֊րդ հոդվածով՝ Օրենքի 24֊րդ հոդվածի 6֊րդ մասում լրացվող նախադասության համաձայն՝ Արտաքին հետախուզության ծառայությունում միջգերատեսչական վերահսկողության շրջանակում ստուգումներն իրականացվում են Արտաքին հետախուզության ծառայության պետի հետ նախապես համաձայնեցված դեպքերում և ծավալներով, ինչը կարծում ենք, բովանդակային հակասություն է առաջացնում Օրենքի 24֊րդ հոդվածով Ազգային անվտանգության ծառայության, որպես միջգերատեսչական վերահսկողություն իրականացնող մարմնի համար սահմանված ստուգման ընթացակարգի բովանդակության հետ։</w:t>
            </w:r>
          </w:p>
          <w:p>
            <w:pPr>
              <w:pStyle w:val="Normal"/>
              <w:widowControl w:val="false"/>
              <w:suppressAutoHyphens w:val="true"/>
              <w:spacing w:lineRule="auto" w:line="276" w:before="0" w:after="0"/>
              <w:jc w:val="both"/>
              <w:rPr>
                <w:rFonts w:ascii="GHEA Grapalat" w:hAnsi="GHEA Grapalat"/>
              </w:rPr>
            </w:pPr>
            <w:r>
              <w:rPr>
                <w:rFonts w:ascii="GHEA Grapalat" w:hAnsi="GHEA Grapalat"/>
                <w:sz w:val="24"/>
                <w:szCs w:val="24"/>
              </w:rPr>
              <w:t>Դիցուք, Օրենքի 24֊րդ հոդվածի 2֊րդ մասից բխում է, որ միջգերատեսչական վերահսկողությունը պետական և տեղական ինքնակառավարման մարմիններում, կազմակերպություններում, իրավաբանական անձանց մոտ իրականացնում է լիազոր մարմինը՝ ստուգումների միջոցով՝ գաղտնիության ռեժիմի ապահովման փաստացի վիճակի ուսումնասիրման ու գնահատման, թերությունների և խախտումների հայտնաբերման, պատճառների ճշտման և դրանց վերացման ու կանխման նպատակով, իսկ ԱՀԾ պետի հետ նախապես համաձայնեցված դեպքերում և ծավալներով ստուգումներ իրականացնելու դեպքերում կարող է խաթարվել Օրենքով սահմանված ստուգման գործընթացի նպատակը։</w:t>
            </w:r>
          </w:p>
        </w:tc>
        <w:tc>
          <w:tcPr>
            <w:tcW w:w="5761" w:type="dxa"/>
            <w:tcBorders>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center"/>
              <w:rPr>
                <w:rFonts w:ascii="GHEA Grapalat" w:hAnsi="GHEA Grapalat"/>
                <w:b/>
                <w:bCs/>
                <w:sz w:val="24"/>
                <w:szCs w:val="24"/>
              </w:rPr>
            </w:pPr>
            <w:r>
              <w:rPr>
                <w:rFonts w:ascii="GHEA Grapalat" w:hAnsi="GHEA Grapalat"/>
                <w:b/>
                <w:bCs/>
                <w:sz w:val="24"/>
                <w:szCs w:val="24"/>
              </w:rPr>
              <w:t>3․ Չի ընդունվել</w:t>
            </w:r>
          </w:p>
          <w:p>
            <w:pPr>
              <w:pStyle w:val="Normal"/>
              <w:widowControl w:val="false"/>
              <w:suppressAutoHyphens w:val="true"/>
              <w:spacing w:lineRule="auto" w:line="276" w:before="0" w:after="0"/>
              <w:jc w:val="both"/>
              <w:rPr>
                <w:rFonts w:ascii="GHEA Grapalat" w:hAnsi="GHEA Grapalat"/>
                <w:b/>
                <w:bCs/>
                <w:sz w:val="24"/>
                <w:szCs w:val="24"/>
              </w:rPr>
            </w:pPr>
            <w:r>
              <w:rPr>
                <w:rFonts w:ascii="GHEA Grapalat" w:hAnsi="GHEA Grapalat"/>
                <w:b w:val="false"/>
                <w:bCs w:val="false"/>
                <w:sz w:val="24"/>
                <w:szCs w:val="24"/>
              </w:rPr>
              <w:t>Նախագծով առաջարկվող կարգավորմամբ որևէ հակասություն մատնանշված դրույթի շրջանակներում առկա չէ։ Լիազոր մարմինն իրականացնելու է օրենքով սահմանված միջգերատեսչական վերահսկողությունը,</w:t>
            </w:r>
            <w:r>
              <w:rPr>
                <w:rFonts w:ascii="GHEA Grapalat" w:hAnsi="GHEA Grapalat"/>
                <w:b/>
                <w:bCs/>
                <w:sz w:val="24"/>
                <w:szCs w:val="24"/>
              </w:rPr>
              <w:t xml:space="preserve"> </w:t>
            </w:r>
            <w:r>
              <w:rPr>
                <w:rFonts w:ascii="GHEA Grapalat" w:hAnsi="GHEA Grapalat"/>
                <w:b w:val="false"/>
                <w:bCs w:val="false"/>
                <w:sz w:val="24"/>
                <w:szCs w:val="24"/>
              </w:rPr>
              <w:t xml:space="preserve">միաժամանակ, օրենքի նախագծով առաջարկվում է Արտաքին հետախուզության ծառայությունում վերահսկղություն իրականացնելու ընթացակարգային  առանձնահատկություն՝ այն իրականացնելով Արտաքին հետախուզության ծառայության պետի հետ նախապես համաձայնեցված դեպքերում և ծավալով, բացառությամբ </w:t>
            </w:r>
            <w:r>
              <w:rPr>
                <w:rFonts w:eastAsia="Times New Roman" w:cs="Times New Roman" w:ascii="GHEA Grapalat" w:hAnsi="GHEA Grapalat"/>
                <w:b w:val="false"/>
                <w:bCs w:val="false"/>
                <w:color w:val="000000"/>
                <w:sz w:val="24"/>
                <w:szCs w:val="24"/>
                <w:shd w:fill="auto" w:val="clear"/>
                <w:lang w:val="hy-AM"/>
              </w:rPr>
              <w:t>գաղտնիության ռեժիմի պահպանման տեխնիկական հագեցվածության և կահավորվածության պայմաններն ստուգելու դեպքերի։</w:t>
            </w:r>
          </w:p>
          <w:p>
            <w:pPr>
              <w:pStyle w:val="Normal"/>
              <w:widowControl w:val="false"/>
              <w:suppressAutoHyphens w:val="true"/>
              <w:spacing w:lineRule="auto" w:line="276" w:before="0" w:after="0"/>
              <w:jc w:val="both"/>
              <w:rPr>
                <w:highlight w:val="none"/>
                <w:shd w:fill="auto" w:val="clear"/>
              </w:rPr>
            </w:pPr>
            <w:r>
              <w:rPr>
                <w:shd w:fill="auto" w:val="clear"/>
              </w:rPr>
            </w:r>
          </w:p>
          <w:p>
            <w:pPr>
              <w:pStyle w:val="Normal"/>
              <w:widowControl w:val="false"/>
              <w:suppressAutoHyphens w:val="true"/>
              <w:spacing w:lineRule="auto" w:line="276" w:before="0" w:after="0"/>
              <w:jc w:val="both"/>
              <w:rPr>
                <w:b w:val="false"/>
                <w:bCs w:val="false"/>
              </w:rPr>
            </w:pPr>
            <w:r>
              <w:rPr>
                <w:b w:val="false"/>
                <w:bCs w:val="false"/>
              </w:rPr>
            </w:r>
          </w:p>
        </w:tc>
      </w:tr>
      <w:tr>
        <w:trPr>
          <w:trHeight w:val="585" w:hRule="atLeast"/>
        </w:trPr>
        <w:tc>
          <w:tcPr>
            <w:tcW w:w="8913" w:type="dxa"/>
            <w:tcBorders>
              <w:start w:val="single" w:sz="4" w:space="0" w:color="000000"/>
              <w:bottom w:val="single" w:sz="4" w:space="0" w:color="000000"/>
            </w:tcBorders>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rPr>
              <w:t>Պետաիրավական վարչություն</w:t>
            </w:r>
          </w:p>
          <w:p>
            <w:pPr>
              <w:pStyle w:val="Normal"/>
              <w:widowControl w:val="false"/>
              <w:suppressAutoHyphens w:val="true"/>
              <w:spacing w:lineRule="auto" w:line="276" w:before="0" w:after="0"/>
              <w:jc w:val="both"/>
              <w:rPr>
                <w:sz w:val="24"/>
                <w:szCs w:val="24"/>
              </w:rPr>
            </w:pPr>
            <w:r>
              <w:rPr>
                <w:rFonts w:ascii="GHEA Grapalat" w:hAnsi="GHEA Grapalat"/>
                <w:sz w:val="24"/>
                <w:szCs w:val="24"/>
              </w:rPr>
              <w:t>1․ Նախագծով սահմանվում է, որ Արտաքին հետախուզության ծառայության կողմից (այսուհետ՝ Ծառայություն) ստացված պետական գաղտնիք պարունակող տեղեկություններին առնչվելու թույլտվությունը կամ գաղտնի տեղեկությունների կիրառմամբ աշխատանքներ կատարելու թույլտվությունը կիրառելի է միայն Ծառայությունում աշխատանքի կամ վերջինիս հետ համագործակցության շրջանակում պետական գաղտնիք պարունակող տեղեկություններին առնչվելու համար։ Դրույթի նման ձևակերպման պայմաններում, պարզ չէ, թե արդյոք Ծառայությունում հանրային պաշտոն զբաղեցնող անձինք Ծառայությունից դուրս այլ պետական մարմինների հետ աշխատանքում համարվելու են համապատասխան տեղեկություններին առնչվելու թույլտվություն ունեցողներ, թե ոչ՝ հաշվի առնելով այն, որ առաջարկվող կարգավորման պայմաններում, ըստ էության, ստացվում է, որ վերջիններիս գործունեությունը, որպես համապատասխան թույլտվություն ունեցողներ, խիստ սահմանափակվելու է միայն Ծառայությունում աշխատանքի շրջանակներում։</w:t>
            </w:r>
          </w:p>
        </w:tc>
        <w:tc>
          <w:tcPr>
            <w:tcW w:w="5761" w:type="dxa"/>
            <w:tcBorders>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center"/>
              <w:rPr>
                <w:sz w:val="24"/>
                <w:szCs w:val="24"/>
              </w:rPr>
            </w:pPr>
            <w:r>
              <w:rPr>
                <w:rFonts w:ascii="GHEA Grapalat" w:hAnsi="GHEA Grapalat"/>
                <w:b/>
                <w:bCs/>
                <w:sz w:val="24"/>
                <w:szCs w:val="24"/>
              </w:rPr>
              <w:t xml:space="preserve">1․ Ընդունվել է </w:t>
            </w:r>
          </w:p>
          <w:p>
            <w:pPr>
              <w:pStyle w:val="Normal"/>
              <w:widowControl w:val="false"/>
              <w:suppressAutoHyphens w:val="true"/>
              <w:spacing w:lineRule="auto" w:line="276" w:before="0" w:after="0"/>
              <w:jc w:val="both"/>
              <w:rPr>
                <w:sz w:val="24"/>
                <w:szCs w:val="24"/>
              </w:rPr>
            </w:pPr>
            <w:r>
              <w:rPr>
                <w:rFonts w:eastAsia="Times New Roman" w:cs="Calibri" w:ascii="GHEA Grapalat" w:hAnsi="GHEA Grapalat"/>
                <w:b w:val="false"/>
                <w:bCs w:val="false"/>
                <w:i w:val="false"/>
                <w:caps w:val="false"/>
                <w:smallCaps w:val="false"/>
                <w:color w:val="000000"/>
                <w:spacing w:val="0"/>
                <w:sz w:val="24"/>
                <w:szCs w:val="24"/>
                <w:shd w:fill="auto" w:val="clear"/>
                <w:lang w:val="hy-AM"/>
              </w:rPr>
              <w:t>Աշխատանքային կարգով քննարկվել և  համաձայնեցվել է նախագծի տեսքստում կատարած համապատասխան փոփոխությունը։</w:t>
            </w:r>
          </w:p>
        </w:tc>
      </w:tr>
      <w:tr>
        <w:trPr>
          <w:trHeight w:val="585" w:hRule="atLeast"/>
        </w:trPr>
        <w:tc>
          <w:tcPr>
            <w:tcW w:w="8913" w:type="dxa"/>
            <w:tcBorders>
              <w:start w:val="single" w:sz="4" w:space="0" w:color="000000"/>
              <w:bottom w:val="single" w:sz="4" w:space="0" w:color="000000"/>
            </w:tcBorders>
          </w:tcPr>
          <w:p>
            <w:pPr>
              <w:pStyle w:val="Normal"/>
              <w:widowControl w:val="false"/>
              <w:suppressAutoHyphens w:val="true"/>
              <w:spacing w:lineRule="auto" w:line="276" w:before="0" w:after="0"/>
              <w:jc w:val="both"/>
              <w:rPr>
                <w:rFonts w:ascii="GHEA Grapalat" w:hAnsi="GHEA Grapalat"/>
              </w:rPr>
            </w:pPr>
            <w:r>
              <w:rPr>
                <w:rFonts w:ascii="GHEA Grapalat" w:hAnsi="GHEA Grapalat"/>
                <w:sz w:val="24"/>
                <w:szCs w:val="24"/>
              </w:rPr>
              <w:t>2․ Նախագծով սահմանվում է, որ պետական գաղտնիք պարունակող տեղեկություններին առնչվելու իրավունքի տրամադրումը կարող է մերժվել, երբ համապատասխան անձն աշխատել է օտարերկրյա պետության հատուկ ծառայությունում, բացառությամբ, եթե Ծառայության կողմից տրամադրվող թույլտվության դեպքում՝ Ծառայության գնահատմամբ վերջինիս գործունեությունը ՀՀ ազգային անվտանգության համար սպառնալիք չի պարունակում։ Մինչդեռ, պարզ չէ, թե Ծառայության կողմից ինչպես է հնարավոր լինելու ամբողջ ծավալով գնահատել ազգային անվտանգության համար սպառնալիքի առկայության կամ բացակայության հարցը՝ հաշվի առնելով օրենսդրությամբ Ծառայությանը վերապահված է գործունեության շրջանակը։ Խնդիրն առավել ընդգծվում է այն պարագայում, որ նշված կառուցակարգն ինքնին ազգային անվտանգության տեսանկյունից լուրջ մարտահրավերներ է պարունակում։</w:t>
            </w:r>
          </w:p>
        </w:tc>
        <w:tc>
          <w:tcPr>
            <w:tcW w:w="5761" w:type="dxa"/>
            <w:tcBorders>
              <w:start w:val="single" w:sz="4" w:space="0" w:color="000000"/>
              <w:bottom w:val="single" w:sz="4" w:space="0" w:color="000000"/>
              <w:end w:val="single" w:sz="4" w:space="0" w:color="000000"/>
            </w:tcBorders>
          </w:tcPr>
          <w:p>
            <w:pPr>
              <w:pStyle w:val="Normal"/>
              <w:widowControl w:val="false"/>
              <w:spacing w:lineRule="auto" w:line="276" w:before="0" w:after="0"/>
              <w:jc w:val="center"/>
              <w:rPr>
                <w:rFonts w:ascii="GHEA Grapalat" w:hAnsi="GHEA Grapalat"/>
                <w:b/>
                <w:bCs/>
                <w:sz w:val="24"/>
                <w:szCs w:val="24"/>
              </w:rPr>
            </w:pPr>
            <w:r>
              <w:rPr>
                <w:rFonts w:ascii="GHEA Grapalat" w:hAnsi="GHEA Grapalat"/>
                <w:b/>
                <w:bCs/>
                <w:sz w:val="24"/>
                <w:szCs w:val="24"/>
              </w:rPr>
              <w:t>2․ Չի ընդունվել</w:t>
            </w:r>
          </w:p>
          <w:p>
            <w:pPr>
              <w:pStyle w:val="Normal"/>
              <w:widowControl w:val="false"/>
              <w:spacing w:lineRule="auto" w:line="276" w:before="0" w:after="0"/>
              <w:jc w:val="both"/>
              <w:rPr>
                <w:rFonts w:ascii="GHEA Grapalat" w:hAnsi="GHEA Grapalat"/>
                <w:sz w:val="24"/>
                <w:szCs w:val="24"/>
              </w:rPr>
            </w:pPr>
            <w:r>
              <w:rPr>
                <w:rFonts w:ascii="GHEA Grapalat" w:hAnsi="GHEA Grapalat"/>
                <w:sz w:val="24"/>
                <w:szCs w:val="24"/>
              </w:rPr>
              <w:t>Աշխատանքային կարգով իրականացված քննարկման շրջանակներում նախագծի տեքստում ներառված դրույթի վերաբերյալ տրված հիմնավորման արդյունքում ձեռք է բերվել համաձայնություն։</w:t>
            </w:r>
          </w:p>
        </w:tc>
      </w:tr>
      <w:tr>
        <w:trPr>
          <w:trHeight w:val="585" w:hRule="atLeast"/>
        </w:trPr>
        <w:tc>
          <w:tcPr>
            <w:tcW w:w="8913" w:type="dxa"/>
            <w:tcBorders>
              <w:start w:val="single" w:sz="4" w:space="0" w:color="000000"/>
              <w:bottom w:val="single" w:sz="4" w:space="0" w:color="000000"/>
            </w:tcBorders>
          </w:tcPr>
          <w:p>
            <w:pPr>
              <w:pStyle w:val="Normal"/>
              <w:widowControl w:val="false"/>
              <w:suppressAutoHyphens w:val="true"/>
              <w:spacing w:lineRule="auto" w:line="276" w:before="0" w:after="0"/>
              <w:jc w:val="both"/>
              <w:rPr>
                <w:rFonts w:ascii="GHEA Grapalat" w:hAnsi="GHEA Grapalat"/>
                <w:sz w:val="24"/>
                <w:szCs w:val="24"/>
              </w:rPr>
            </w:pPr>
            <w:r>
              <w:rPr>
                <w:rFonts w:ascii="GHEA Grapalat" w:hAnsi="GHEA Grapalat"/>
                <w:sz w:val="24"/>
                <w:szCs w:val="24"/>
              </w:rPr>
              <w:t>3․ Նախագծային կարգավորումից պարզ չէ, թե ինչպես պետք է համապատասխան անձանց տրամադրվի գաղտնիք պարունակող տեղեկություններին առնչվելու կամ գաղտնի տեղեկությունների կիրառմամբ աշխատանքներ կատարելու թույլտվությունը։ Ընդ որում, հարկ է նկատի ունենալ, որ գործող ընդհանուր կարգերը ենթադրաբար ամբողջ ծավալով չեն համապատասխանում և, ըստ այդմ, ամբողջ ծավալով չեն կարող կանոնակարգել գործընթացը՝ նախագծով նախատեսված ծառայության կողմից համապատասխան թույլտվության տրամադրման առանձնահատկությունների հաշվառմամբ։</w:t>
            </w:r>
          </w:p>
        </w:tc>
        <w:tc>
          <w:tcPr>
            <w:tcW w:w="5761" w:type="dxa"/>
            <w:tcBorders>
              <w:start w:val="single" w:sz="4" w:space="0" w:color="000000"/>
              <w:bottom w:val="single" w:sz="4" w:space="0" w:color="000000"/>
              <w:end w:val="single" w:sz="4" w:space="0" w:color="000000"/>
            </w:tcBorders>
          </w:tcPr>
          <w:p>
            <w:pPr>
              <w:pStyle w:val="Normal"/>
              <w:widowControl w:val="false"/>
              <w:suppressAutoHyphens w:val="true"/>
              <w:spacing w:lineRule="auto" w:line="276" w:before="0" w:after="0"/>
              <w:jc w:val="center"/>
              <w:rPr>
                <w:b/>
                <w:bCs/>
              </w:rPr>
            </w:pPr>
            <w:r>
              <w:rPr>
                <w:rFonts w:ascii="GHEA Grapalat" w:hAnsi="GHEA Grapalat"/>
                <w:b/>
                <w:bCs/>
                <w:color w:val="000000"/>
                <w:sz w:val="24"/>
                <w:szCs w:val="24"/>
                <w:shd w:fill="auto" w:val="clear"/>
                <w:lang w:val="hy-AM"/>
              </w:rPr>
              <w:t>3․ Չի ընդունվել</w:t>
            </w:r>
          </w:p>
          <w:p>
            <w:pPr>
              <w:pStyle w:val="Normal"/>
              <w:widowControl w:val="false"/>
              <w:suppressAutoHyphens w:val="true"/>
              <w:spacing w:lineRule="auto" w:line="276" w:before="0" w:after="0"/>
              <w:jc w:val="both"/>
              <w:rPr>
                <w:rFonts w:ascii="GHEA Grapalat" w:hAnsi="GHEA Grapalat"/>
                <w:sz w:val="24"/>
                <w:szCs w:val="24"/>
              </w:rPr>
            </w:pPr>
            <w:r>
              <w:rPr>
                <w:rFonts w:ascii="GHEA Grapalat" w:hAnsi="GHEA Grapalat"/>
                <w:b w:val="false"/>
                <w:bCs w:val="false"/>
                <w:color w:val="000000"/>
                <w:sz w:val="24"/>
                <w:szCs w:val="24"/>
                <w:shd w:fill="auto" w:val="clear"/>
                <w:lang w:val="hy-AM"/>
              </w:rPr>
              <w:t>Աշխատանքային կարգով քննարկման արդյունքում նախագծում ներառված դրույթի ձևակերպման վերաբերյալ ձեռք է բերվել համաձայնություն</w:t>
            </w:r>
            <w:r>
              <w:rPr>
                <w:rFonts w:ascii="GHEA Grapalat" w:hAnsi="GHEA Grapalat"/>
                <w:sz w:val="24"/>
                <w:szCs w:val="24"/>
              </w:rPr>
              <w:t>։</w:t>
            </w:r>
          </w:p>
        </w:tc>
      </w:tr>
    </w:tbl>
    <w:p>
      <w:pPr>
        <w:pStyle w:val="Normal"/>
        <w:spacing w:before="0" w:after="0"/>
        <w:rPr>
          <w:rFonts w:ascii="GHEA Grapalat" w:hAnsi="GHEA Grapalat"/>
          <w:sz w:val="24"/>
          <w:szCs w:val="24"/>
        </w:rPr>
      </w:pPr>
      <w:r>
        <w:rPr>
          <w:rFonts w:ascii="GHEA Grapalat" w:hAnsi="GHEA Grapalat"/>
          <w:sz w:val="24"/>
          <w:szCs w:val="24"/>
        </w:rPr>
      </w:r>
    </w:p>
    <w:sectPr>
      <w:footerReference w:type="even" r:id="rId2"/>
      <w:footerReference w:type="default" r:id="rId3"/>
      <w:footerReference w:type="first" r:id="rId4"/>
      <w:type w:val="nextPage"/>
      <w:pgSz w:orient="landscape" w:w="15840" w:h="12240"/>
      <w:pgMar w:left="738" w:right="702" w:gutter="0" w:header="0" w:top="1260" w:footer="72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Segoe UI">
    <w:charset w:val="01" w:characterSet="utf-8"/>
    <w:family w:val="roman"/>
    <w:pitch w:val="variable"/>
  </w:font>
  <w:font w:name="Liberation Sans">
    <w:altName w:val="Arial"/>
    <w:charset w:val="01" w:characterSet="utf-8"/>
    <w:family w:val="roman"/>
    <w:pitch w:val="variable"/>
  </w:font>
  <w:font w:name="Times New Roman">
    <w:charset w:val="01" w:characterSet="utf-8"/>
    <w:family w:val="roman"/>
    <w:pitch w:val="variable"/>
  </w:font>
  <w:font w:name="GHEA Grapalat">
    <w:charset w:val="01" w:characterSet="utf-8"/>
    <w:family w:val="roman"/>
    <w:pitch w:val="variable"/>
  </w:font>
  <w:font w:name="Courier New">
    <w:charset w:val="01" w:characterSet="utf-8"/>
    <w:family w:val="roman"/>
    <w:pitch w:val="variable"/>
  </w:font>
  <w:font w:name="GHEA Grapalat">
    <w:charset w:val="01" w:characterSet="utf-8"/>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21</w:t>
    </w:r>
    <w:r>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21</w:t>
    </w:r>
    <w:r>
      <w:rPr/>
      <w:fldChar w:fldCharType="end"/>
    </w:r>
  </w:p>
  <w:p>
    <w:pPr>
      <w:pStyle w:val="Footer"/>
      <w:rPr/>
    </w:pPr>
    <w:r>
      <w:rPr/>
    </w:r>
  </w:p>
</w:ftr>
</file>

<file path=word/settings.xml><?xml version="1.0" encoding="utf-8"?>
<w:settings xmlns:w="http://schemas.openxmlformats.org/wordprocessingml/2006/main">
  <w:zoom w:percent="112"/>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Noto Sans Arabic"/>
        <w:sz w:val="22"/>
        <w:szCs w:val="22"/>
        <w:lang w:val="en-US" w:eastAsia="en-US" w:bidi="ar-SA"/>
      </w:rPr>
    </w:rPrDefault>
    <w:pPrDefault>
      <w:pPr>
        <w:suppressAutoHyphens w:val="true"/>
      </w:pPr>
    </w:pPrDefault>
  </w:docDefaults>
  <w:style w:type="paragraph" w:styleId="Normal">
    <w:name w:val="Normal"/>
    <w:qFormat/>
    <w:pPr>
      <w:widowControl/>
      <w:suppressAutoHyphens w:val="true"/>
      <w:overflowPunct w:val="false"/>
      <w:bidi w:val="0"/>
      <w:spacing w:lineRule="auto" w:line="259" w:before="0" w:after="160"/>
      <w:jc w:val="start"/>
    </w:pPr>
    <w:rPr>
      <w:rFonts w:ascii="Calibri" w:hAnsi="Calibri" w:eastAsia="Calibri" w:cs="Noto Sans Arabic"/>
      <w:color w:val="auto"/>
      <w:kern w:val="0"/>
      <w:sz w:val="22"/>
      <w:szCs w:val="22"/>
      <w:lang w:val="en-US" w:eastAsia="en-US" w:bidi="ar-SA"/>
    </w:rPr>
  </w:style>
  <w:style w:type="character" w:styleId="DefaultParagraphFont">
    <w:name w:val="Default Paragraph Font"/>
    <w:qFormat/>
    <w:rPr/>
  </w:style>
  <w:style w:type="character" w:styleId="annotationreference">
    <w:name w:val="annotation reference"/>
    <w:basedOn w:val="DefaultParagraphFont"/>
    <w:qFormat/>
    <w:rPr>
      <w:sz w:val="16"/>
      <w:szCs w:val="16"/>
    </w:rPr>
  </w:style>
  <w:style w:type="character" w:styleId="CommentTextChar">
    <w:name w:val="Comment Text Char"/>
    <w:basedOn w:val="DefaultParagraphFont"/>
    <w:link w:val="AnnotationText"/>
    <w:qFormat/>
    <w:rPr>
      <w:sz w:val="20"/>
      <w:szCs w:val="20"/>
    </w:rPr>
  </w:style>
  <w:style w:type="character" w:styleId="CommentSubjectChar">
    <w:name w:val="Comment Subject Char"/>
    <w:basedOn w:val="CommentTextChar"/>
    <w:link w:val="annotationsubject"/>
    <w:qFormat/>
    <w:rPr>
      <w:b/>
      <w:bCs/>
      <w:sz w:val="20"/>
      <w:szCs w:val="20"/>
    </w:rPr>
  </w:style>
  <w:style w:type="character" w:styleId="BalloonTextChar">
    <w:name w:val="Balloon Text Char"/>
    <w:basedOn w:val="DefaultParagraphFont"/>
    <w:link w:val="BalloonText"/>
    <w:qFormat/>
    <w:rPr>
      <w:rFonts w:ascii="Segoe UI" w:hAnsi="Segoe UI" w:cs="Segoe UI"/>
      <w:sz w:val="18"/>
      <w:szCs w:val="18"/>
    </w:rPr>
  </w:style>
  <w:style w:type="character" w:styleId="HeaderChar">
    <w:name w:val="Header Char"/>
    <w:basedOn w:val="DefaultParagraphFont"/>
    <w:link w:val="Header"/>
    <w:qFormat/>
    <w:rPr/>
  </w:style>
  <w:style w:type="character" w:styleId="FooterChar">
    <w:name w:val="Footer Char"/>
    <w:basedOn w:val="DefaultParagraphFont"/>
    <w:link w:val="Footer"/>
    <w:qFormat/>
    <w:rPr/>
  </w:style>
  <w:style w:type="character" w:styleId="StrongEmphasis">
    <w:name w:val="Strong Emphasis"/>
    <w:qFormat/>
    <w:rPr>
      <w:b/>
      <w:bCs/>
    </w:rPr>
  </w:style>
  <w:style w:type="character" w:styleId="Strong">
    <w:name w:val="Strong"/>
    <w:basedOn w:val="DefaultParagraphFont"/>
    <w:qFormat/>
    <w:rPr>
      <w:b/>
      <w:bCs/>
    </w:rPr>
  </w:style>
  <w:style w:type="character" w:styleId="LineNumber">
    <w:name w:val="Line Number"/>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AnnotationText">
    <w:name w:val="Annotation Text"/>
    <w:basedOn w:val="Normal"/>
    <w:link w:val="CommentTextChar"/>
    <w:qFormat/>
    <w:pPr>
      <w:spacing w:lineRule="auto" w:line="240"/>
    </w:pPr>
    <w:rPr>
      <w:sz w:val="20"/>
      <w:szCs w:val="20"/>
    </w:rPr>
  </w:style>
  <w:style w:type="paragraph" w:styleId="annotationsubject">
    <w:name w:val="annotation subject"/>
    <w:basedOn w:val="AnnotationText"/>
    <w:next w:val="AnnotationText"/>
    <w:link w:val="CommentSubjectChar"/>
    <w:qFormat/>
    <w:pPr/>
    <w:rPr>
      <w:b/>
      <w:bCs/>
    </w:rPr>
  </w:style>
  <w:style w:type="paragraph" w:styleId="BalloonText">
    <w:name w:val="Balloon Text"/>
    <w:basedOn w:val="Normal"/>
    <w:link w:val="BalloonTextChar"/>
    <w:qFormat/>
    <w:pPr>
      <w:spacing w:lineRule="auto" w:line="240" w:before="0" w:after="0"/>
    </w:pPr>
    <w:rPr>
      <w:rFonts w:ascii="Segoe UI" w:hAnsi="Segoe UI" w:cs="Segoe UI"/>
      <w:sz w:val="18"/>
      <w:szCs w:val="18"/>
    </w:rPr>
  </w:style>
  <w:style w:type="paragraph" w:styleId="HeaderandFooter">
    <w:name w:val="Header and Footer"/>
    <w:basedOn w:val="Normal"/>
    <w:qFormat/>
    <w:pPr/>
    <w:rPr/>
  </w:style>
  <w:style w:type="paragraph" w:styleId="Header">
    <w:name w:val="Header"/>
    <w:basedOn w:val="Normal"/>
    <w:link w:val="HeaderChar"/>
    <w:pPr>
      <w:tabs>
        <w:tab w:val="clear" w:pos="720"/>
        <w:tab w:val="center" w:pos="4680" w:leader="none"/>
        <w:tab w:val="right" w:pos="9360" w:leader="none"/>
      </w:tabs>
      <w:spacing w:lineRule="auto" w:line="240" w:before="0" w:after="0"/>
    </w:pPr>
    <w:rPr/>
  </w:style>
  <w:style w:type="paragraph" w:styleId="Footer">
    <w:name w:val="Footer"/>
    <w:basedOn w:val="Normal"/>
    <w:link w:val="FooterChar"/>
    <w:pPr>
      <w:tabs>
        <w:tab w:val="clear" w:pos="720"/>
        <w:tab w:val="center" w:pos="4680" w:leader="none"/>
        <w:tab w:val="right" w:pos="9360" w:leader="none"/>
      </w:tabs>
      <w:spacing w:lineRule="auto" w:line="240" w:before="0" w:after="0"/>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paragraph" w:styleId="NormalWeb">
    <w:name w:val="Normal (Web)"/>
    <w:basedOn w:val="Normal"/>
    <w:qFormat/>
    <w:pPr>
      <w:spacing w:lineRule="auto" w:line="240" w:beforeAutospacing="1" w:afterAutospacing="1"/>
    </w:pPr>
    <w:rPr>
      <w:rFonts w:ascii="Times New Roman" w:hAnsi="Times New Roman" w:eastAsia="Times New Roman"/>
      <w:sz w:val="24"/>
      <w:szCs w:val="24"/>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1707</TotalTime>
  <Application>LibreOffice/24.2.6.2$Linux_X86_64 LibreOffice_project/420$Build-2</Application>
  <AppVersion>15.0000</AppVersion>
  <Pages>21</Pages>
  <Words>4075</Words>
  <Characters>31963</Characters>
  <CharactersWithSpaces>36016</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2022-12-07T05:34:00Z</dcterms:created>
  <dc:creator>Narek Abrahamyan</dc:creator>
  <dc:description/>
  <dc:language>en-US</dc:language>
  <cp:lastModifiedBy/>
  <cp:lastPrinted>2024-10-08T09:28:37Z</cp:lastPrinted>
  <dcterms:modified xsi:type="dcterms:W3CDTF">2024-11-08T11:50:54Z</dcterms:modified>
  <cp:revision>252</cp:revision>
  <dc:subject/>
  <dc:title/>
  <cp:keywords>https://mul2.gov.am/tasks/1062060/oneclick?token=935c18819893b76bcd75fb6d864cd7ee</cp:keywords>
</cp:coreProperties>
</file>

<file path=docProps/custom.xml><?xml version="1.0" encoding="utf-8"?>
<Properties xmlns="http://schemas.openxmlformats.org/officeDocument/2006/custom-properties" xmlns:vt="http://schemas.openxmlformats.org/officeDocument/2006/docPropsVTypes"/>
</file>