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7E9" w:rsidRDefault="003D77E9" w:rsidP="003D77E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3D77E9" w:rsidRDefault="003D77E9" w:rsidP="003D77E9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2015 ԹՎԱԿԱՆԻ ՆՈՅԵՄԲԵՐԻ 19-Ի N 1340-Ն ՈՐՈՇՄԱՆ ՄԵՋ ՓՈՓՈԽՈՒԹՅՈՒՆ ԵՎ ԼՐԱՑՈՒՄ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D77E9" w:rsidRDefault="003D77E9" w:rsidP="003D77E9">
      <w:pPr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82-րդ հոդվածի 5-րդ մասի համաձայն՝ մաքսային հայտարարագիրը թղթային կրիչով ներկայացնելու դեպքում, եթե հայտարարատուն չի կարող ներկայացնել մաքսային հայտարարագրի էլեկտրոնային օրինակը, ապա մաքսային մարմինը, Եվրասիական տնտեսական միության մաքսային օրենսգրքի 109-րդ հոդվածի 5-րդ կետին համապատասխան, կարող է հայտարարատուի հիմնավորված դիմումի և նրա ներկայացրած մաքսային հայտարարագրի հիմքով մաքսային հայտարարագրման էլեկտրոնային համակարգում ձևավորել մաքսային հայտարարագրի էլեկտրոնային տեսքը:</w:t>
      </w:r>
    </w:p>
    <w:p w:rsidR="003D77E9" w:rsidRDefault="003D77E9" w:rsidP="003D77E9">
      <w:pPr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Նույն հոդվածի 6-րդ մասի համաձայն՝ ՀՀ կառավարությունը կարող է սահմանել այն ապրանքների ցանկը, մաքսային ընթացակարգերը և դեպքերը, որոնց համար մաքսային հայտարարագիրը գրավոր ներկայացնելու դեպքում էլեկտրոնային օրինակ չի պահանջվում: Համապատասխան դեպքերը սահմանված են ՀՀ կառավարության 2015 թվականի նոյեմբերի 19-ի N 1340-Ն որոշմամբ։</w:t>
      </w:r>
    </w:p>
    <w:p w:rsidR="003D77E9" w:rsidRDefault="003D77E9" w:rsidP="003D77E9">
      <w:pPr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Ներկայումս իրականացվող՝ միջազգային փոխադրումներ իրականացնող տրանսպորտային միջոցների մաքսային հայտարարագրման էլեկտրոնային համակարգի ներդրման շրջանակներում առաջացել է տրանսպորտային միջոցի հայտարարագրի՝ հայտարարատուի դիմումի հիման վրա էլեկտրոնային տեսքի ձևավորման համար համապատասխան իրավական հիմքերի սահմանման անհրաժեշտություն։ Մասնավորապես, նախատեսվում է հայտարարատու անձանց օժանդակության նպատակով, վերջիններիս կողմից ներկայացվող՝ տրանսպորտային միջոցի փաստաթղթերի հիման վրա մաքսային մարմնի պաշտոնատար անձանց կողմից ձևավորել տրանսպորտային միջոցի հայտարարագրի էլեկտրոնային տեսքը՝ մաքսային մարմինների կողմից հաշվառման և հսկողության նպատակով, իսկ հայտարարատուի կողմից ներկայացված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փաստաթղթերը դիտարկել որպես տրանսպորտային միջոցի հայտարարագիր՝ Եվրասիական տնտեսական միության մաքսային օրենսգրքի 278-րդ հոդվածին համապատասխան։ </w:t>
      </w:r>
    </w:p>
    <w:p w:rsidR="003D77E9" w:rsidRDefault="003D77E9" w:rsidP="003D77E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D77E9" w:rsidRDefault="003D77E9" w:rsidP="003D77E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սահմանել՝</w:t>
      </w:r>
    </w:p>
    <w:p w:rsidR="003D77E9" w:rsidRDefault="003D77E9" w:rsidP="003D77E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տրանսպորտային միջոցի հայտարարագրի էլեկտրոնային օրինակի՝ հայտարարատուի կողմից մաքսային մարմին չներկայացման համապատասխան դեպք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D77E9" w:rsidRDefault="003D77E9" w:rsidP="003D77E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տրանսպորտային միջոցի հայտարարագրի էլեկտրոնային տեսքի ձևավորման ժամկետները, նպատակները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484834" w:rsidRPr="00484834" w:rsidRDefault="003D77E9" w:rsidP="003D77E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հայտարարագրման էլեկտրոնային համակարգում ձևավորվող </w:t>
      </w:r>
      <w:r w:rsidR="00484834">
        <w:rPr>
          <w:rFonts w:ascii="GHEA Grapalat" w:hAnsi="GHEA Grapalat"/>
          <w:color w:val="000000"/>
          <w:sz w:val="24"/>
          <w:szCs w:val="24"/>
          <w:lang w:eastAsia="hy-AM"/>
        </w:rPr>
        <w:t>տեղեկությունները</w:t>
      </w:r>
      <w:r w:rsidR="00484834"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3D77E9" w:rsidRPr="00484834" w:rsidRDefault="00484834" w:rsidP="003D77E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84834">
        <w:rPr>
          <w:rFonts w:ascii="GHEA Grapalat" w:hAnsi="GHEA Grapalat"/>
          <w:color w:val="000000"/>
          <w:sz w:val="24"/>
          <w:szCs w:val="24"/>
          <w:lang w:eastAsia="hy-AM"/>
        </w:rPr>
        <w:t>հայտարարատուի կողմից մաքսային մարմին տրանսպորտային</w:t>
      </w:r>
      <w:r w:rsidR="00117CEF">
        <w:rPr>
          <w:rFonts w:ascii="GHEA Grapalat" w:hAnsi="GHEA Grapalat"/>
          <w:color w:val="000000"/>
          <w:sz w:val="24"/>
          <w:szCs w:val="24"/>
          <w:lang w:eastAsia="hy-AM"/>
        </w:rPr>
        <w:t xml:space="preserve"> միջոցի հայտարարագրի ձևավորման համար ներկայացվող դիմումի ձևը։</w:t>
      </w:r>
      <w:r w:rsidRPr="0048483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3D77E9" w:rsidRPr="0048483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3D77E9" w:rsidRDefault="003D77E9" w:rsidP="003D77E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մաքսային հսկողության և հաշվառման նպատակով ապահովել տրանսպորտային միջոցների հայտարարագրերի էլեկտրոնային տեսքի ձևավորման հնարավորությունը։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D77E9" w:rsidRDefault="003D77E9" w:rsidP="003D77E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 w:rsidRPr="003D77E9"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>2.1.4. Մաքսային հսկողության արդյունավետության բարձրացում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 միջոցառմանը։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3D77E9" w:rsidRDefault="003D77E9" w:rsidP="003D77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3D77E9" w:rsidRDefault="003D77E9" w:rsidP="003D77E9">
      <w:pPr>
        <w:shd w:val="clear" w:color="auto" w:fill="FFFFFF"/>
        <w:tabs>
          <w:tab w:val="left" w:pos="977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F42400" w:rsidRPr="00352D7D" w:rsidRDefault="003D77E9" w:rsidP="00352D7D">
      <w:pPr>
        <w:shd w:val="clear" w:color="auto" w:fill="FFFFFF"/>
        <w:tabs>
          <w:tab w:val="left" w:pos="977"/>
        </w:tabs>
        <w:spacing w:after="0" w:line="360" w:lineRule="auto"/>
        <w:ind w:firstLine="567"/>
        <w:jc w:val="both"/>
        <w:rPr>
          <w:rFonts w:ascii="Sylfaen" w:hAnsi="Sylfaen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</w:t>
      </w:r>
      <w:r w:rsidR="00352D7D" w:rsidRPr="00352D7D">
        <w:rPr>
          <w:rFonts w:ascii="GHEA Grapalat" w:hAnsi="GHEA Grapalat"/>
          <w:bCs/>
          <w:color w:val="000000"/>
          <w:sz w:val="24"/>
          <w:szCs w:val="24"/>
          <w:lang w:eastAsia="hy-AM"/>
        </w:rPr>
        <w:t>:</w:t>
      </w:r>
      <w:bookmarkStart w:id="0" w:name="_GoBack"/>
      <w:bookmarkEnd w:id="0"/>
    </w:p>
    <w:sectPr w:rsidR="00F42400" w:rsidRPr="00352D7D" w:rsidSect="003D77E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72901"/>
    <w:multiLevelType w:val="hybridMultilevel"/>
    <w:tmpl w:val="1026C792"/>
    <w:lvl w:ilvl="0" w:tplc="C07830F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B4"/>
    <w:rsid w:val="00117CEF"/>
    <w:rsid w:val="00352D7D"/>
    <w:rsid w:val="003D77E9"/>
    <w:rsid w:val="003F6DB4"/>
    <w:rsid w:val="00484834"/>
    <w:rsid w:val="00F4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1473A"/>
  <w15:chartTrackingRefBased/>
  <w15:docId w15:val="{A13383E8-CE04-48AB-B68B-D4B1C571B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7E9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4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181F2-CAB5-48C0-9B1D-2EDC03C7E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6</cp:revision>
  <dcterms:created xsi:type="dcterms:W3CDTF">2024-08-14T11:40:00Z</dcterms:created>
  <dcterms:modified xsi:type="dcterms:W3CDTF">2024-09-30T14:59:00Z</dcterms:modified>
</cp:coreProperties>
</file>