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81D4A" w14:textId="77777777" w:rsidR="00D73022" w:rsidRPr="00A91861" w:rsidRDefault="00D73022" w:rsidP="00C53CD3">
      <w:pPr>
        <w:rPr>
          <w:rFonts w:ascii="GHEA Grapalat" w:hAnsi="GHEA Grapalat"/>
          <w:sz w:val="24"/>
          <w:szCs w:val="24"/>
        </w:rPr>
      </w:pPr>
    </w:p>
    <w:p w14:paraId="730713BE" w14:textId="77777777" w:rsidR="00750AF7" w:rsidRPr="00A91861" w:rsidRDefault="00750AF7" w:rsidP="00C53CD3">
      <w:pPr>
        <w:spacing w:line="360" w:lineRule="auto"/>
        <w:rPr>
          <w:rFonts w:ascii="GHEA Grapalat" w:hAnsi="GHEA Grapalat"/>
          <w:b/>
          <w:bCs/>
          <w:sz w:val="24"/>
          <w:szCs w:val="24"/>
        </w:rPr>
      </w:pPr>
    </w:p>
    <w:p w14:paraId="7EB54FF4" w14:textId="62EB2C15" w:rsidR="00486DC5" w:rsidRPr="00A91861" w:rsidRDefault="00486DC5" w:rsidP="00C53CD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A91861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0CC940C6" w14:textId="77777777" w:rsidR="00486DC5" w:rsidRPr="00A91861" w:rsidRDefault="00486DC5" w:rsidP="00C53CD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A91861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1FC6AC98" w14:textId="160F4894" w:rsidR="00486DC5" w:rsidRPr="00A91861" w:rsidRDefault="00C53CD3" w:rsidP="00C53CD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91861">
        <w:rPr>
          <w:rFonts w:ascii="GHEA Grapalat" w:hAnsi="GHEA Grapalat"/>
          <w:b/>
          <w:bCs/>
          <w:sz w:val="24"/>
          <w:szCs w:val="24"/>
          <w:lang w:val="hy-AM"/>
        </w:rPr>
        <w:t xml:space="preserve">ՏԵՍԱԼՍՈՂԱԿԱՆ ՄԵԴԻԱՅԻ </w:t>
      </w:r>
      <w:r w:rsidR="00486DC5" w:rsidRPr="00A91861">
        <w:rPr>
          <w:rFonts w:ascii="GHEA Grapalat" w:hAnsi="GHEA Grapalat"/>
          <w:b/>
          <w:bCs/>
          <w:sz w:val="24"/>
          <w:szCs w:val="24"/>
        </w:rPr>
        <w:t>ՄԱՍԻՆ</w:t>
      </w:r>
    </w:p>
    <w:p w14:paraId="362B9A43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14:paraId="777AF0C2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14:paraId="0D4B83BF" w14:textId="41C9D84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b/>
          <w:bCs/>
          <w:color w:val="000000"/>
        </w:rPr>
        <w:t>Գ Լ ՈՒ Խ</w:t>
      </w:r>
      <w:r w:rsidRPr="00A91861">
        <w:rPr>
          <w:rFonts w:ascii="Calibri" w:hAnsi="Calibri" w:cs="Calibri"/>
          <w:b/>
          <w:bCs/>
          <w:color w:val="000000"/>
        </w:rPr>
        <w:t> </w:t>
      </w:r>
      <w:r w:rsidRPr="00A91861">
        <w:rPr>
          <w:rFonts w:ascii="GHEA Grapalat" w:hAnsi="GHEA Grapalat"/>
          <w:b/>
          <w:bCs/>
          <w:color w:val="000000"/>
        </w:rPr>
        <w:t>6</w:t>
      </w:r>
    </w:p>
    <w:p w14:paraId="2509DEED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A91861">
        <w:rPr>
          <w:rFonts w:ascii="Calibri" w:hAnsi="Calibri" w:cs="Calibri"/>
          <w:color w:val="000000"/>
        </w:rPr>
        <w:t> </w:t>
      </w:r>
    </w:p>
    <w:p w14:paraId="06B9E7D8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A91861">
        <w:rPr>
          <w:rStyle w:val="Emphasis"/>
          <w:rFonts w:ascii="GHEA Grapalat" w:hAnsi="GHEA Grapalat"/>
          <w:b/>
          <w:bCs/>
          <w:color w:val="000000"/>
        </w:rPr>
        <w:t>ԿԱՐԳԱՎՈՐՈՂ ՊԵՏԱԿԱՆ ՄԱՐՄԻՆԸ</w:t>
      </w:r>
    </w:p>
    <w:p w14:paraId="53CC2C53" w14:textId="77777777" w:rsidR="00486DC5" w:rsidRPr="00A91861" w:rsidRDefault="00486DC5" w:rsidP="00C53CD3">
      <w:pPr>
        <w:rPr>
          <w:rFonts w:ascii="GHEA Grapalat" w:hAnsi="GHEA Grapalat"/>
          <w:sz w:val="24"/>
          <w:szCs w:val="24"/>
        </w:rPr>
      </w:pPr>
    </w:p>
    <w:p w14:paraId="5AB52040" w14:textId="77777777" w:rsidR="00C53CD3" w:rsidRPr="00A91861" w:rsidRDefault="00C53CD3" w:rsidP="00C53CD3">
      <w:pPr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642"/>
      </w:tblGrid>
      <w:tr w:rsidR="00C53CD3" w:rsidRPr="00A91861" w14:paraId="451B9B58" w14:textId="77777777" w:rsidTr="00C53CD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81C5B58" w14:textId="77777777" w:rsidR="00C53CD3" w:rsidRPr="00A91861" w:rsidRDefault="00C53CD3" w:rsidP="00C53CD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A91861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Հոդված 32.</w:t>
            </w:r>
          </w:p>
        </w:tc>
        <w:tc>
          <w:tcPr>
            <w:tcW w:w="0" w:type="auto"/>
            <w:shd w:val="clear" w:color="auto" w:fill="FFFFFF"/>
            <w:hideMark/>
          </w:tcPr>
          <w:p w14:paraId="02E92420" w14:textId="77777777" w:rsidR="00C53CD3" w:rsidRPr="00A91861" w:rsidRDefault="00C53CD3" w:rsidP="00C53CD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A91861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Կարգավորող պետական մարմնի լիազորությունները</w:t>
            </w:r>
          </w:p>
        </w:tc>
      </w:tr>
    </w:tbl>
    <w:p w14:paraId="4F234FE5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Calibri" w:hAnsi="Calibri" w:cs="Calibri"/>
          <w:color w:val="000000"/>
        </w:rPr>
        <w:t> </w:t>
      </w:r>
    </w:p>
    <w:p w14:paraId="18BCD544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1. Կարգավորող պետական մարմինը`</w:t>
      </w:r>
    </w:p>
    <w:p w14:paraId="1F4E59B6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1) հրապարակային և մրցութային կարգով հատկացնում է սլոթ.</w:t>
      </w:r>
    </w:p>
    <w:p w14:paraId="1BD463F3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2) իրականացնում է իրավաբանական կամ ֆիզիկական անձի հեղինակազորումը.</w:t>
      </w:r>
    </w:p>
    <w:p w14:paraId="3E0B2A08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3) իրականացնում է սլոթի օգտագործման լիցենզավորման մրցույթը.</w:t>
      </w:r>
    </w:p>
    <w:p w14:paraId="4D585D0E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4) իրականացնում է ցանցային օպերատորի գործունեության լիցենզավորումը.</w:t>
      </w:r>
    </w:p>
    <w:p w14:paraId="51F6CE5B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5) իրականացնում է մասնավոր մուլտիպլեքս օպերատորի գործունեության լիցենզավորման մրցույթը.</w:t>
      </w:r>
    </w:p>
    <w:p w14:paraId="045764F6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6) սահմանում է սլոթի օգտագործման, մուլտիպլեքս օպերատորի գործունեության լիցենզավորման մրցույթի անցկացման</w:t>
      </w:r>
      <w:r w:rsidRPr="00A91861">
        <w:rPr>
          <w:rFonts w:ascii="Calibri" w:hAnsi="Calibri" w:cs="Calibri"/>
          <w:color w:val="000000"/>
        </w:rPr>
        <w:t> </w:t>
      </w:r>
      <w:hyperlink r:id="rId4" w:history="1">
        <w:r w:rsidRPr="00A91861">
          <w:rPr>
            <w:rStyle w:val="Hyperlink"/>
            <w:rFonts w:ascii="GHEA Grapalat" w:hAnsi="GHEA Grapalat"/>
          </w:rPr>
          <w:t>կարգը</w:t>
        </w:r>
      </w:hyperlink>
      <w:r w:rsidRPr="00A91861">
        <w:rPr>
          <w:rFonts w:ascii="GHEA Grapalat" w:hAnsi="GHEA Grapalat"/>
          <w:color w:val="000000"/>
        </w:rPr>
        <w:t>, մրցույթի մասնակցության հայտերի</w:t>
      </w:r>
      <w:r w:rsidRPr="00A91861">
        <w:rPr>
          <w:rFonts w:ascii="Calibri" w:hAnsi="Calibri" w:cs="Calibri"/>
          <w:color w:val="000000"/>
        </w:rPr>
        <w:t> </w:t>
      </w:r>
      <w:hyperlink r:id="rId5" w:history="1">
        <w:r w:rsidRPr="00A91861">
          <w:rPr>
            <w:rStyle w:val="Hyperlink"/>
            <w:rFonts w:ascii="GHEA Grapalat" w:hAnsi="GHEA Grapalat"/>
          </w:rPr>
          <w:t>ձևերը</w:t>
        </w:r>
      </w:hyperlink>
      <w:r w:rsidRPr="00A91861">
        <w:rPr>
          <w:rFonts w:ascii="GHEA Grapalat" w:hAnsi="GHEA Grapalat"/>
          <w:color w:val="000000"/>
        </w:rPr>
        <w:t>, ցանցային օպերատորի գործունեության լիցենզավորման</w:t>
      </w:r>
      <w:r w:rsidRPr="00A91861">
        <w:rPr>
          <w:rFonts w:ascii="Calibri" w:hAnsi="Calibri" w:cs="Calibri"/>
          <w:color w:val="000000"/>
        </w:rPr>
        <w:t> </w:t>
      </w:r>
      <w:hyperlink r:id="rId6" w:history="1">
        <w:r w:rsidRPr="00A91861">
          <w:rPr>
            <w:rStyle w:val="Hyperlink"/>
            <w:rFonts w:ascii="GHEA Grapalat" w:hAnsi="GHEA Grapalat"/>
          </w:rPr>
          <w:t>կարգը և դիմումի ձևը</w:t>
        </w:r>
      </w:hyperlink>
      <w:r w:rsidRPr="00A91861">
        <w:rPr>
          <w:rFonts w:ascii="GHEA Grapalat" w:hAnsi="GHEA Grapalat"/>
          <w:color w:val="000000"/>
        </w:rPr>
        <w:t>.</w:t>
      </w:r>
    </w:p>
    <w:p w14:paraId="27C8D410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7) հաստատում է լիցենզիայի ձևերը.</w:t>
      </w:r>
    </w:p>
    <w:p w14:paraId="5E7C211C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8) կազմում և հրապարակում է լիցենզիա ստացած անձանց ցուցակը, հսկողություն է իրականացնում լիցենզիայում նշված պայմանների և սույն օրենքի պահանջների կատարման նկատմամբ.</w:t>
      </w:r>
    </w:p>
    <w:p w14:paraId="5B0F0AF5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9)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տեսալսողական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հաղորդումների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տեսագրությունների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և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ձայնագրությունների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ընտրանքային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դիտարկման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միջոցով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պարզում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է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դրանց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համապատասխանությունը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օրենսդրության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և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լիցենզիայի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պահանջներին</w:t>
      </w:r>
      <w:r w:rsidRPr="00A91861">
        <w:rPr>
          <w:rFonts w:ascii="GHEA Grapalat" w:hAnsi="GHEA Grapalat"/>
          <w:color w:val="000000"/>
        </w:rPr>
        <w:t>.</w:t>
      </w:r>
    </w:p>
    <w:p w14:paraId="6B244666" w14:textId="14E0E2D4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10) վերահսկում է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տեսալսողական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հաղորդումների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տեխնիկական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չափանիշների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համապատասխանությունը</w:t>
      </w:r>
      <w:r w:rsidRPr="00A91861">
        <w:rPr>
          <w:rFonts w:ascii="GHEA Grapalat" w:hAnsi="GHEA Grapalat" w:cs="GHEA Grapalat"/>
          <w:color w:val="FF0000"/>
        </w:rPr>
        <w:t>՝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strike/>
          <w:color w:val="000000"/>
        </w:rPr>
        <w:t>Կառավարության</w:t>
      </w:r>
      <w:r w:rsidRPr="00A91861">
        <w:rPr>
          <w:rFonts w:ascii="GHEA Grapalat" w:hAnsi="GHEA Grapalat"/>
          <w:strike/>
          <w:color w:val="000000"/>
        </w:rPr>
        <w:t xml:space="preserve"> </w:t>
      </w:r>
      <w:r w:rsidRPr="00A91861">
        <w:rPr>
          <w:rFonts w:ascii="GHEA Grapalat" w:hAnsi="GHEA Grapalat" w:cs="GHEA Grapalat"/>
          <w:strike/>
          <w:color w:val="000000"/>
        </w:rPr>
        <w:t>որոշմամբ</w:t>
      </w:r>
      <w:r w:rsidRPr="00A91861">
        <w:rPr>
          <w:rFonts w:ascii="GHEA Grapalat" w:hAnsi="GHEA Grapalat"/>
          <w:strike/>
          <w:color w:val="000000"/>
        </w:rPr>
        <w:t xml:space="preserve"> </w:t>
      </w:r>
      <w:r w:rsidRPr="00A91861">
        <w:rPr>
          <w:rFonts w:ascii="GHEA Grapalat" w:hAnsi="GHEA Grapalat" w:cs="GHEA Grapalat"/>
          <w:strike/>
          <w:color w:val="000000"/>
        </w:rPr>
        <w:t>սահմանված</w:t>
      </w:r>
      <w:r w:rsidRPr="00A91861">
        <w:rPr>
          <w:rFonts w:ascii="GHEA Grapalat" w:hAnsi="GHEA Grapalat" w:cs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FF0000"/>
        </w:rPr>
        <w:t xml:space="preserve">Ստանդարտացման և չափագիտության ազգային մարմնի կողմից ընդունված և գործողության մեջ դրված </w:t>
      </w:r>
      <w:r w:rsidRPr="00A91861">
        <w:rPr>
          <w:rFonts w:ascii="GHEA Grapalat" w:hAnsi="GHEA Grapalat" w:cs="GHEA Grapalat"/>
          <w:color w:val="000000"/>
        </w:rPr>
        <w:t>ստանդարտներին</w:t>
      </w:r>
      <w:r w:rsidRPr="00A91861">
        <w:rPr>
          <w:rFonts w:ascii="GHEA Grapalat" w:hAnsi="GHEA Grapalat"/>
          <w:color w:val="000000"/>
        </w:rPr>
        <w:t>.</w:t>
      </w:r>
    </w:p>
    <w:p w14:paraId="69AD9862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11) սույն օրենքի խախտման կամ իր որոշումները չկատարելու դեպքում կիրառում է պատասխանատվության միջոցներ.</w:t>
      </w:r>
    </w:p>
    <w:p w14:paraId="43BBE601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12) վերահսկում է Հեռարձակողների կողմից նախընտրական քարոզչության՝ Հայաստանի Հանրապետության ընտրական օրենսգրքով սահմանված կարգի պահպանումը.</w:t>
      </w:r>
    </w:p>
    <w:p w14:paraId="1A739E9D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lastRenderedPageBreak/>
        <w:t>13) ուսումնասիրում և պատասխանում կամ եզրակացություն է տալիս Հեռարձակողների, օպերատորների և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տեսալսողական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ծրագրերի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դիստրիբյուտորների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գործունեության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վերաբերյալ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բողոքներին</w:t>
      </w:r>
      <w:r w:rsidRPr="00A91861">
        <w:rPr>
          <w:rFonts w:ascii="GHEA Grapalat" w:hAnsi="GHEA Grapalat"/>
          <w:color w:val="000000"/>
        </w:rPr>
        <w:t xml:space="preserve">, </w:t>
      </w:r>
      <w:r w:rsidRPr="00A91861">
        <w:rPr>
          <w:rFonts w:ascii="GHEA Grapalat" w:hAnsi="GHEA Grapalat" w:cs="GHEA Grapalat"/>
          <w:color w:val="000000"/>
        </w:rPr>
        <w:t>առաջարկություններին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և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հարցումներին</w:t>
      </w:r>
      <w:r w:rsidRPr="00A91861">
        <w:rPr>
          <w:rFonts w:ascii="GHEA Grapalat" w:hAnsi="GHEA Grapalat"/>
          <w:color w:val="000000"/>
        </w:rPr>
        <w:t>.</w:t>
      </w:r>
    </w:p>
    <w:p w14:paraId="6098B63D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14) իրականացնում է Հեռարձակողների և օպերատորների գործունեության մշտադիտարկում.</w:t>
      </w:r>
    </w:p>
    <w:p w14:paraId="5D942DC1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15) կարող է ներգրավվել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տեսալսողական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մեդիայի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բնագավառին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առնչվող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միջազգային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պայմանագրերի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և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իրավական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ակտերի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նախագծերի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մշակմանը</w:t>
      </w:r>
      <w:r w:rsidRPr="00A91861">
        <w:rPr>
          <w:rFonts w:ascii="GHEA Grapalat" w:hAnsi="GHEA Grapalat"/>
          <w:color w:val="000000"/>
        </w:rPr>
        <w:t>.</w:t>
      </w:r>
    </w:p>
    <w:p w14:paraId="18AC3F06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16) «Հայաստանի Հանրապետությունում ստուգումների կազմակերպման և անցկացման մասին» օրենքով սահմանված կարգով և դեպքերում իրականացնում է ստուգումներ և ուսումնասիրություններ.</w:t>
      </w:r>
    </w:p>
    <w:p w14:paraId="22FA90F7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17) վերահսկողություն է իրականացնում Հանրային հեռարձակողներում տեղեկատվական, կրթական, մշակութային և ժամանցային բնույթի հաղորդումների բազմազանության ապահովման համար.</w:t>
      </w:r>
    </w:p>
    <w:p w14:paraId="019807A9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18) սահմանում է Խորհրդի կողմից սույն օրենքի 27-րդ հոդվածի 1-ին մասի 16-րդ կետով նախատեսված հաշվետվություն ներկայացնելու կարգը և ձևը.</w:t>
      </w:r>
    </w:p>
    <w:p w14:paraId="406A8D26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19) սահմանում է ռազմական կամ արտակարգ դրության ժամանակ վարչապետին կամ արտակարգ դրության ընթացքում ի պաշտոնե արտակարգ դրության տարածքի պարետ հանդիսացող պաշտոնյային եթերաժամանակ հատկացնելու</w:t>
      </w:r>
      <w:r w:rsidRPr="00A91861">
        <w:rPr>
          <w:rFonts w:ascii="Calibri" w:hAnsi="Calibri" w:cs="Calibri"/>
          <w:color w:val="000000"/>
        </w:rPr>
        <w:t> </w:t>
      </w:r>
      <w:hyperlink r:id="rId7" w:history="1">
        <w:r w:rsidRPr="00A91861">
          <w:rPr>
            <w:rStyle w:val="Hyperlink"/>
            <w:rFonts w:ascii="GHEA Grapalat" w:hAnsi="GHEA Grapalat"/>
          </w:rPr>
          <w:t>կարգը և պայմանները</w:t>
        </w:r>
      </w:hyperlink>
      <w:r w:rsidRPr="00A91861">
        <w:rPr>
          <w:rFonts w:ascii="GHEA Grapalat" w:hAnsi="GHEA Grapalat"/>
          <w:color w:val="000000"/>
        </w:rPr>
        <w:t>.</w:t>
      </w:r>
    </w:p>
    <w:p w14:paraId="52B5D1D5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20) սահմանում է մշտադիտարկման արդյունքների վերաբերյալ արձանագրության ձևը.</w:t>
      </w:r>
    </w:p>
    <w:p w14:paraId="243FB451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21) օրենքով սահմանված կարգով հաստատում է իր կառուցվածքը.</w:t>
      </w:r>
    </w:p>
    <w:p w14:paraId="3AF55C65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22) տալիս է եզրակացություն սույն օրենքից բխող ենթաօրենսդրական նորմատիվ իրավական ակտերի նախագծերի վերաբերյալ.</w:t>
      </w:r>
    </w:p>
    <w:p w14:paraId="71E667C7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23) մասնակցում է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տեսալսողական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մեդիա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ոլորտի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քաղաքականության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մշակմանը</w:t>
      </w:r>
      <w:r w:rsidRPr="00A91861">
        <w:rPr>
          <w:rFonts w:ascii="GHEA Grapalat" w:hAnsi="GHEA Grapalat"/>
          <w:color w:val="000000"/>
        </w:rPr>
        <w:t>.</w:t>
      </w:r>
    </w:p>
    <w:p w14:paraId="2F283C5F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24) սահմանում է հանրային մուլտիպլեքսում սլոթի օգտագործման պայմանները և հրապարակում է ազատ սլոթների առկայության վերաբերյալ տեղեկատվություն.</w:t>
      </w:r>
    </w:p>
    <w:p w14:paraId="35A0E4C0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25) ստուգում է հեռարձակողի կողմից սլոթի օգտագործման լիցենզավորման հայտին կցված լիցենզիայի պայմանների համապատասխանությունը.</w:t>
      </w:r>
    </w:p>
    <w:p w14:paraId="7874643A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26) իրականացնում է սույն օրենքով նախատեսված այլ լիազորություններ։</w:t>
      </w:r>
    </w:p>
    <w:p w14:paraId="2435F40B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2. Կարգավորող պետական մարմինը սույն օրենքով սահմանված սուբյեկտներից, պետական մարմիններից և պաշտոնատար անձանցից պահանջում և ստանում է անհրաժեշտ փաստաթղթեր և այլ տեղեկատվություն:</w:t>
      </w:r>
    </w:p>
    <w:p w14:paraId="44DFFDEC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3.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Տեսալսողական</w:t>
      </w:r>
      <w:r w:rsidRPr="00A91861">
        <w:rPr>
          <w:rFonts w:ascii="Calibri" w:hAnsi="Calibri" w:cs="Calibri"/>
          <w:color w:val="000000"/>
        </w:rPr>
        <w:t> </w:t>
      </w:r>
      <w:r w:rsidRPr="00A91861">
        <w:rPr>
          <w:rFonts w:ascii="GHEA Grapalat" w:hAnsi="GHEA Grapalat" w:cs="GHEA Grapalat"/>
          <w:color w:val="000000"/>
        </w:rPr>
        <w:t>մեդիայի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մասին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օրենսդրության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պահանջների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խախտում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հայտնաբերելու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դեպքում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կարգավորող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պետական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մարմինն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իրավասու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է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Հանրային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հեռարձակողներին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հանձնարարելու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սահմանված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ժամկետում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վերացնել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հայտնաբերված</w:t>
      </w:r>
      <w:r w:rsidRPr="00A91861">
        <w:rPr>
          <w:rFonts w:ascii="GHEA Grapalat" w:hAnsi="GHEA Grapalat"/>
          <w:color w:val="000000"/>
        </w:rPr>
        <w:t xml:space="preserve"> </w:t>
      </w:r>
      <w:r w:rsidRPr="00A91861">
        <w:rPr>
          <w:rFonts w:ascii="GHEA Grapalat" w:hAnsi="GHEA Grapalat" w:cs="GHEA Grapalat"/>
          <w:color w:val="000000"/>
        </w:rPr>
        <w:t>թերությունները</w:t>
      </w:r>
      <w:r w:rsidRPr="00A91861">
        <w:rPr>
          <w:rFonts w:ascii="GHEA Grapalat" w:hAnsi="GHEA Grapalat"/>
          <w:color w:val="000000"/>
        </w:rPr>
        <w:t>:</w:t>
      </w:r>
    </w:p>
    <w:p w14:paraId="601D1BDA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4. Կարգավորող պետական մարմինը իրավասու է՝</w:t>
      </w:r>
    </w:p>
    <w:p w14:paraId="57C26138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1) սույն օրենքի տուգանք նախատեսող հոդվածով արգելված արարք հայտնաբերելու դեպքում միջնորդություն ներկայացնելու Խորհուրդ Հանրային հեռարձակողի գործադիր տնօրենին կարգապահական պատասխանատվության ենթարկելու վերաբերյալ.</w:t>
      </w:r>
    </w:p>
    <w:p w14:paraId="5718982E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 xml:space="preserve">2) լիցենզիայի գործողության կասեցում կամ դադարեցում նախատեսող հոդվածներով արգելված արարքները կատարելու, ինչպես նաև սահմանված ժամկետում թերությունները չվերացնելու դեպքում միջնորդություն ներկայացնելու Խորհուրդ </w:t>
      </w:r>
      <w:r w:rsidRPr="00A91861">
        <w:rPr>
          <w:rFonts w:ascii="GHEA Grapalat" w:hAnsi="GHEA Grapalat"/>
          <w:color w:val="000000"/>
        </w:rPr>
        <w:lastRenderedPageBreak/>
        <w:t>Հանրային հեռարձակողի գործադիր տնօրենի պաշտոնավարումը դադարեցնելու վերաբերյալ:</w:t>
      </w:r>
    </w:p>
    <w:p w14:paraId="6592F9B2" w14:textId="102BBBA5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5. Կարգավորող պետական մարմինը Հեռարձակողի հեղինակազորման կամ լիցենզիայի գործողությունը կասեցնելու կամ դադարեցնելու դեպքում եռօրյա ժամկետում դրա մասին հայտնում է այդ ծրագիրը հեռարձակող մուլտիպլեքս</w:t>
      </w:r>
      <w:r w:rsidR="002E61CE">
        <w:rPr>
          <w:rFonts w:ascii="GHEA Grapalat" w:hAnsi="GHEA Grapalat"/>
          <w:color w:val="000000"/>
        </w:rPr>
        <w:t xml:space="preserve"> </w:t>
      </w:r>
      <w:r w:rsidR="002E61CE">
        <w:rPr>
          <w:rFonts w:ascii="GHEA Grapalat" w:hAnsi="GHEA Grapalat"/>
          <w:color w:val="FF0000"/>
          <w:lang w:val="hy-AM"/>
        </w:rPr>
        <w:t>և ցանցային</w:t>
      </w:r>
      <w:r w:rsidRPr="00A91861">
        <w:rPr>
          <w:rFonts w:ascii="GHEA Grapalat" w:hAnsi="GHEA Grapalat"/>
          <w:color w:val="000000"/>
        </w:rPr>
        <w:t xml:space="preserve"> օպերատոր</w:t>
      </w:r>
      <w:r w:rsidR="002E61CE" w:rsidRPr="002E61CE">
        <w:rPr>
          <w:rFonts w:ascii="GHEA Grapalat" w:hAnsi="GHEA Grapalat"/>
          <w:color w:val="FF0000"/>
        </w:rPr>
        <w:t>ներ</w:t>
      </w:r>
      <w:r w:rsidRPr="00A91861">
        <w:rPr>
          <w:rFonts w:ascii="GHEA Grapalat" w:hAnsi="GHEA Grapalat"/>
          <w:color w:val="000000"/>
        </w:rPr>
        <w:t>ին՝ հեռարձակումը անհապաղ դադարեցնելու համար:</w:t>
      </w:r>
    </w:p>
    <w:p w14:paraId="52820B76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6. Կարգավորող պետական մարմինն իր լիազորություններն իրականացնելիս կարող է հասարակական կամ պայմանագրային հիմունքներով ներգրավել մասնագետների և փորձագետների:</w:t>
      </w:r>
    </w:p>
    <w:p w14:paraId="61FE99FD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7. Կարգավորող պետական մարմինն ընդունում է սույն օրենքով նախատեսված ենթաօրենսդրական նորմատիվ իրավական, անհատական և ներքին ակտեր:</w:t>
      </w:r>
    </w:p>
    <w:p w14:paraId="7F665CDE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8. Կարգավորող պետական մարմնի ենթաօրենսդրական նորմատիվ իրավական ակտերը հրապարակվում են նաև կարգավորող պետական մարմնի պաշտոնական կայքէջում:</w:t>
      </w:r>
    </w:p>
    <w:p w14:paraId="1505A850" w14:textId="77777777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color w:val="000000"/>
        </w:rPr>
        <w:t>9. Կարգավորող պետական մարմինը, կարգավորող պետական մարմնի անդամները և կարգավորող պետական մարմնի կառուցվածքային ստորաբաժանումների աշխատակիցներն իրենց լիազորություններն իրականացնելիս անկախ են և ենթարկվում են միայն օրենքին: Չի թույլատրվում անօրինական ազդեցություն և միջամտություն նրանց գործունեությանը:</w:t>
      </w:r>
    </w:p>
    <w:p w14:paraId="0F27167B" w14:textId="77777777" w:rsidR="00486DC5" w:rsidRPr="00A91861" w:rsidRDefault="00486DC5" w:rsidP="00C53CD3">
      <w:pPr>
        <w:rPr>
          <w:rFonts w:ascii="GHEA Grapalat" w:hAnsi="GHEA Grapalat"/>
          <w:sz w:val="24"/>
          <w:szCs w:val="24"/>
        </w:rPr>
      </w:pPr>
    </w:p>
    <w:p w14:paraId="193AC0DD" w14:textId="77777777" w:rsidR="00C53CD3" w:rsidRPr="00A91861" w:rsidRDefault="00C53CD3" w:rsidP="00C53CD3">
      <w:pPr>
        <w:rPr>
          <w:rFonts w:ascii="GHEA Grapalat" w:hAnsi="GHEA Grapalat"/>
          <w:sz w:val="24"/>
          <w:szCs w:val="24"/>
        </w:rPr>
      </w:pPr>
    </w:p>
    <w:p w14:paraId="0CFC2B39" w14:textId="77777777" w:rsidR="00C53CD3" w:rsidRPr="00A91861" w:rsidRDefault="00C53CD3" w:rsidP="00C53CD3">
      <w:pPr>
        <w:rPr>
          <w:rFonts w:ascii="GHEA Grapalat" w:hAnsi="GHEA Grapalat"/>
          <w:sz w:val="24"/>
          <w:szCs w:val="24"/>
        </w:rPr>
      </w:pPr>
    </w:p>
    <w:p w14:paraId="0A85B3B8" w14:textId="77777777" w:rsidR="00C53CD3" w:rsidRPr="00A91861" w:rsidRDefault="00C53CD3" w:rsidP="00C53CD3">
      <w:pPr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642"/>
      </w:tblGrid>
      <w:tr w:rsidR="00C53CD3" w:rsidRPr="00C53CD3" w14:paraId="5B4EB4E1" w14:textId="77777777" w:rsidTr="00C53CD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6FE72E6" w14:textId="77777777" w:rsidR="00C53CD3" w:rsidRPr="00C53CD3" w:rsidRDefault="00C53CD3" w:rsidP="00C53CD3">
            <w:pPr>
              <w:ind w:firstLine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C53CD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 46.</w:t>
            </w:r>
          </w:p>
        </w:tc>
        <w:tc>
          <w:tcPr>
            <w:tcW w:w="0" w:type="auto"/>
            <w:shd w:val="clear" w:color="auto" w:fill="FFFFFF"/>
            <w:hideMark/>
          </w:tcPr>
          <w:p w14:paraId="1A8AD65F" w14:textId="77777777" w:rsidR="00C53CD3" w:rsidRPr="00C53CD3" w:rsidRDefault="00C53CD3" w:rsidP="00C53CD3">
            <w:pPr>
              <w:ind w:firstLine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C53CD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Հանրային մուլտիպլեքսի սլոթի օգտագործման լիցենզավորման մրցույթը</w:t>
            </w:r>
          </w:p>
        </w:tc>
      </w:tr>
    </w:tbl>
    <w:p w14:paraId="757E08AE" w14:textId="77777777" w:rsidR="00C53CD3" w:rsidRPr="00C53CD3" w:rsidRDefault="00C53CD3" w:rsidP="00C53CD3">
      <w:pPr>
        <w:shd w:val="clear" w:color="auto" w:fill="FFFFFF"/>
        <w:ind w:firstLine="375"/>
        <w:jc w:val="lef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7F1FFF75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1. Սլոթի օգտագործման լիցենզավորման մրցույթի հայտարարությունը պետք է պարունակի տեղեկություններ հանրապետական, մայրաքաղաքային և մարզային սփռում ապահովող ազատ սլոթների քանակի մասին:</w:t>
      </w:r>
    </w:p>
    <w:p w14:paraId="09981C46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2. Սլոթի օգտագործման լիցենզավորման մրցույթին մասնակցելու համար ներկայացվում է հայտ, որի ձևը սահմանվում է սլոթի օգտագործման լիցենզավորման մրցույթի անցկացման կարգով:</w:t>
      </w:r>
    </w:p>
    <w:p w14:paraId="2B816B25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3. Հայտին կցվում են՝</w:t>
      </w:r>
    </w:p>
    <w:p w14:paraId="1EF82962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1) փաստաթուղթ Հեռարձակողի նախանշված նպատակների իրագործման հիմնական ուղղությունների և միջոցառումների ընդհանրական նկարագրի վերաբերյալ, որոնք լիցենզիա ստանալու դեպքում կհանդիսանան լիցենզիայի պայմաններ.</w:t>
      </w:r>
    </w:p>
    <w:p w14:paraId="31585E42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2) ֆինանսական աղբյուրները հիմնավորող փաստաթղթեր.</w:t>
      </w:r>
    </w:p>
    <w:p w14:paraId="2624D2A9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3) տվյալներ օգտագործվելիք տեխնիկական միջոցների վերաբերյալ.</w:t>
      </w:r>
    </w:p>
    <w:p w14:paraId="6DB25836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4) տեղեկություններ աշխատակազմի քանակի, նրանց կրթության և մասնագիտության վերաբերյալ.</w:t>
      </w:r>
    </w:p>
    <w:p w14:paraId="6DEF0002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5) Էթիկայի կանոնագիրը, որը լիցենզիա ստանալու դեպքում կհանդիսանա լիցենզիայի պայման.</w:t>
      </w:r>
    </w:p>
    <w:p w14:paraId="04E03841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6) Էթիկայի կանոնագրի դրույթների ապահովման ինքնակարգավորման միջոցները, որոնք լիցենզիա ստանալու դեպքում կհանդիսանան լիցենզիայի պայման.</w:t>
      </w:r>
    </w:p>
    <w:p w14:paraId="28DABBE7" w14:textId="0C60A891" w:rsidR="00C53CD3" w:rsidRPr="00A91861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7) լիցենզավորման մրցույթին մասնակցելու համար «Պետական տուրքի մասին» օրենքով սահմանված պետական տուրքի վճարումը հավաստող </w:t>
      </w:r>
      <w:proofErr w:type="gramStart"/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անդորրագիրը</w:t>
      </w:r>
      <w:r w:rsidRPr="009D230D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14:ligatures w14:val="none"/>
        </w:rPr>
        <w:t>:</w:t>
      </w:r>
      <w:r w:rsidR="009D230D" w:rsidRPr="009D230D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.</w:t>
      </w:r>
      <w:proofErr w:type="gramEnd"/>
    </w:p>
    <w:p w14:paraId="6F93BF55" w14:textId="6880246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</w:pPr>
      <w:r w:rsidRPr="00A91861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8) </w:t>
      </w:r>
      <w:r w:rsidRPr="00A91861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Տեղեկանք հանրային մուլտիպլեքսը շահագործողից՝ հեռարձակման ծառայությունների մասով ժամկետանց պարտքեր և պարտավորություններ չունենալու մասին, բացառությամբ՝ սլոթի օգտագործման լիցենզավորման մրցույթին առաջին անգամ մասնակցելու դեպքի:</w:t>
      </w:r>
    </w:p>
    <w:p w14:paraId="6A675FC9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4. Հանրապետական սփռում ապահովող սլոթների օգտագործման լիցենզավորման մրցույթի հայտատուն ըստ ցանկության կարող է մասնակցել նաև մայրաքաղաքային սփռում ապահովող սլոթների օգտագործման լիցենզավորման մրցույթին՝ այդ մասին նշում կատարելով հայտում:</w:t>
      </w:r>
    </w:p>
    <w:p w14:paraId="1AD29E2E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5. Հանրապետական և մայրաքաղաքային սփռում ապահովող սլոթների օգտագործման լիցենզավորման մրցույթին հայտ ներկայացրած Հեռարձակողները չեն կարող մասնակցել մարզային սփռում ապահովող սլոթների օգտագործման լիցենզավորման մրցույթին:</w:t>
      </w:r>
    </w:p>
    <w:p w14:paraId="1D0AFD5D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6. Հանրային մուլտիպլեքսի սլոթի օգտագործման լիցենզավորման մրցույթում հաղթողի ընտրությունն իրականացվում է կարգավորող պետական մարմնի անդամների վարկանիշային փակ քվեարկության միջոցով:</w:t>
      </w:r>
    </w:p>
    <w:p w14:paraId="49A6AA88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7. Վարկանիշային քվեարկության իրականացման ընթացակարգը սահմանվում է սլոթի օգտագործման լիցենզավորման մրցույթի անցկացման կարգով:</w:t>
      </w:r>
    </w:p>
    <w:p w14:paraId="19E903C4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8. Կարգավորող պետական մարմինը մրցույթում հաղթող մասնակցի ընտրության ժամանակ հաշվի է առնում`</w:t>
      </w:r>
    </w:p>
    <w:p w14:paraId="1B42404F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1) սեփական արտադրության հաղորդումների գերակայությունը.</w:t>
      </w:r>
    </w:p>
    <w:p w14:paraId="57A9E2D3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2) հայերեն հաղորդումների գերակայությունը.</w:t>
      </w:r>
    </w:p>
    <w:p w14:paraId="2B6FA779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3) բազմակարծությունը խթանելու կարողությունը.</w:t>
      </w:r>
    </w:p>
    <w:p w14:paraId="7578993B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4) հայտատուի տեխնիկական և ֆինանսական հնարավորությունները.</w:t>
      </w:r>
    </w:p>
    <w:p w14:paraId="2E9B6931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5) աշխատակազմի մասնագիտական պատրաստվածությունը.</w:t>
      </w:r>
    </w:p>
    <w:p w14:paraId="1B1F40EA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6) ազգային, համամարդկային, հոգևոր, մշակութային մնայուն արժեքների ճանաչողությանն ու ամրապնդմանն ուղղված հաղորդումների գերակայությունը.</w:t>
      </w:r>
    </w:p>
    <w:p w14:paraId="190A08C2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7) գործող լիցենզավորված Հեռարձակողի դեպքում՝ գործունեության իրականացման ընթացքում սլոթի օգտագործման լիցենզավորման հայտով ստանձնած պարտավորություններին համապատասխանությունը:</w:t>
      </w:r>
    </w:p>
    <w:p w14:paraId="30FEB359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9. Լիցենզավորման մրցույթի ժամանակ այլ հավասար պայմանների դեպքում նախապատվությունը տրվում է`</w:t>
      </w:r>
    </w:p>
    <w:p w14:paraId="36333200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1) գործող այն Հեռարձակողներին, որոնք իրենց գործունեության ընթացքում թույլ են տվել օրենսդրության նվազ քանակով կամ վտանգավորությամբ խախտումներ.</w:t>
      </w:r>
    </w:p>
    <w:p w14:paraId="65120D94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2) գործող այն Հեռարձակողներին, որոնք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տեսալսողական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հաղորդումների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արտադրության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հեռարձակման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բնագավառում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ունեն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առնվազն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երեք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տարվա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փորձ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009FCFF8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9.1. Սույն հոդվածի 8-րդ և 9-րդ մասերով սահմանված հիմքերով կարգավորող պետական մարմինը որոշում է մրցույթում հաղթող ճանաչված Հեռարձակողներին տրամադրել հանրային մուլտիպլեքսի սլոթի օգտագործման լիցենզիա։</w:t>
      </w:r>
    </w:p>
    <w:p w14:paraId="0DFA1179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10. Կարգավորող պետական մարմնի որոշումները պետք է լինեն պատշաճ հիմնավորված և պատճառաբանված: Կարգավորող պետական մարմինն ապահովում է իր որոշումների հրապարակայնությունը:</w:t>
      </w:r>
    </w:p>
    <w:p w14:paraId="4D7D0129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11. Մրցույթում հաղթող մասնակցի՝ լիցենզիա ստանալու իրավունքից հրաժարվելու կամ կարգավորող պետական մարմնի կողմից սույն օրենքի 51-րդ հոդվածի 3-րդ մասով սահմանված կարգով լիցենզիա տալու մասին որոշումն ուժը կորցրած ճանաչելու դեպքում լիցենզիա ստանալու իրավունքն անցնում է hաջորդ առավելագույն միավոր ստացած մասնակցին:</w:t>
      </w:r>
    </w:p>
    <w:p w14:paraId="4FA25BB2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12. Հանրապետական սփռում ապահովող սլոթի օգտագործման լիցենզիա ստացած Հեռարձակողի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տեսալսողական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ծրագիրը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սփռման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ամբողջ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տարածքում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որևէ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ձևով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չի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կարող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փոփոխվել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2A49D13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(46-րդ հոդվածը լրաց.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22.03.23 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-124-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202A9A7A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(22.03.23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hyperlink r:id="rId8" w:history="1">
        <w:r w:rsidRPr="00C53CD3">
          <w:rPr>
            <w:rFonts w:ascii="GHEA Grapalat" w:eastAsia="Times New Roman" w:hAnsi="GHEA Grapalat" w:cs="Times New Roman"/>
            <w:b/>
            <w:bCs/>
            <w:i/>
            <w:iCs/>
            <w:color w:val="0000FF"/>
            <w:kern w:val="0"/>
            <w:sz w:val="24"/>
            <w:szCs w:val="24"/>
            <w:u w:val="single"/>
            <w14:ligatures w14:val="none"/>
          </w:rPr>
          <w:t>ՀՕ-124-Ն</w:t>
        </w:r>
      </w:hyperlink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օրենքն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ունի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ե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զրափակիչ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մաս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և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անցումային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դրույթ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75E36F9E" w14:textId="77777777" w:rsidR="00C53CD3" w:rsidRPr="009C4008" w:rsidRDefault="00C53CD3" w:rsidP="00C53CD3">
      <w:pPr>
        <w:rPr>
          <w:rFonts w:ascii="GHEA Grapalat" w:hAnsi="GHEA Grapalat"/>
          <w:sz w:val="24"/>
          <w:szCs w:val="24"/>
        </w:rPr>
      </w:pPr>
    </w:p>
    <w:p w14:paraId="4A6FB5F7" w14:textId="77777777" w:rsidR="00C53CD3" w:rsidRPr="009C4008" w:rsidRDefault="00C53CD3" w:rsidP="00C53CD3">
      <w:pPr>
        <w:rPr>
          <w:rFonts w:ascii="GHEA Grapalat" w:hAnsi="GHEA Grapalat"/>
          <w:sz w:val="24"/>
          <w:szCs w:val="24"/>
        </w:rPr>
      </w:pPr>
    </w:p>
    <w:p w14:paraId="5613F35A" w14:textId="77777777" w:rsidR="00C53CD3" w:rsidRPr="009C4008" w:rsidRDefault="00C53CD3" w:rsidP="00C53CD3">
      <w:pPr>
        <w:rPr>
          <w:rFonts w:ascii="GHEA Grapalat" w:hAnsi="GHEA Grapalat"/>
          <w:sz w:val="24"/>
          <w:szCs w:val="24"/>
        </w:rPr>
      </w:pPr>
    </w:p>
    <w:p w14:paraId="110E5171" w14:textId="77777777" w:rsidR="00C53CD3" w:rsidRPr="009C4008" w:rsidRDefault="00C53CD3" w:rsidP="00C53CD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14:paraId="15722533" w14:textId="176B7904" w:rsidR="00C53CD3" w:rsidRPr="009C4008" w:rsidRDefault="00C53CD3" w:rsidP="00C53CD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91861">
        <w:rPr>
          <w:rFonts w:ascii="GHEA Grapalat" w:hAnsi="GHEA Grapalat"/>
          <w:b/>
          <w:bCs/>
          <w:color w:val="000000"/>
        </w:rPr>
        <w:t>Գ</w:t>
      </w:r>
      <w:r w:rsidRPr="00A91861">
        <w:rPr>
          <w:rFonts w:ascii="Calibri" w:hAnsi="Calibri" w:cs="Calibri"/>
          <w:b/>
          <w:bCs/>
          <w:color w:val="000000"/>
        </w:rPr>
        <w:t> </w:t>
      </w:r>
      <w:r w:rsidRPr="00A91861">
        <w:rPr>
          <w:rFonts w:ascii="GHEA Grapalat" w:hAnsi="GHEA Grapalat" w:cs="GHEA Grapalat"/>
          <w:b/>
          <w:bCs/>
          <w:color w:val="000000"/>
        </w:rPr>
        <w:t>Լ</w:t>
      </w:r>
      <w:r w:rsidRPr="00A91861">
        <w:rPr>
          <w:rFonts w:ascii="Calibri" w:hAnsi="Calibri" w:cs="Calibri"/>
          <w:b/>
          <w:bCs/>
          <w:color w:val="000000"/>
        </w:rPr>
        <w:t> </w:t>
      </w:r>
      <w:r w:rsidRPr="00A91861">
        <w:rPr>
          <w:rFonts w:ascii="GHEA Grapalat" w:hAnsi="GHEA Grapalat" w:cs="GHEA Grapalat"/>
          <w:b/>
          <w:bCs/>
          <w:color w:val="000000"/>
        </w:rPr>
        <w:t>ՈՒ</w:t>
      </w:r>
      <w:r w:rsidRPr="00A91861">
        <w:rPr>
          <w:rFonts w:ascii="Calibri" w:hAnsi="Calibri" w:cs="Calibri"/>
          <w:b/>
          <w:bCs/>
          <w:color w:val="000000"/>
        </w:rPr>
        <w:t> </w:t>
      </w:r>
      <w:r w:rsidRPr="00A91861">
        <w:rPr>
          <w:rFonts w:ascii="GHEA Grapalat" w:hAnsi="GHEA Grapalat" w:cs="GHEA Grapalat"/>
          <w:b/>
          <w:bCs/>
          <w:color w:val="000000"/>
        </w:rPr>
        <w:t>Խ</w:t>
      </w:r>
      <w:r w:rsidRPr="00A91861">
        <w:rPr>
          <w:rFonts w:ascii="Calibri" w:hAnsi="Calibri" w:cs="Calibri"/>
          <w:b/>
          <w:bCs/>
          <w:color w:val="000000"/>
        </w:rPr>
        <w:t> </w:t>
      </w:r>
      <w:r w:rsidRPr="009C4008">
        <w:rPr>
          <w:rFonts w:ascii="GHEA Grapalat" w:hAnsi="GHEA Grapalat"/>
          <w:b/>
          <w:bCs/>
          <w:color w:val="000000"/>
        </w:rPr>
        <w:t>9</w:t>
      </w:r>
    </w:p>
    <w:p w14:paraId="5709C628" w14:textId="77777777" w:rsidR="00C53CD3" w:rsidRPr="009C4008" w:rsidRDefault="00C53CD3" w:rsidP="00C53CD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A91861">
        <w:rPr>
          <w:rFonts w:ascii="Calibri" w:hAnsi="Calibri" w:cs="Calibri"/>
          <w:b/>
          <w:bCs/>
          <w:color w:val="000000"/>
        </w:rPr>
        <w:t> </w:t>
      </w:r>
    </w:p>
    <w:p w14:paraId="4234A61C" w14:textId="77777777" w:rsidR="00C53CD3" w:rsidRPr="009C4008" w:rsidRDefault="00C53CD3" w:rsidP="00C53CD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Emphasis"/>
          <w:rFonts w:ascii="GHEA Grapalat" w:hAnsi="GHEA Grapalat" w:cs="GHEA Grapalat"/>
          <w:b/>
          <w:bCs/>
          <w:i w:val="0"/>
          <w:iCs w:val="0"/>
          <w:color w:val="000000"/>
        </w:rPr>
      </w:pPr>
      <w:r w:rsidRPr="00A91861">
        <w:rPr>
          <w:rStyle w:val="Emphasis"/>
          <w:rFonts w:ascii="GHEA Grapalat" w:hAnsi="GHEA Grapalat"/>
          <w:b/>
          <w:bCs/>
          <w:i w:val="0"/>
          <w:iCs w:val="0"/>
          <w:color w:val="000000"/>
        </w:rPr>
        <w:t>ՊԱՏԱՍԽԱՆԱՏՎՈՒԹՅՈՒՆԸ</w:t>
      </w:r>
      <w:r w:rsidRPr="00A91861">
        <w:rPr>
          <w:rStyle w:val="Emphasis"/>
          <w:rFonts w:ascii="Calibri" w:hAnsi="Calibri" w:cs="Calibri"/>
          <w:b/>
          <w:bCs/>
          <w:i w:val="0"/>
          <w:iCs w:val="0"/>
          <w:color w:val="000000"/>
        </w:rPr>
        <w:t> </w:t>
      </w:r>
      <w:r w:rsidRPr="00A91861">
        <w:rPr>
          <w:rStyle w:val="Emphasis"/>
          <w:rFonts w:ascii="GHEA Grapalat" w:hAnsi="GHEA Grapalat" w:cs="GHEA Grapalat"/>
          <w:b/>
          <w:bCs/>
          <w:i w:val="0"/>
          <w:iCs w:val="0"/>
          <w:color w:val="000000"/>
        </w:rPr>
        <w:t>ՏԵՍԱԼՍՈՂԱԿԱՆ</w:t>
      </w:r>
      <w:r w:rsidRPr="00A91861">
        <w:rPr>
          <w:rStyle w:val="Emphasis"/>
          <w:rFonts w:ascii="Calibri" w:hAnsi="Calibri" w:cs="Calibri"/>
          <w:b/>
          <w:bCs/>
          <w:i w:val="0"/>
          <w:iCs w:val="0"/>
          <w:color w:val="000000"/>
        </w:rPr>
        <w:t> </w:t>
      </w:r>
      <w:r w:rsidRPr="00A91861">
        <w:rPr>
          <w:rStyle w:val="Emphasis"/>
          <w:rFonts w:ascii="GHEA Grapalat" w:hAnsi="GHEA Grapalat" w:cs="GHEA Grapalat"/>
          <w:b/>
          <w:bCs/>
          <w:i w:val="0"/>
          <w:iCs w:val="0"/>
          <w:color w:val="000000"/>
        </w:rPr>
        <w:t>ՄԵԴԻԱՅԻ</w:t>
      </w:r>
      <w:r w:rsidRPr="00A91861">
        <w:rPr>
          <w:rStyle w:val="Emphasis"/>
          <w:rFonts w:ascii="Calibri" w:hAnsi="Calibri" w:cs="Calibri"/>
          <w:b/>
          <w:bCs/>
          <w:i w:val="0"/>
          <w:iCs w:val="0"/>
          <w:color w:val="000000"/>
        </w:rPr>
        <w:t> </w:t>
      </w:r>
      <w:r w:rsidRPr="00A91861">
        <w:rPr>
          <w:rStyle w:val="Emphasis"/>
          <w:rFonts w:ascii="GHEA Grapalat" w:hAnsi="GHEA Grapalat" w:cs="GHEA Grapalat"/>
          <w:b/>
          <w:bCs/>
          <w:i w:val="0"/>
          <w:iCs w:val="0"/>
          <w:color w:val="000000"/>
        </w:rPr>
        <w:t>ՄԱՍԻՆ</w:t>
      </w:r>
    </w:p>
    <w:p w14:paraId="2D03C1F3" w14:textId="6D571E5C" w:rsidR="00C53CD3" w:rsidRPr="00A91861" w:rsidRDefault="00C53CD3" w:rsidP="00C53CD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ru-RU"/>
        </w:rPr>
      </w:pPr>
      <w:r w:rsidRPr="00A91861">
        <w:rPr>
          <w:rStyle w:val="Emphasis"/>
          <w:rFonts w:ascii="Calibri" w:hAnsi="Calibri" w:cs="Calibri"/>
          <w:b/>
          <w:bCs/>
          <w:i w:val="0"/>
          <w:iCs w:val="0"/>
          <w:color w:val="000000"/>
        </w:rPr>
        <w:t> </w:t>
      </w:r>
      <w:r w:rsidRPr="00A91861">
        <w:rPr>
          <w:rStyle w:val="Emphasis"/>
          <w:rFonts w:ascii="GHEA Grapalat" w:hAnsi="GHEA Grapalat" w:cs="GHEA Grapalat"/>
          <w:b/>
          <w:bCs/>
          <w:i w:val="0"/>
          <w:iCs w:val="0"/>
          <w:color w:val="000000"/>
        </w:rPr>
        <w:t>ՕՐԵՆՍԴՐՈՒԹՅԱՆ</w:t>
      </w:r>
      <w:r w:rsidRPr="00A91861">
        <w:rPr>
          <w:rStyle w:val="Emphasis"/>
          <w:rFonts w:ascii="Calibri" w:hAnsi="Calibri" w:cs="Calibri"/>
          <w:b/>
          <w:bCs/>
          <w:i w:val="0"/>
          <w:iCs w:val="0"/>
          <w:color w:val="000000"/>
        </w:rPr>
        <w:t> </w:t>
      </w:r>
      <w:r w:rsidRPr="00A91861">
        <w:rPr>
          <w:rStyle w:val="Emphasis"/>
          <w:rFonts w:ascii="GHEA Grapalat" w:hAnsi="GHEA Grapalat" w:cs="GHEA Grapalat"/>
          <w:b/>
          <w:bCs/>
          <w:i w:val="0"/>
          <w:iCs w:val="0"/>
          <w:color w:val="000000"/>
        </w:rPr>
        <w:t>ՊԱՀԱՆՋՆԵՐԸ</w:t>
      </w:r>
      <w:r w:rsidRPr="00A91861">
        <w:rPr>
          <w:rStyle w:val="Emphasis"/>
          <w:rFonts w:ascii="Calibri" w:hAnsi="Calibri" w:cs="Calibri"/>
          <w:b/>
          <w:bCs/>
          <w:i w:val="0"/>
          <w:iCs w:val="0"/>
          <w:color w:val="000000"/>
        </w:rPr>
        <w:t> </w:t>
      </w:r>
      <w:r w:rsidRPr="00A91861">
        <w:rPr>
          <w:rStyle w:val="Emphasis"/>
          <w:rFonts w:ascii="GHEA Grapalat" w:hAnsi="GHEA Grapalat" w:cs="GHEA Grapalat"/>
          <w:b/>
          <w:bCs/>
          <w:i w:val="0"/>
          <w:iCs w:val="0"/>
          <w:color w:val="000000"/>
        </w:rPr>
        <w:t>ԽԱԽՏԵԼՈՒ</w:t>
      </w:r>
      <w:r w:rsidRPr="00A91861">
        <w:rPr>
          <w:rStyle w:val="Emphasis"/>
          <w:rFonts w:ascii="Calibri" w:hAnsi="Calibri" w:cs="Calibri"/>
          <w:b/>
          <w:bCs/>
          <w:i w:val="0"/>
          <w:iCs w:val="0"/>
          <w:color w:val="000000"/>
        </w:rPr>
        <w:t> </w:t>
      </w:r>
      <w:r w:rsidRPr="00A91861">
        <w:rPr>
          <w:rStyle w:val="Emphasis"/>
          <w:rFonts w:ascii="GHEA Grapalat" w:hAnsi="GHEA Grapalat" w:cs="GHEA Grapalat"/>
          <w:b/>
          <w:bCs/>
          <w:i w:val="0"/>
          <w:iCs w:val="0"/>
          <w:color w:val="000000"/>
        </w:rPr>
        <w:t>ՀԱՄԱՐ</w:t>
      </w:r>
    </w:p>
    <w:p w14:paraId="7A33DAAE" w14:textId="77777777" w:rsidR="00C53CD3" w:rsidRPr="00A91861" w:rsidRDefault="00C53CD3" w:rsidP="00C53CD3">
      <w:pPr>
        <w:rPr>
          <w:rFonts w:ascii="GHEA Grapalat" w:hAnsi="GHEA Grapalat"/>
          <w:sz w:val="24"/>
          <w:szCs w:val="24"/>
          <w:lang w:val="ru-RU"/>
        </w:rPr>
      </w:pPr>
    </w:p>
    <w:p w14:paraId="2A4D0963" w14:textId="77777777" w:rsidR="00C53CD3" w:rsidRPr="00A91861" w:rsidRDefault="00C53CD3" w:rsidP="00C53CD3">
      <w:pPr>
        <w:rPr>
          <w:rFonts w:ascii="GHEA Grapalat" w:hAnsi="GHEA Grapalat"/>
          <w:sz w:val="24"/>
          <w:szCs w:val="24"/>
          <w:lang w:val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642"/>
      </w:tblGrid>
      <w:tr w:rsidR="00C53CD3" w:rsidRPr="00C53CD3" w14:paraId="748F58A5" w14:textId="77777777" w:rsidTr="00C53CD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E1635B9" w14:textId="77777777" w:rsidR="00C53CD3" w:rsidRPr="00C53CD3" w:rsidRDefault="00C53CD3" w:rsidP="00C53CD3">
            <w:pPr>
              <w:ind w:firstLine="0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C53CD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 58.</w:t>
            </w:r>
          </w:p>
        </w:tc>
        <w:tc>
          <w:tcPr>
            <w:tcW w:w="0" w:type="auto"/>
            <w:shd w:val="clear" w:color="auto" w:fill="FFFFFF"/>
            <w:hideMark/>
          </w:tcPr>
          <w:p w14:paraId="3517FE9B" w14:textId="77777777" w:rsidR="00C53CD3" w:rsidRPr="00C53CD3" w:rsidRDefault="00C53CD3" w:rsidP="00C53CD3">
            <w:pPr>
              <w:ind w:firstLine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C53CD3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Հեղինակազորման կամ լիցենզիայի գործողության կասեցումն ու դադարեցումը</w:t>
            </w:r>
          </w:p>
        </w:tc>
      </w:tr>
    </w:tbl>
    <w:p w14:paraId="3A48B810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2CA1D0D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1. Հեռարձակողի հեղինակազորման կամ լիցենզիայի գործողությունը կասեցվում է, եթե`</w:t>
      </w:r>
    </w:p>
    <w:p w14:paraId="6EC92A07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1) Հեռարձակողը սույն օրենքի 57-րդ հոդվածի 31-րդ մասով սահմանված հիմքով մեկ տարվա ընթացքում երեք անգամ ենթարկվել է վարչական տույժի (բացառությամբ սույն հոդվածի 1-ին մասի 2-րդ կետի), որից հետո նույն տարվա ընթացքում կատարել է սույն օրենքի 55-րդ հոդվածի 1-ին մասով սահմանված որևէ վարչական տույժի նշանակման համար հիմք համարվող արարք.</w:t>
      </w:r>
    </w:p>
    <w:p w14:paraId="365E3220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2) Հեռարձակողը, սույն օրենքի 57-րդ հոդվածի 31-րդ մասով սահմանված հիմքով սույն օրենքի 57-րդ հոդվածի 7-րդ մասի համաձայն, մեկ տարվա ընթացքում մեկ անգամ ենթարկվել է վարչական տույժի, որից հետո նույն տարվա ընթացքում կատարել է սույն օրենքի 55-րդ հոդվածի 1-ին մասով սահմանված որևէ վարչական տույժի նշանակման համար հիմք համարվող արարք.</w:t>
      </w:r>
    </w:p>
    <w:p w14:paraId="56B5B889" w14:textId="2681D88B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3) Հեռարձակողի</w:t>
      </w:r>
      <w:r w:rsidRPr="00A918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A91861">
        <w:rPr>
          <w:rFonts w:ascii="GHEA Grapalat" w:eastAsia="Times New Roman" w:hAnsi="GHEA Grapalat" w:cs="Times New Roman"/>
          <w:color w:val="FF0000"/>
          <w:kern w:val="0"/>
          <w:sz w:val="24"/>
          <w:szCs w:val="24"/>
          <w:lang w:val="hy-AM"/>
          <w14:ligatures w14:val="none"/>
        </w:rPr>
        <w:t>կամ օպերատորի</w:t>
      </w:r>
      <w:r w:rsidRPr="00C53CD3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տեխնիկական միջոցները չեն համապատասխանում ընդունված ստանդարտներին, որի հետևանքով վտանգ է սպառնում մարդկանց առողջությանը,</w:t>
      </w:r>
      <w:r w:rsidR="00A91861" w:rsidRPr="00A918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91861" w:rsidRPr="00A91861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տեխնիկական խոչընդոտներ են ստեղծվում այլ Հեռարձակողների և օպերատորների, ինչպես նաև Հայաստանի Հանրապետությունում օրինական գործող ռադիոհաճախականություններ օգտագործող այլ սուբյեկտների </w:t>
      </w:r>
      <w:r w:rsidRPr="00C53CD3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14:ligatures w14:val="none"/>
        </w:rPr>
        <w:t>արգելքներ են ստեղծվում այլ Հեռարձակողների և օպերատորների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գործունեության համար, չի ապահովվում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տեսալսողական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հաղորդումների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տեխնիկական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որակը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1475417B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4) լիցենզիա ստացած Հեռարձակողն առանց որևէ հիմնավոր պատճառի 24 ժամ շարունակ չի ապահովել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տեսալսողական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հաղորդումների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հեռարձակում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715DB9C3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5) լիցենզիա ստացած Հեռարձակողը լիցենզիան ստանալու պահից վեց ամսվա ընթացքում չի հեռարձակել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տեսալսողական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հաղորդումներ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33AC62E1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6) այդ մասին կա Հեռարձակողի դիմումը.</w:t>
      </w:r>
    </w:p>
    <w:p w14:paraId="775A2116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7) խախտվել են օրենքի 9-րդ հոդվածի 1-ին մասի պահանջները.</w:t>
      </w:r>
    </w:p>
    <w:p w14:paraId="57B4308B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8) ռազմական կամ արտակարգ դրության ժամանակ վարչապետին կամ արտակարգ դրության ընթացքում ի պաշտոնե արտակարգ դրության տարածքի պարետ հանդիսացող փոխվարչապետին պաշտոնական հաղորդագրություն կատարելու համար եթերաժամանակ չի հատկացվե.</w:t>
      </w:r>
    </w:p>
    <w:p w14:paraId="36B71F89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9) Հեռարձակողի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տեսալսողական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ծրագրի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անվանումը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չի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համապատասխանում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սույն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օրենքի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43-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հոդվածի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4-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րդ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մասի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պահանջներինլ։</w:t>
      </w:r>
    </w:p>
    <w:p w14:paraId="2A4198D9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2. Հեղինակազորման կամ լիցենզիայի գործողությունը կասեցնելուց հետո կարգավորող պետական մարմնի նշած ժամկետում սույն հոդվածի 1-ին մասում նշված խախտումները վերացնելու դեպքում կարգավորող պետական մարմինը վերացնում է կասեցումը:</w:t>
      </w:r>
    </w:p>
    <w:p w14:paraId="31917AA6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Կասեցման ժամկետը չի կարող գերազանցել 30 օրը:</w:t>
      </w:r>
    </w:p>
    <w:p w14:paraId="351B0686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3. Հեղինակազորումը կամ լիցենզիայի գործողությունը դադարեցվում է, եթե՝</w:t>
      </w:r>
    </w:p>
    <w:p w14:paraId="68D622CF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1) իրավաբանական անձը լուծարվել է.</w:t>
      </w:r>
    </w:p>
    <w:p w14:paraId="7A02611F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2) տեղի է ունեցել լիցենզիայի փոխանցում ֆիզիկական կամ իրավաբանական այլ անձանց.</w:t>
      </w:r>
    </w:p>
    <w:p w14:paraId="4854E11D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3) լիցենզավորման կամ հեղինակազորման համար ներկայացված փաստաթղթերում էական նշանակություն ունեցող կեղծ կամ խեղաթյուրված տեղեկատվություն է հայտնաբերվել.</w:t>
      </w:r>
    </w:p>
    <w:p w14:paraId="7B4D034D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4) սույն հոդվածի 2-րդ մասով սահմանված խախտումը չի վերացվել.</w:t>
      </w:r>
    </w:p>
    <w:p w14:paraId="5484A525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5) այդ մասին դիմում է ներկայացվել.</w:t>
      </w:r>
    </w:p>
    <w:p w14:paraId="7FC06629" w14:textId="77777777" w:rsidR="00C53CD3" w:rsidRPr="00A91861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6) դատարանի՝ օրինական ուժի մեջ մտած դատական ակտով անվավեր է ճանաչվել սույն օրենքի 46-րդ հոդվածի 9.1-ին մասով մրցույթում հաղթող ճանաչելու և լիցենզիան տրամադրելու որոշումը.</w:t>
      </w:r>
    </w:p>
    <w:p w14:paraId="337B269C" w14:textId="793C009D" w:rsidR="00A91861" w:rsidRPr="00C53CD3" w:rsidRDefault="00A91861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</w:pPr>
      <w:r w:rsidRPr="002E61CE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6.1) </w:t>
      </w:r>
      <w:r w:rsidRPr="002E61CE">
        <w:rPr>
          <w:rFonts w:ascii="GHEA Grapalat" w:hAnsi="GHEA Grapalat" w:cs="Arian AMU"/>
          <w:bCs/>
          <w:color w:val="FF0000"/>
          <w:sz w:val="24"/>
          <w:szCs w:val="24"/>
          <w:bdr w:val="none" w:sz="0" w:space="0" w:color="auto" w:frame="1"/>
          <w:lang w:val="hy-AM"/>
        </w:rPr>
        <w:t>Կարգավորող պետական մարմնի կողմից տեսալսողական ծրագրի կամ տեսալսողական հաղորդման գործողության կասեցված լինելու պայմաններում Հեռարձակողի կողմից իրականացվել է տեսալսողական հաղորդումների հեռարձակում:</w:t>
      </w:r>
    </w:p>
    <w:p w14:paraId="131C3E6A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7) օրենքով սահմանվել են լիցենզիայի գործողությունը դադարեցնելու այլ դեպքեր։</w:t>
      </w:r>
    </w:p>
    <w:p w14:paraId="3D932460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4.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Տեսալսողական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հաղորդումների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հեռարձակման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ընթացքում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կատարված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տեխնիկական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կանոնների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խախտման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թերացումների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կամ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հաղորդումների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հեռարձակումը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չապահովելու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համար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անձն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ազատվում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է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պատասխանատվությունից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եթե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հիմնավորվում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է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որ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դրանք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թույլ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են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տրվել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50E755BC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1) պետական լիազորված մարմինների կողմից տեխնիկական կանոնների կամ չափորոշիչների փոփոխության պատճառով.</w:t>
      </w:r>
    </w:p>
    <w:p w14:paraId="55D0E57D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2) տեխնիկական վերազինման նպատակով, որի մասին դրա իրականացումից առնվազն 30 օր առաջ գրավոր հիմնավորմամբ անձը տեղյակ է պահել կարգավորող պետական մարմնին և ստացել թույլտվություն.</w:t>
      </w:r>
    </w:p>
    <w:p w14:paraId="4A00BE3B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3) անհաղթահարելի ուժի հետևանքով:</w:t>
      </w:r>
    </w:p>
    <w:p w14:paraId="198EC4C3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5. Սույն հոդվածի 4-րդ մասով սահմանված դեպքերում Հեռարձակողները ողջամիտ ժամկետում վերականգնում են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տեսալսողական</w:t>
      </w: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հաղորդումների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հեռարձակումը</w:t>
      </w: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151F32D3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6. Սույն հոդվածի դրույթները տարածվում են նաև ցանցային օպերատորների վրա այնքանով, որքանով կիրառելի են:</w:t>
      </w:r>
    </w:p>
    <w:p w14:paraId="68ED9527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7. Եթե հանրային մուլտիպլեքսի սլոթի օգտագործման լիցենզիա տալու մասին կարգավորող պետական մարմնի որոշումը դատարանի՝ օրինական ուժի մեջ մտած դատական ակտով ճանաչվել է անվավեր, ապա այդ որոշման անվավեր ճանաչվելու պահին հանրային մուլտիպլեքսի սլոթ օգտագործող Հեռարձակողն իր դիմումի հիման վրա նույն պայմաններով շարունակում է իրականացնել հեռարձակում մինչև օրենքով սահմանված կարգով սլոթի համար նոր մրցույթի արդյունքների ամփոփումը և լիցենզիայի տրամադրումը կամ դրա հիմնավոր մերժումը։</w:t>
      </w:r>
    </w:p>
    <w:p w14:paraId="7D7FE476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(58-րդ հոդվածը լրաց. 20.12.22 ՀՕ-622-Ն, 22.03.23 ՀՕ-124-Ն)</w:t>
      </w:r>
    </w:p>
    <w:p w14:paraId="2E6C8744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(20.12</w:t>
      </w:r>
      <w:r w:rsidRPr="00C53CD3">
        <w:rPr>
          <w:rFonts w:ascii="Cambria Math" w:eastAsia="Times New Roman" w:hAnsi="Cambria Math" w:cs="Cambria Math"/>
          <w:b/>
          <w:bCs/>
          <w:i/>
          <w:iCs/>
          <w:color w:val="000000"/>
          <w:kern w:val="0"/>
          <w:sz w:val="24"/>
          <w:szCs w:val="24"/>
          <w14:ligatures w14:val="none"/>
        </w:rPr>
        <w:t>․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22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hyperlink r:id="rId9" w:history="1">
        <w:r w:rsidRPr="00C53CD3">
          <w:rPr>
            <w:rFonts w:ascii="GHEA Grapalat" w:eastAsia="Times New Roman" w:hAnsi="GHEA Grapalat" w:cs="Times New Roman"/>
            <w:b/>
            <w:bCs/>
            <w:i/>
            <w:iCs/>
            <w:color w:val="0000FF"/>
            <w:kern w:val="0"/>
            <w:sz w:val="24"/>
            <w:szCs w:val="24"/>
            <w:u w:val="single"/>
            <w14:ligatures w14:val="none"/>
          </w:rPr>
          <w:t>ՀՕ-622-Ն</w:t>
        </w:r>
      </w:hyperlink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օրենքն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ունի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եզրափակիչ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մաս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և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անցումային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դրույթներ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148E140C" w14:textId="0B7FD033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(22.03.23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hyperlink r:id="rId10" w:history="1">
        <w:r w:rsidRPr="00C53CD3">
          <w:rPr>
            <w:rFonts w:ascii="GHEA Grapalat" w:eastAsia="Times New Roman" w:hAnsi="GHEA Grapalat" w:cs="Times New Roman"/>
            <w:b/>
            <w:bCs/>
            <w:i/>
            <w:iCs/>
            <w:color w:val="0000FF"/>
            <w:kern w:val="0"/>
            <w:sz w:val="24"/>
            <w:szCs w:val="24"/>
            <w:u w:val="single"/>
            <w14:ligatures w14:val="none"/>
          </w:rPr>
          <w:t>ՀՕ-124-Ն</w:t>
        </w:r>
      </w:hyperlink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օրենքն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ունի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ե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զրափակիչ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մաս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և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անցումային</w:t>
      </w:r>
      <w:r w:rsidRPr="00C53CD3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C53CD3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դրույթ</w:t>
      </w:r>
      <w:r w:rsidRPr="00C53CD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  <w:r w:rsidRPr="00A91861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:</w:t>
      </w:r>
    </w:p>
    <w:p w14:paraId="29A3C9C2" w14:textId="77777777" w:rsidR="00C53CD3" w:rsidRPr="00C53CD3" w:rsidRDefault="00C53CD3" w:rsidP="00C53CD3">
      <w:pPr>
        <w:shd w:val="clear" w:color="auto" w:fill="FFFFFF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53CD3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5A3BF833" w14:textId="77777777" w:rsidR="00C53CD3" w:rsidRPr="00A91861" w:rsidRDefault="00C53CD3" w:rsidP="00C53CD3">
      <w:pPr>
        <w:rPr>
          <w:rFonts w:ascii="GHEA Grapalat" w:hAnsi="GHEA Grapalat"/>
          <w:sz w:val="24"/>
          <w:szCs w:val="24"/>
        </w:rPr>
      </w:pPr>
    </w:p>
    <w:sectPr w:rsidR="00C53CD3" w:rsidRPr="00A91861" w:rsidSect="00C03955">
      <w:pgSz w:w="12240" w:h="15840"/>
      <w:pgMar w:top="272" w:right="851" w:bottom="1259" w:left="1134" w:header="181" w:footer="374" w:gutter="56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C5"/>
    <w:rsid w:val="002E61CE"/>
    <w:rsid w:val="002F61F9"/>
    <w:rsid w:val="00354DEF"/>
    <w:rsid w:val="00372B1F"/>
    <w:rsid w:val="00486DC5"/>
    <w:rsid w:val="004C7360"/>
    <w:rsid w:val="00570CA6"/>
    <w:rsid w:val="00750AF7"/>
    <w:rsid w:val="007A7465"/>
    <w:rsid w:val="009823E3"/>
    <w:rsid w:val="009960FC"/>
    <w:rsid w:val="009C4008"/>
    <w:rsid w:val="009D230D"/>
    <w:rsid w:val="00A91861"/>
    <w:rsid w:val="00BC2BB4"/>
    <w:rsid w:val="00BF1444"/>
    <w:rsid w:val="00C03955"/>
    <w:rsid w:val="00C53CD3"/>
    <w:rsid w:val="00C725FB"/>
    <w:rsid w:val="00D7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E143D"/>
  <w15:chartTrackingRefBased/>
  <w15:docId w15:val="{8AEFFC6E-A7C0-407E-99DD-4B9BA5415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20" w:line="288" w:lineRule="auto"/>
        <w:ind w:firstLine="54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86DC5"/>
    <w:rPr>
      <w:b/>
      <w:bCs/>
    </w:rPr>
  </w:style>
  <w:style w:type="paragraph" w:styleId="NormalWeb">
    <w:name w:val="Normal (Web)"/>
    <w:basedOn w:val="Normal"/>
    <w:uiPriority w:val="99"/>
    <w:unhideWhenUsed/>
    <w:rsid w:val="00486DC5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Emphasis">
    <w:name w:val="Emphasis"/>
    <w:basedOn w:val="DefaultParagraphFont"/>
    <w:uiPriority w:val="20"/>
    <w:qFormat/>
    <w:rsid w:val="00486DC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86DC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0A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8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6909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lis.am/DocumentView.aspx?docid=145687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4588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rlis.am/DocumentView.aspx?docid=145883" TargetMode="External"/><Relationship Id="rId10" Type="http://schemas.openxmlformats.org/officeDocument/2006/relationships/hyperlink" Target="https://www.arlis.am/DocumentView.aspx?docid=169093" TargetMode="External"/><Relationship Id="rId4" Type="http://schemas.openxmlformats.org/officeDocument/2006/relationships/hyperlink" Target="https://www.arlis.am/DocumentView.aspx?docid=145883" TargetMode="External"/><Relationship Id="rId9" Type="http://schemas.openxmlformats.org/officeDocument/2006/relationships/hyperlink" Target="https://www.arlis.am/DocumentView.aspx?docid=1727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2158</Words>
  <Characters>12302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Meline Danielyan</dc:creator>
  <cp:keywords>https://mul2-mtc.gov.am/tasks/1119263/oneclick/15dd89d4731d4657eb1482df9c5a2002394038f06dc20b1a60720c4ab8f23226.docx?token=781ffa5e8acae96312fa5ed4167b2685</cp:keywords>
  <dc:description/>
  <cp:lastModifiedBy>Meline Danielyan</cp:lastModifiedBy>
  <cp:revision>11</cp:revision>
  <dcterms:created xsi:type="dcterms:W3CDTF">2023-07-19T08:02:00Z</dcterms:created>
  <dcterms:modified xsi:type="dcterms:W3CDTF">2024-10-02T10:52:00Z</dcterms:modified>
</cp:coreProperties>
</file>