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03A33" w14:textId="77777777" w:rsidR="00786E16" w:rsidRPr="003B1F63" w:rsidRDefault="00787EC6" w:rsidP="00EC5DD4">
      <w:pPr>
        <w:spacing w:after="0"/>
        <w:jc w:val="center"/>
        <w:rPr>
          <w:b/>
          <w:sz w:val="24"/>
          <w:szCs w:val="24"/>
        </w:rPr>
      </w:pPr>
      <w:r w:rsidRPr="003B1F63">
        <w:rPr>
          <w:b/>
          <w:sz w:val="24"/>
          <w:szCs w:val="24"/>
        </w:rPr>
        <w:t>ԱՄՓՈՓԱԹԵՐԹ</w:t>
      </w:r>
    </w:p>
    <w:p w14:paraId="61A57996" w14:textId="77777777" w:rsidR="00786E16" w:rsidRPr="003B1F63" w:rsidRDefault="00787EC6" w:rsidP="00EC5DD4">
      <w:pPr>
        <w:spacing w:after="0"/>
        <w:jc w:val="center"/>
        <w:rPr>
          <w:b/>
          <w:sz w:val="24"/>
          <w:szCs w:val="24"/>
        </w:rPr>
      </w:pPr>
      <w:r w:rsidRPr="003B1F63">
        <w:rPr>
          <w:b/>
          <w:sz w:val="24"/>
          <w:szCs w:val="24"/>
        </w:rPr>
        <w:t>«ՀԱՅԱՍՏԱՆԻ ՀԱՆՐԱՊԵՏՈՒԹՅԱՆ ՀԱՐԿԱՅԻՆ ՕՐԵՆՍԳՐՔՈՒՄ ԼՐԱՑՈՒՄ ԵՎ ՓՈՓՈԽՈՒԹՅՈՒՆ ԿԱՏԱՐԵԼՈՒ ՄԱՍԻՆ» ՕՐԵՆՔԻ ՆԱԽԱԳԾԻ ՎԵՐԱԲԵՐՅԱԼ ՆԵՐԿԱՅԱՑՎԱԾ ԱՌԱՋԱՐԿՈՒԹՅՈՒՆՆԵՐԻ ՀԻՄԱՆ ՎՐԱ ԿԱՏԱՐՎԱԾ ՓՈՓՈԽՈՒԹՅՈՒՆՆԵՐԻ</w:t>
      </w:r>
    </w:p>
    <w:p w14:paraId="24365F23" w14:textId="77777777" w:rsidR="00786E16" w:rsidRPr="003B1F63" w:rsidRDefault="00786E16" w:rsidP="00EC5DD4">
      <w:pPr>
        <w:spacing w:after="0"/>
        <w:jc w:val="center"/>
        <w:rPr>
          <w:b/>
          <w:sz w:val="24"/>
          <w:szCs w:val="24"/>
        </w:rPr>
      </w:pPr>
    </w:p>
    <w:tbl>
      <w:tblPr>
        <w:tblStyle w:val="a"/>
        <w:tblW w:w="1062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5850"/>
        <w:gridCol w:w="4320"/>
      </w:tblGrid>
      <w:tr w:rsidR="00786E16" w:rsidRPr="003B1F63" w14:paraId="5E1C3078" w14:textId="77777777">
        <w:tc>
          <w:tcPr>
            <w:tcW w:w="450" w:type="dxa"/>
          </w:tcPr>
          <w:p w14:paraId="54EC8DEA" w14:textId="77777777" w:rsidR="00786E16" w:rsidRPr="003B1F63" w:rsidRDefault="00786E16" w:rsidP="00EC5DD4">
            <w:pPr>
              <w:jc w:val="center"/>
              <w:rPr>
                <w:b/>
                <w:sz w:val="24"/>
                <w:szCs w:val="24"/>
              </w:rPr>
            </w:pPr>
          </w:p>
        </w:tc>
        <w:tc>
          <w:tcPr>
            <w:tcW w:w="5850" w:type="dxa"/>
          </w:tcPr>
          <w:p w14:paraId="120D3FCC" w14:textId="77777777" w:rsidR="00786E16" w:rsidRPr="003B1F63" w:rsidRDefault="00787EC6" w:rsidP="00EC5DD4">
            <w:pPr>
              <w:jc w:val="center"/>
              <w:rPr>
                <w:b/>
                <w:sz w:val="24"/>
                <w:szCs w:val="24"/>
              </w:rPr>
            </w:pPr>
            <w:r w:rsidRPr="003B1F63">
              <w:rPr>
                <w:b/>
                <w:sz w:val="24"/>
                <w:szCs w:val="24"/>
              </w:rPr>
              <w:t>Առաջարկություն</w:t>
            </w:r>
          </w:p>
        </w:tc>
        <w:tc>
          <w:tcPr>
            <w:tcW w:w="4320" w:type="dxa"/>
          </w:tcPr>
          <w:p w14:paraId="21553D44" w14:textId="77777777" w:rsidR="00786E16" w:rsidRPr="003B1F63" w:rsidRDefault="00787EC6" w:rsidP="00EC5DD4">
            <w:pPr>
              <w:jc w:val="center"/>
              <w:rPr>
                <w:b/>
                <w:sz w:val="24"/>
                <w:szCs w:val="24"/>
              </w:rPr>
            </w:pPr>
            <w:r w:rsidRPr="003B1F63">
              <w:rPr>
                <w:b/>
                <w:sz w:val="24"/>
                <w:szCs w:val="24"/>
              </w:rPr>
              <w:t>Կատարված փոփոխություն/մեկնաբանություն</w:t>
            </w:r>
          </w:p>
        </w:tc>
      </w:tr>
      <w:tr w:rsidR="00826C43" w:rsidRPr="003B1F63" w14:paraId="7D34D20C" w14:textId="77777777" w:rsidTr="00826C43">
        <w:tc>
          <w:tcPr>
            <w:tcW w:w="450" w:type="dxa"/>
            <w:vMerge w:val="restart"/>
            <w:shd w:val="clear" w:color="auto" w:fill="D9D9D9" w:themeFill="background1" w:themeFillShade="D9"/>
          </w:tcPr>
          <w:p w14:paraId="7A7C5278" w14:textId="77777777" w:rsidR="00826C43" w:rsidRPr="003B1F63" w:rsidRDefault="00826C43" w:rsidP="00881829">
            <w:pPr>
              <w:spacing w:after="0" w:line="240" w:lineRule="auto"/>
              <w:jc w:val="center"/>
              <w:rPr>
                <w:b/>
                <w:bCs/>
                <w:sz w:val="24"/>
                <w:szCs w:val="24"/>
              </w:rPr>
            </w:pPr>
            <w:r w:rsidRPr="003B1F63">
              <w:rPr>
                <w:b/>
                <w:bCs/>
                <w:sz w:val="24"/>
                <w:szCs w:val="24"/>
              </w:rPr>
              <w:t>1</w:t>
            </w:r>
          </w:p>
        </w:tc>
        <w:tc>
          <w:tcPr>
            <w:tcW w:w="5850" w:type="dxa"/>
            <w:vMerge w:val="restart"/>
            <w:shd w:val="clear" w:color="auto" w:fill="D9D9D9" w:themeFill="background1" w:themeFillShade="D9"/>
          </w:tcPr>
          <w:p w14:paraId="0E74AE7F" w14:textId="77777777" w:rsidR="00826C43" w:rsidRPr="003B1F63" w:rsidRDefault="00826C43" w:rsidP="00881829">
            <w:pPr>
              <w:spacing w:after="0" w:line="240" w:lineRule="auto"/>
              <w:jc w:val="center"/>
              <w:rPr>
                <w:b/>
                <w:bCs/>
                <w:sz w:val="24"/>
                <w:szCs w:val="24"/>
              </w:rPr>
            </w:pPr>
            <w:r w:rsidRPr="003B1F63">
              <w:rPr>
                <w:b/>
                <w:bCs/>
                <w:sz w:val="24"/>
                <w:szCs w:val="24"/>
              </w:rPr>
              <w:t>ՀՀ ֆինանսների նախարարություն</w:t>
            </w:r>
          </w:p>
        </w:tc>
        <w:tc>
          <w:tcPr>
            <w:tcW w:w="4320" w:type="dxa"/>
            <w:shd w:val="clear" w:color="auto" w:fill="D9D9D9" w:themeFill="background1" w:themeFillShade="D9"/>
          </w:tcPr>
          <w:p w14:paraId="2D56FD01" w14:textId="4618BB8B" w:rsidR="00826C43" w:rsidRPr="003B1F63" w:rsidRDefault="00881829" w:rsidP="00881829">
            <w:pPr>
              <w:spacing w:after="0" w:line="240" w:lineRule="auto"/>
              <w:jc w:val="center"/>
              <w:rPr>
                <w:b/>
                <w:bCs/>
                <w:sz w:val="24"/>
                <w:szCs w:val="24"/>
              </w:rPr>
            </w:pPr>
            <w:r w:rsidRPr="003B1F63">
              <w:rPr>
                <w:b/>
                <w:bCs/>
                <w:sz w:val="24"/>
                <w:szCs w:val="24"/>
              </w:rPr>
              <w:t>17</w:t>
            </w:r>
            <w:r w:rsidRPr="003B1F63">
              <w:rPr>
                <w:rFonts w:ascii="Cambria Math" w:hAnsi="Cambria Math" w:cs="Cambria Math"/>
                <w:b/>
                <w:bCs/>
                <w:sz w:val="24"/>
                <w:szCs w:val="24"/>
              </w:rPr>
              <w:t>․</w:t>
            </w:r>
            <w:r w:rsidRPr="003B1F63">
              <w:rPr>
                <w:b/>
                <w:bCs/>
                <w:sz w:val="24"/>
                <w:szCs w:val="24"/>
              </w:rPr>
              <w:t>08</w:t>
            </w:r>
            <w:r w:rsidRPr="003B1F63">
              <w:rPr>
                <w:rFonts w:ascii="Cambria Math" w:hAnsi="Cambria Math" w:cs="Cambria Math"/>
                <w:b/>
                <w:bCs/>
                <w:sz w:val="24"/>
                <w:szCs w:val="24"/>
              </w:rPr>
              <w:t>․</w:t>
            </w:r>
            <w:r w:rsidRPr="003B1F63">
              <w:rPr>
                <w:b/>
                <w:bCs/>
                <w:sz w:val="24"/>
                <w:szCs w:val="24"/>
              </w:rPr>
              <w:t>2023 թ</w:t>
            </w:r>
            <w:r w:rsidRPr="003B1F63">
              <w:rPr>
                <w:rFonts w:ascii="Cambria Math" w:hAnsi="Cambria Math" w:cs="Cambria Math"/>
                <w:b/>
                <w:bCs/>
                <w:sz w:val="24"/>
                <w:szCs w:val="24"/>
              </w:rPr>
              <w:t>․</w:t>
            </w:r>
          </w:p>
        </w:tc>
      </w:tr>
      <w:tr w:rsidR="00826C43" w:rsidRPr="003B1F63" w14:paraId="32666E43" w14:textId="77777777" w:rsidTr="00826C43">
        <w:tc>
          <w:tcPr>
            <w:tcW w:w="450" w:type="dxa"/>
            <w:vMerge/>
            <w:shd w:val="clear" w:color="auto" w:fill="D9D9D9" w:themeFill="background1" w:themeFillShade="D9"/>
          </w:tcPr>
          <w:p w14:paraId="16806F4E" w14:textId="77777777" w:rsidR="00826C43" w:rsidRPr="003B1F63" w:rsidRDefault="00826C43" w:rsidP="00881829">
            <w:pPr>
              <w:spacing w:after="0" w:line="240" w:lineRule="auto"/>
              <w:jc w:val="center"/>
              <w:rPr>
                <w:b/>
                <w:bCs/>
                <w:sz w:val="24"/>
                <w:szCs w:val="24"/>
              </w:rPr>
            </w:pPr>
          </w:p>
        </w:tc>
        <w:tc>
          <w:tcPr>
            <w:tcW w:w="5850" w:type="dxa"/>
            <w:vMerge/>
            <w:shd w:val="clear" w:color="auto" w:fill="D9D9D9" w:themeFill="background1" w:themeFillShade="D9"/>
          </w:tcPr>
          <w:p w14:paraId="583ACCB1" w14:textId="77777777" w:rsidR="00826C43" w:rsidRPr="003B1F63" w:rsidRDefault="00826C43" w:rsidP="00881829">
            <w:pPr>
              <w:spacing w:after="0" w:line="240" w:lineRule="auto"/>
              <w:jc w:val="center"/>
              <w:rPr>
                <w:b/>
                <w:bCs/>
                <w:sz w:val="24"/>
                <w:szCs w:val="24"/>
              </w:rPr>
            </w:pPr>
          </w:p>
        </w:tc>
        <w:tc>
          <w:tcPr>
            <w:tcW w:w="4320" w:type="dxa"/>
            <w:shd w:val="clear" w:color="auto" w:fill="D9D9D9" w:themeFill="background1" w:themeFillShade="D9"/>
          </w:tcPr>
          <w:p w14:paraId="62CB7578" w14:textId="3447E1D1" w:rsidR="00826C43" w:rsidRPr="003B1F63" w:rsidRDefault="00881829" w:rsidP="00881829">
            <w:pPr>
              <w:spacing w:after="0" w:line="240" w:lineRule="auto"/>
              <w:jc w:val="center"/>
              <w:rPr>
                <w:b/>
                <w:bCs/>
                <w:sz w:val="24"/>
                <w:szCs w:val="24"/>
              </w:rPr>
            </w:pPr>
            <w:r w:rsidRPr="003B1F63">
              <w:rPr>
                <w:b/>
                <w:bCs/>
                <w:sz w:val="24"/>
                <w:szCs w:val="24"/>
                <w:lang w:val="en-US"/>
              </w:rPr>
              <w:t xml:space="preserve">N </w:t>
            </w:r>
            <w:r w:rsidRPr="003B1F63">
              <w:rPr>
                <w:b/>
                <w:bCs/>
                <w:sz w:val="24"/>
                <w:szCs w:val="24"/>
              </w:rPr>
              <w:t>01/2-3/15005-2023</w:t>
            </w:r>
          </w:p>
        </w:tc>
      </w:tr>
      <w:tr w:rsidR="00786E16" w:rsidRPr="003B1F63" w14:paraId="4772D1EF" w14:textId="77777777">
        <w:tc>
          <w:tcPr>
            <w:tcW w:w="450" w:type="dxa"/>
          </w:tcPr>
          <w:p w14:paraId="6E6B0986" w14:textId="77777777" w:rsidR="00786E16" w:rsidRPr="003B1F63" w:rsidRDefault="00786E16" w:rsidP="00EC5DD4">
            <w:pPr>
              <w:jc w:val="center"/>
              <w:rPr>
                <w:sz w:val="24"/>
                <w:szCs w:val="24"/>
              </w:rPr>
            </w:pPr>
          </w:p>
        </w:tc>
        <w:tc>
          <w:tcPr>
            <w:tcW w:w="5850" w:type="dxa"/>
          </w:tcPr>
          <w:p w14:paraId="1B593A91" w14:textId="77777777" w:rsidR="00786E16" w:rsidRPr="003B1F63" w:rsidRDefault="00787EC6" w:rsidP="00EC5DD4">
            <w:pPr>
              <w:tabs>
                <w:tab w:val="left" w:pos="851"/>
              </w:tabs>
              <w:spacing w:after="0"/>
              <w:ind w:firstLine="567"/>
              <w:jc w:val="both"/>
              <w:rPr>
                <w:color w:val="000000"/>
                <w:sz w:val="24"/>
                <w:szCs w:val="24"/>
                <w:highlight w:val="white"/>
              </w:rPr>
            </w:pPr>
            <w:r w:rsidRPr="003B1F63">
              <w:rPr>
                <w:color w:val="000000"/>
                <w:sz w:val="24"/>
                <w:szCs w:val="24"/>
                <w:highlight w:val="white"/>
              </w:rPr>
              <w:t xml:space="preserve">Նախագծով, մասնավորապես, առաջարկվում է նվազեցնել </w:t>
            </w:r>
            <w:r w:rsidRPr="003B1F63">
              <w:rPr>
                <w:sz w:val="24"/>
                <w:szCs w:val="24"/>
              </w:rPr>
              <w:t xml:space="preserve">հսկիչ դրամարկղային մեքենայի կտրոնում ապրանքի ապրանքային դիրքը, աշխատանքի կամ ծառայության կոդը սխալ տպագրելու դեպքում կիրառվող պատասխանատվության միջոցը և գործող օրենսդրությամբ սահմանված՝ 200 հազար դրամի և տվյալ հարկ վճարողի բոլոր հսկիչ դրամարկղային մեքենաներով նախորդ եռամսյակի ընթացքում արձանագրված շրջանառության 0.5 տոկոսի գումարի չափով բայց ոչ ավել 10 մլն դրամը տուգանքի փոխարեն սահմանել նախազգուշացում, </w:t>
            </w:r>
            <w:r w:rsidRPr="003B1F63">
              <w:rPr>
                <w:color w:val="000000"/>
                <w:sz w:val="24"/>
                <w:szCs w:val="24"/>
                <w:highlight w:val="white"/>
              </w:rPr>
              <w:t>իսկ նախազգուշացումը կիրառելուց հետո մեկ տարվա ընթացքում կրկին կատարելու դեպքում՝ 10 հազար դրամի չափով տուգանք:</w:t>
            </w:r>
          </w:p>
          <w:p w14:paraId="49287AE8" w14:textId="77777777" w:rsidR="00786E16" w:rsidRPr="003B1F63" w:rsidRDefault="00787EC6" w:rsidP="00EC5DD4">
            <w:pPr>
              <w:tabs>
                <w:tab w:val="left" w:pos="851"/>
              </w:tabs>
              <w:spacing w:after="0"/>
              <w:ind w:firstLine="567"/>
              <w:jc w:val="both"/>
              <w:rPr>
                <w:sz w:val="24"/>
                <w:szCs w:val="24"/>
              </w:rPr>
            </w:pPr>
            <w:r w:rsidRPr="003B1F63">
              <w:rPr>
                <w:color w:val="000000"/>
                <w:sz w:val="24"/>
                <w:szCs w:val="24"/>
                <w:highlight w:val="white"/>
              </w:rPr>
              <w:t xml:space="preserve">Վերոգրյալի կապակցությամբ, նախ, հայտնում ենք, որ </w:t>
            </w:r>
            <w:r w:rsidRPr="003B1F63">
              <w:rPr>
                <w:sz w:val="24"/>
                <w:szCs w:val="24"/>
              </w:rPr>
              <w:t>հսկիչ դրամարկղային մեքենայի կտրոնում խնդրո առարկա տեղեկությունները նշելու պահանջի սահմանումը նպատակ ունի նվազեցնել ստվերային շրջանառությունների առկայության ռիսկերը, ինչպես նաև համապատասխան վերլուծական աշխատանքների համար ապահովել անհրաժեշտ տեղեկատվության ստացումը:</w:t>
            </w:r>
          </w:p>
          <w:p w14:paraId="30FFF2E5" w14:textId="77777777" w:rsidR="00786E16" w:rsidRPr="003B1F63" w:rsidRDefault="00787EC6" w:rsidP="00EC5DD4">
            <w:pPr>
              <w:tabs>
                <w:tab w:val="left" w:pos="851"/>
              </w:tabs>
              <w:spacing w:after="0"/>
              <w:ind w:firstLine="567"/>
              <w:jc w:val="both"/>
              <w:rPr>
                <w:sz w:val="24"/>
                <w:szCs w:val="24"/>
              </w:rPr>
            </w:pPr>
            <w:r w:rsidRPr="003B1F63">
              <w:rPr>
                <w:sz w:val="24"/>
                <w:szCs w:val="24"/>
              </w:rPr>
              <w:lastRenderedPageBreak/>
              <w:t>Մյուս կողմից, գտնում ենք, որ օրենսդրությամբ սահմանված որևէ պահանջ չկատարելու համար կիրառվող պատասխանատվության միջոցը մի կողմից պետք է լինի այնպիսին, որպեսզի նպաստի այդ պահանջի պահպանմանը, իսկ մյուս կողմից պետք է համարժեք լինի պետական մարմնի կողմից այդ պահանջի պահպանումն ապահովելու համար կատարվող վարչարարական ծախսերին:</w:t>
            </w:r>
          </w:p>
          <w:p w14:paraId="66160226" w14:textId="77777777" w:rsidR="00786E16" w:rsidRPr="003B1F63" w:rsidRDefault="00787EC6" w:rsidP="00EC5DD4">
            <w:pPr>
              <w:tabs>
                <w:tab w:val="left" w:pos="851"/>
              </w:tabs>
              <w:spacing w:after="0"/>
              <w:ind w:firstLine="567"/>
              <w:jc w:val="both"/>
              <w:rPr>
                <w:sz w:val="24"/>
                <w:szCs w:val="24"/>
              </w:rPr>
            </w:pPr>
            <w:r w:rsidRPr="003B1F63">
              <w:rPr>
                <w:sz w:val="24"/>
                <w:szCs w:val="24"/>
              </w:rPr>
              <w:t>Վերոգրյալի կապակցությամբ, հարկ է նկատել, որ առկա վարչարարական ռեսուրսների պայմաններում տնտեսավարող սուբյեկտների մեծ մասի մոտ մեկ տարվա ընթացքում գործնականում իրականացվում է հսկիչ դրամարկղային մեքենաների կիրառության ճշտության մեկ կամ առավելագույնը երկու ստուգում: Այս առումով, հայտնում ենք, որ տուգանքի չափերի՝ նախագծով ներկայացված առաջարկությունների ընդունման դեպքում բազմաթիվ տնտեսավարող սուբյեկտների կողմից խնդրո առարկա պահանջը գործնականում կարող է չպահպանվել, քանի որ բազմաթիվ տնտեսավարող սուբյեկտներ լրացուցիչ ջանքեր գործադրելու և այդ պահանջը պահպանելու փոխարեն կնախընտրեն նախազգուշացվել կամ 10 հազար դրամի չափով տուգանք վճարել: Արդյունքում, կիմաստազրկվի խնդրո առարկա գործիքի կիրառությունը, մասնավորապես, այդ գործիքի կիրառմամբ ստացված տեղեկությունների հիման վրա կատարված վերլուծությունները չեն համապատասխանի իրականությանը: Բացի այդ, ակնհայտ է, որ նախագծով առաջարկվող տուգանքների չափերը համարժեք չեն լինելու կատարվող վարչարարական ծախսերին:</w:t>
            </w:r>
          </w:p>
          <w:p w14:paraId="755D462A" w14:textId="77777777" w:rsidR="00786E16" w:rsidRPr="003B1F63" w:rsidRDefault="00787EC6" w:rsidP="001F5A1B">
            <w:pPr>
              <w:tabs>
                <w:tab w:val="left" w:pos="851"/>
              </w:tabs>
              <w:spacing w:after="0"/>
              <w:jc w:val="both"/>
              <w:rPr>
                <w:sz w:val="24"/>
                <w:szCs w:val="24"/>
              </w:rPr>
            </w:pPr>
            <w:r w:rsidRPr="003B1F63">
              <w:rPr>
                <w:sz w:val="24"/>
                <w:szCs w:val="24"/>
              </w:rPr>
              <w:t xml:space="preserve">Միաժամանակ, նույն խախտումը </w:t>
            </w:r>
            <w:r w:rsidRPr="003B1F63">
              <w:rPr>
                <w:color w:val="000000"/>
                <w:sz w:val="24"/>
                <w:szCs w:val="24"/>
                <w:highlight w:val="white"/>
              </w:rPr>
              <w:t xml:space="preserve">մեկ տարվա ընթացքում կրկին կատարելու հանգամանքով պայմանավորված տարբերակված </w:t>
            </w:r>
            <w:r w:rsidRPr="003B1F63">
              <w:rPr>
                <w:sz w:val="24"/>
                <w:szCs w:val="24"/>
              </w:rPr>
              <w:lastRenderedPageBreak/>
              <w:t>պատասխանատվության չափ սահմանելու մոտեցումն, ընդհանուր առմամբ, ընդունելի չէ, քանի որ այն բարդացնում է վարչարարությունը և գործնականում բազմաթիվ հարցեր ու վեճեր է առաջացնում: Ավելին, հաշվի առնելով նման խնդիրների առկայությունը՝ վերջին շրջանում չեղարկվել են հսկիչ դրամարկղային մեքենաների կիրառության կանոնների խախտումը մեկ տարվա ընթացքում կրկին կատարելու դեպքերում պատասխանատվության տարբերակված մոտեցումներ կիրառելու մետեցումները:</w:t>
            </w:r>
          </w:p>
          <w:p w14:paraId="1659BBB6" w14:textId="77777777" w:rsidR="00786E16" w:rsidRPr="003B1F63" w:rsidRDefault="00787EC6" w:rsidP="00EC5DD4">
            <w:pPr>
              <w:tabs>
                <w:tab w:val="left" w:pos="851"/>
              </w:tabs>
              <w:spacing w:after="0"/>
              <w:ind w:firstLine="567"/>
              <w:jc w:val="both"/>
              <w:rPr>
                <w:sz w:val="24"/>
                <w:szCs w:val="24"/>
              </w:rPr>
            </w:pPr>
            <w:r w:rsidRPr="003B1F63">
              <w:rPr>
                <w:sz w:val="24"/>
                <w:szCs w:val="24"/>
              </w:rPr>
              <w:t>Ամփոփելով վերոգրյալը՝ հայտնում ենք, որ խնդրո առարկա խախտումների համար գործող օրենսդրությամբ սահմանված տուգանքների չափերը նվազեցնելու, ինչպես նաև մեկ տարվա ընթացքում խախտումը կրկին կատարելու դեպքում տարբերակված մոտեցում կիրառելու՝ նախագծով ներկայացված առաջարկություններն ընդունելի չեն: Այս առումով, հայտնում ենք, որ մեր կարծիքով անկախ որոշակի ժամանակահատվածում խախտումը կրկին կատարելու հանգամանքից՝ պետք է տուգանքի նույն չափը կիրառվի, որը խնդրո առարկա դեպքում չպետք է պակաս լինի 50 հազար դրամից: Ընդ որում, գտնում ենք, որ առավել նպատակահարմար է, որպեսզի տուգանքի չափը տարբերակվի՝ կախված տնտեսավարող սուբյեկտների իրացման շրջանառությունների ծավալից, ինչպես սահմանված է գործող օրենսդրությամբ:</w:t>
            </w:r>
          </w:p>
          <w:p w14:paraId="468C2523" w14:textId="77777777" w:rsidR="00786E16" w:rsidRPr="003B1F63" w:rsidRDefault="00787EC6" w:rsidP="00EC5DD4">
            <w:pPr>
              <w:tabs>
                <w:tab w:val="left" w:pos="851"/>
              </w:tabs>
              <w:spacing w:after="0"/>
              <w:ind w:firstLine="567"/>
              <w:jc w:val="both"/>
              <w:rPr>
                <w:sz w:val="24"/>
                <w:szCs w:val="24"/>
              </w:rPr>
            </w:pPr>
            <w:r w:rsidRPr="003B1F63">
              <w:rPr>
                <w:sz w:val="24"/>
                <w:szCs w:val="24"/>
              </w:rPr>
              <w:t>Միաժամանակ, հայտնում ենք, որ նախագծում անհրաժեշտ է կատարել մի շարք խմբագրական բնույթի շտկումներ և օգտագործվող ձևակերպումները համապատասխանեցնել ՀՀ հարկային օրենսգրքում կիրառված ձևակերպումներին:</w:t>
            </w:r>
          </w:p>
          <w:p w14:paraId="0B82F1BD" w14:textId="77777777" w:rsidR="00EC5DD4" w:rsidRPr="003B1F63" w:rsidRDefault="00EC5DD4" w:rsidP="00EC5DD4">
            <w:pPr>
              <w:tabs>
                <w:tab w:val="left" w:pos="851"/>
              </w:tabs>
              <w:spacing w:after="0"/>
              <w:ind w:firstLine="567"/>
              <w:jc w:val="both"/>
              <w:rPr>
                <w:sz w:val="24"/>
                <w:szCs w:val="24"/>
              </w:rPr>
            </w:pPr>
          </w:p>
        </w:tc>
        <w:tc>
          <w:tcPr>
            <w:tcW w:w="4320" w:type="dxa"/>
          </w:tcPr>
          <w:p w14:paraId="348F1521" w14:textId="09797FBE" w:rsidR="009B4121" w:rsidRPr="003B1F63" w:rsidRDefault="009B4121" w:rsidP="00EC5DD4">
            <w:pPr>
              <w:jc w:val="center"/>
              <w:rPr>
                <w:sz w:val="24"/>
                <w:szCs w:val="24"/>
              </w:rPr>
            </w:pPr>
            <w:r w:rsidRPr="003B1F63">
              <w:rPr>
                <w:sz w:val="24"/>
                <w:szCs w:val="24"/>
              </w:rPr>
              <w:lastRenderedPageBreak/>
              <w:t>Չի ընդունվել։</w:t>
            </w:r>
          </w:p>
          <w:p w14:paraId="7FE38623" w14:textId="13188699" w:rsidR="00CD7B0F" w:rsidRPr="003B1F63" w:rsidRDefault="009B4121" w:rsidP="00EC5DD4">
            <w:pPr>
              <w:jc w:val="both"/>
              <w:rPr>
                <w:b/>
                <w:bCs/>
                <w:i/>
                <w:iCs/>
                <w:sz w:val="24"/>
                <w:szCs w:val="24"/>
              </w:rPr>
            </w:pPr>
            <w:r w:rsidRPr="003B1F63">
              <w:rPr>
                <w:sz w:val="24"/>
                <w:szCs w:val="24"/>
              </w:rPr>
              <w:t xml:space="preserve">ՀՀ փոխվարչապետի մոտ </w:t>
            </w:r>
            <w:r w:rsidR="00FF6983" w:rsidRPr="003B1F63">
              <w:rPr>
                <w:sz w:val="24"/>
                <w:szCs w:val="24"/>
              </w:rPr>
              <w:t>24</w:t>
            </w:r>
            <w:r w:rsidRPr="003B1F63">
              <w:rPr>
                <w:sz w:val="24"/>
                <w:szCs w:val="24"/>
              </w:rPr>
              <w:t xml:space="preserve">.07.2024թ. կայացած ՓՄՁ զարգացման խորհրդի նիստի </w:t>
            </w:r>
            <w:r w:rsidR="00E70735" w:rsidRPr="003B1F63">
              <w:rPr>
                <w:sz w:val="24"/>
                <w:szCs w:val="24"/>
              </w:rPr>
              <w:t>արդյունքներով</w:t>
            </w:r>
            <w:r w:rsidR="00CD7B0F" w:rsidRPr="003B1F63">
              <w:rPr>
                <w:sz w:val="24"/>
                <w:szCs w:val="24"/>
              </w:rPr>
              <w:t xml:space="preserve"> դիրքորոշումը փոխվել է և՝</w:t>
            </w:r>
          </w:p>
          <w:p w14:paraId="7AE3AC20" w14:textId="569DF742" w:rsidR="009B4121" w:rsidRPr="003B1F63" w:rsidRDefault="009B4121" w:rsidP="00EC5DD4">
            <w:pPr>
              <w:jc w:val="both"/>
              <w:rPr>
                <w:b/>
                <w:bCs/>
                <w:i/>
                <w:iCs/>
                <w:sz w:val="24"/>
                <w:szCs w:val="24"/>
              </w:rPr>
            </w:pPr>
            <w:r w:rsidRPr="003B1F63">
              <w:rPr>
                <w:b/>
                <w:bCs/>
                <w:i/>
                <w:iCs/>
                <w:sz w:val="24"/>
                <w:szCs w:val="24"/>
              </w:rPr>
              <w:t xml:space="preserve">ՊԵԿ-ի և Ֆինանսների նախարարությունը ընդունելի </w:t>
            </w:r>
            <w:r w:rsidR="00CD7B0F" w:rsidRPr="003B1F63">
              <w:rPr>
                <w:b/>
                <w:bCs/>
                <w:i/>
                <w:iCs/>
                <w:sz w:val="24"/>
                <w:szCs w:val="24"/>
              </w:rPr>
              <w:t>է</w:t>
            </w:r>
            <w:r w:rsidRPr="003B1F63">
              <w:rPr>
                <w:b/>
                <w:bCs/>
                <w:i/>
                <w:iCs/>
                <w:sz w:val="24"/>
                <w:szCs w:val="24"/>
              </w:rPr>
              <w:t xml:space="preserve"> համարել </w:t>
            </w:r>
            <w:r w:rsidR="00E70735" w:rsidRPr="003B1F63">
              <w:rPr>
                <w:b/>
                <w:bCs/>
                <w:i/>
                <w:iCs/>
                <w:sz w:val="24"/>
                <w:szCs w:val="24"/>
              </w:rPr>
              <w:t xml:space="preserve">նախագզուշացում կիրառելու մոտեցումը, իսկ նույն խախտումը կրկնելու դեպքում 50,000 դրամ տուգանքի կիրառումը։ </w:t>
            </w:r>
            <w:r w:rsidR="00B022F2" w:rsidRPr="003B1F63">
              <w:rPr>
                <w:b/>
                <w:bCs/>
                <w:i/>
                <w:iCs/>
                <w:sz w:val="24"/>
                <w:szCs w:val="24"/>
              </w:rPr>
              <w:t>Աշխատանքային կարգով խմբագրվել է ՊԵԿ-ի կողմից տրամադրված առաջարկին համապատասխան</w:t>
            </w:r>
            <w:r w:rsidR="00D97F3D" w:rsidRPr="003B1F63">
              <w:rPr>
                <w:b/>
                <w:bCs/>
                <w:i/>
                <w:iCs/>
                <w:sz w:val="24"/>
                <w:szCs w:val="24"/>
              </w:rPr>
              <w:t xml:space="preserve"> և համաձայնեցվել է ՀՀ ֆինանսների նախարարության հետ</w:t>
            </w:r>
            <w:r w:rsidR="00B022F2" w:rsidRPr="003B1F63">
              <w:rPr>
                <w:b/>
                <w:bCs/>
                <w:i/>
                <w:iCs/>
                <w:sz w:val="24"/>
                <w:szCs w:val="24"/>
              </w:rPr>
              <w:t xml:space="preserve">։ </w:t>
            </w:r>
          </w:p>
          <w:p w14:paraId="5868CC4F" w14:textId="5DA7322E" w:rsidR="00FD6A29" w:rsidRPr="003B1F63" w:rsidRDefault="00FD6A29" w:rsidP="00EC5DD4">
            <w:pPr>
              <w:jc w:val="both"/>
              <w:rPr>
                <w:b/>
                <w:sz w:val="24"/>
                <w:szCs w:val="24"/>
              </w:rPr>
            </w:pPr>
          </w:p>
        </w:tc>
      </w:tr>
      <w:tr w:rsidR="00826C43" w:rsidRPr="003B1F63" w14:paraId="48D563EE" w14:textId="77777777" w:rsidTr="00826C43">
        <w:tc>
          <w:tcPr>
            <w:tcW w:w="450" w:type="dxa"/>
            <w:vMerge w:val="restart"/>
            <w:shd w:val="clear" w:color="auto" w:fill="D9D9D9" w:themeFill="background1" w:themeFillShade="D9"/>
          </w:tcPr>
          <w:p w14:paraId="1AEC927F" w14:textId="77777777" w:rsidR="00826C43" w:rsidRPr="003B1F63" w:rsidRDefault="00826C43" w:rsidP="00881829">
            <w:pPr>
              <w:spacing w:after="0"/>
              <w:jc w:val="center"/>
              <w:rPr>
                <w:b/>
                <w:bCs/>
                <w:sz w:val="24"/>
                <w:szCs w:val="24"/>
              </w:rPr>
            </w:pPr>
            <w:r w:rsidRPr="003B1F63">
              <w:rPr>
                <w:b/>
                <w:bCs/>
                <w:sz w:val="24"/>
                <w:szCs w:val="24"/>
              </w:rPr>
              <w:lastRenderedPageBreak/>
              <w:t>2</w:t>
            </w:r>
          </w:p>
        </w:tc>
        <w:tc>
          <w:tcPr>
            <w:tcW w:w="5850" w:type="dxa"/>
            <w:vMerge w:val="restart"/>
            <w:shd w:val="clear" w:color="auto" w:fill="D9D9D9" w:themeFill="background1" w:themeFillShade="D9"/>
          </w:tcPr>
          <w:p w14:paraId="00BCCF5B" w14:textId="77777777" w:rsidR="00826C43" w:rsidRPr="003B1F63" w:rsidRDefault="00826C43" w:rsidP="00881829">
            <w:pPr>
              <w:spacing w:after="0"/>
              <w:jc w:val="center"/>
              <w:rPr>
                <w:b/>
                <w:bCs/>
                <w:sz w:val="24"/>
                <w:szCs w:val="24"/>
              </w:rPr>
            </w:pPr>
            <w:r w:rsidRPr="003B1F63">
              <w:rPr>
                <w:b/>
                <w:bCs/>
                <w:sz w:val="24"/>
                <w:szCs w:val="24"/>
              </w:rPr>
              <w:t>ՀՀ պետական եկամուտների կոմիտե</w:t>
            </w:r>
          </w:p>
        </w:tc>
        <w:tc>
          <w:tcPr>
            <w:tcW w:w="4320" w:type="dxa"/>
            <w:shd w:val="clear" w:color="auto" w:fill="D9D9D9" w:themeFill="background1" w:themeFillShade="D9"/>
          </w:tcPr>
          <w:p w14:paraId="666B98E5" w14:textId="7F10172A" w:rsidR="00826C43" w:rsidRPr="003B1F63" w:rsidRDefault="00DB2A42" w:rsidP="00881829">
            <w:pPr>
              <w:spacing w:after="0"/>
              <w:jc w:val="center"/>
              <w:rPr>
                <w:b/>
                <w:bCs/>
                <w:sz w:val="24"/>
                <w:szCs w:val="24"/>
              </w:rPr>
            </w:pPr>
            <w:r w:rsidRPr="003B1F63">
              <w:rPr>
                <w:b/>
                <w:bCs/>
                <w:sz w:val="24"/>
                <w:szCs w:val="24"/>
              </w:rPr>
              <w:t>28</w:t>
            </w:r>
            <w:r w:rsidRPr="003B1F63">
              <w:rPr>
                <w:rFonts w:ascii="Cambria Math" w:hAnsi="Cambria Math" w:cs="Cambria Math"/>
                <w:b/>
                <w:bCs/>
                <w:sz w:val="24"/>
                <w:szCs w:val="24"/>
              </w:rPr>
              <w:t>․</w:t>
            </w:r>
            <w:r w:rsidRPr="003B1F63">
              <w:rPr>
                <w:b/>
                <w:bCs/>
                <w:sz w:val="24"/>
                <w:szCs w:val="24"/>
              </w:rPr>
              <w:t>11</w:t>
            </w:r>
            <w:r w:rsidRPr="003B1F63">
              <w:rPr>
                <w:rFonts w:ascii="Cambria Math" w:hAnsi="Cambria Math" w:cs="Cambria Math"/>
                <w:b/>
                <w:bCs/>
                <w:sz w:val="24"/>
                <w:szCs w:val="24"/>
              </w:rPr>
              <w:t>․</w:t>
            </w:r>
            <w:r w:rsidRPr="003B1F63">
              <w:rPr>
                <w:b/>
                <w:bCs/>
                <w:sz w:val="24"/>
                <w:szCs w:val="24"/>
              </w:rPr>
              <w:t>2023 թ</w:t>
            </w:r>
            <w:r w:rsidRPr="003B1F63">
              <w:rPr>
                <w:rFonts w:ascii="Cambria Math" w:hAnsi="Cambria Math" w:cs="Cambria Math"/>
                <w:b/>
                <w:bCs/>
                <w:sz w:val="24"/>
                <w:szCs w:val="24"/>
              </w:rPr>
              <w:t>․</w:t>
            </w:r>
          </w:p>
        </w:tc>
      </w:tr>
      <w:tr w:rsidR="00826C43" w:rsidRPr="003B1F63" w14:paraId="4328097C" w14:textId="77777777" w:rsidTr="00826C43">
        <w:tc>
          <w:tcPr>
            <w:tcW w:w="450" w:type="dxa"/>
            <w:vMerge/>
            <w:shd w:val="clear" w:color="auto" w:fill="D9D9D9" w:themeFill="background1" w:themeFillShade="D9"/>
          </w:tcPr>
          <w:p w14:paraId="1B50B96F" w14:textId="77777777" w:rsidR="00826C43" w:rsidRPr="003B1F63" w:rsidRDefault="00826C43" w:rsidP="00881829">
            <w:pPr>
              <w:spacing w:after="0"/>
              <w:jc w:val="center"/>
              <w:rPr>
                <w:b/>
                <w:bCs/>
                <w:sz w:val="24"/>
                <w:szCs w:val="24"/>
              </w:rPr>
            </w:pPr>
          </w:p>
        </w:tc>
        <w:tc>
          <w:tcPr>
            <w:tcW w:w="5850" w:type="dxa"/>
            <w:vMerge/>
            <w:shd w:val="clear" w:color="auto" w:fill="D9D9D9" w:themeFill="background1" w:themeFillShade="D9"/>
          </w:tcPr>
          <w:p w14:paraId="02E6A1A8" w14:textId="77777777" w:rsidR="00826C43" w:rsidRPr="003B1F63" w:rsidRDefault="00826C43" w:rsidP="00881829">
            <w:pPr>
              <w:spacing w:after="0"/>
              <w:jc w:val="center"/>
              <w:rPr>
                <w:b/>
                <w:bCs/>
                <w:sz w:val="24"/>
                <w:szCs w:val="24"/>
              </w:rPr>
            </w:pPr>
          </w:p>
        </w:tc>
        <w:tc>
          <w:tcPr>
            <w:tcW w:w="4320" w:type="dxa"/>
            <w:shd w:val="clear" w:color="auto" w:fill="D9D9D9" w:themeFill="background1" w:themeFillShade="D9"/>
          </w:tcPr>
          <w:p w14:paraId="64D464B3" w14:textId="27ABCC16" w:rsidR="00826C43" w:rsidRPr="003B1F63" w:rsidRDefault="00DB2A42" w:rsidP="00881829">
            <w:pPr>
              <w:spacing w:after="0"/>
              <w:jc w:val="center"/>
              <w:rPr>
                <w:b/>
                <w:bCs/>
                <w:sz w:val="24"/>
                <w:szCs w:val="24"/>
              </w:rPr>
            </w:pPr>
            <w:r w:rsidRPr="003B1F63">
              <w:rPr>
                <w:b/>
                <w:bCs/>
                <w:sz w:val="24"/>
                <w:szCs w:val="24"/>
              </w:rPr>
              <w:t>01/3-4/46160-2023</w:t>
            </w:r>
          </w:p>
        </w:tc>
      </w:tr>
      <w:tr w:rsidR="004931E3" w:rsidRPr="003B1F63" w14:paraId="0626FA7E" w14:textId="77777777" w:rsidTr="006622CF">
        <w:trPr>
          <w:trHeight w:val="611"/>
        </w:trPr>
        <w:tc>
          <w:tcPr>
            <w:tcW w:w="450" w:type="dxa"/>
            <w:shd w:val="clear" w:color="auto" w:fill="auto"/>
          </w:tcPr>
          <w:p w14:paraId="61EF3E72" w14:textId="77777777" w:rsidR="004931E3" w:rsidRPr="003B1F63" w:rsidRDefault="004931E3" w:rsidP="00EC5DD4">
            <w:pPr>
              <w:jc w:val="center"/>
              <w:rPr>
                <w:sz w:val="24"/>
                <w:szCs w:val="24"/>
              </w:rPr>
            </w:pPr>
          </w:p>
        </w:tc>
        <w:tc>
          <w:tcPr>
            <w:tcW w:w="5850" w:type="dxa"/>
            <w:shd w:val="clear" w:color="auto" w:fill="auto"/>
          </w:tcPr>
          <w:p w14:paraId="06E15C98" w14:textId="37C8D216" w:rsidR="004931E3" w:rsidRPr="003B1F63" w:rsidRDefault="004931E3" w:rsidP="006622CF">
            <w:pPr>
              <w:pStyle w:val="NormalWeb"/>
              <w:spacing w:before="0" w:beforeAutospacing="0" w:after="0" w:afterAutospacing="0" w:line="276" w:lineRule="auto"/>
              <w:jc w:val="both"/>
              <w:rPr>
                <w:rFonts w:ascii="GHEA Grapalat" w:hAnsi="GHEA Grapalat"/>
                <w:lang w:val="hy-AM"/>
              </w:rPr>
            </w:pPr>
            <w:r w:rsidRPr="003B1F63">
              <w:rPr>
                <w:rFonts w:ascii="GHEA Grapalat" w:hAnsi="GHEA Grapalat"/>
                <w:color w:val="000000"/>
                <w:lang w:val="hy-AM"/>
              </w:rPr>
              <w:t>ՀԴՄ կտրոնի վրա ԱՏԳ ԱԱ համապատասխան ապրանքային դիրքի, աշխատանքի կամ ծառայության կոդի ներառումը նպատակ է ունեցել</w:t>
            </w:r>
            <w:r w:rsidRPr="003B1F63">
              <w:rPr>
                <w:rFonts w:ascii="Calibri" w:hAnsi="Calibri" w:cs="Calibri"/>
                <w:color w:val="000000"/>
                <w:lang w:val="hy-AM"/>
              </w:rPr>
              <w:t> </w:t>
            </w:r>
            <w:r w:rsidRPr="003B1F63">
              <w:rPr>
                <w:rFonts w:ascii="GHEA Grapalat" w:hAnsi="GHEA Grapalat"/>
                <w:color w:val="000000"/>
                <w:lang w:val="hy-AM"/>
              </w:rPr>
              <w:t xml:space="preserve"> </w:t>
            </w:r>
            <w:r w:rsidRPr="003B1F63">
              <w:rPr>
                <w:rFonts w:ascii="GHEA Grapalat" w:hAnsi="GHEA Grapalat" w:cs="GHEA Grapalat"/>
                <w:color w:val="000000"/>
                <w:lang w:val="hy-AM"/>
              </w:rPr>
              <w:t>ապահովել</w:t>
            </w:r>
            <w:r w:rsidRPr="003B1F63">
              <w:rPr>
                <w:rFonts w:ascii="GHEA Grapalat" w:hAnsi="GHEA Grapalat"/>
                <w:color w:val="000000"/>
                <w:lang w:val="hy-AM"/>
              </w:rPr>
              <w:t xml:space="preserve">, </w:t>
            </w:r>
            <w:r w:rsidRPr="003B1F63">
              <w:rPr>
                <w:rFonts w:ascii="GHEA Grapalat" w:hAnsi="GHEA Grapalat" w:cs="GHEA Grapalat"/>
                <w:color w:val="000000"/>
                <w:lang w:val="hy-AM"/>
              </w:rPr>
              <w:t>մասնավորապես՝</w:t>
            </w:r>
            <w:r w:rsidRPr="003B1F63">
              <w:rPr>
                <w:rFonts w:ascii="GHEA Grapalat" w:hAnsi="GHEA Grapalat"/>
                <w:color w:val="000000"/>
                <w:lang w:val="hy-AM"/>
              </w:rPr>
              <w:t xml:space="preserve"> </w:t>
            </w:r>
            <w:r w:rsidRPr="003B1F63">
              <w:rPr>
                <w:rFonts w:ascii="GHEA Grapalat" w:hAnsi="GHEA Grapalat" w:cs="GHEA Grapalat"/>
                <w:color w:val="000000"/>
                <w:lang w:val="hy-AM"/>
              </w:rPr>
              <w:t>մանրածախ</w:t>
            </w:r>
            <w:r w:rsidRPr="003B1F63">
              <w:rPr>
                <w:rFonts w:ascii="GHEA Grapalat" w:hAnsi="GHEA Grapalat"/>
                <w:color w:val="000000"/>
                <w:lang w:val="hy-AM"/>
              </w:rPr>
              <w:t xml:space="preserve"> </w:t>
            </w:r>
            <w:r w:rsidRPr="003B1F63">
              <w:rPr>
                <w:rFonts w:ascii="GHEA Grapalat" w:hAnsi="GHEA Grapalat" w:cs="GHEA Grapalat"/>
                <w:color w:val="000000"/>
                <w:lang w:val="hy-AM"/>
              </w:rPr>
              <w:t>ապրանքաշրջանառության</w:t>
            </w:r>
            <w:r w:rsidRPr="003B1F63">
              <w:rPr>
                <w:rFonts w:ascii="GHEA Grapalat" w:hAnsi="GHEA Grapalat"/>
                <w:color w:val="000000"/>
                <w:lang w:val="hy-AM"/>
              </w:rPr>
              <w:t xml:space="preserve"> </w:t>
            </w:r>
            <w:r w:rsidRPr="003B1F63">
              <w:rPr>
                <w:rFonts w:ascii="GHEA Grapalat" w:hAnsi="GHEA Grapalat" w:cs="GHEA Grapalat"/>
                <w:color w:val="000000"/>
                <w:lang w:val="hy-AM"/>
              </w:rPr>
              <w:t>ողջ</w:t>
            </w:r>
            <w:r w:rsidRPr="003B1F63">
              <w:rPr>
                <w:rFonts w:ascii="GHEA Grapalat" w:hAnsi="GHEA Grapalat"/>
                <w:color w:val="000000"/>
                <w:lang w:val="hy-AM"/>
              </w:rPr>
              <w:t xml:space="preserve"> </w:t>
            </w:r>
            <w:r w:rsidRPr="003B1F63">
              <w:rPr>
                <w:rFonts w:ascii="GHEA Grapalat" w:hAnsi="GHEA Grapalat" w:cs="GHEA Grapalat"/>
                <w:color w:val="000000"/>
                <w:lang w:val="hy-AM"/>
              </w:rPr>
              <w:t>շղթայի</w:t>
            </w:r>
            <w:r w:rsidRPr="003B1F63">
              <w:rPr>
                <w:rFonts w:ascii="GHEA Grapalat" w:hAnsi="GHEA Grapalat"/>
                <w:color w:val="000000"/>
                <w:lang w:val="hy-AM"/>
              </w:rPr>
              <w:t xml:space="preserve"> </w:t>
            </w:r>
            <w:r w:rsidRPr="003B1F63">
              <w:rPr>
                <w:rFonts w:ascii="GHEA Grapalat" w:hAnsi="GHEA Grapalat" w:cs="GHEA Grapalat"/>
                <w:color w:val="000000"/>
                <w:lang w:val="hy-AM"/>
              </w:rPr>
              <w:t>ամբողջականությունը</w:t>
            </w:r>
            <w:r w:rsidRPr="003B1F63">
              <w:rPr>
                <w:rFonts w:ascii="GHEA Grapalat" w:hAnsi="GHEA Grapalat"/>
                <w:color w:val="000000"/>
                <w:lang w:val="hy-AM"/>
              </w:rPr>
              <w:t xml:space="preserve">, </w:t>
            </w:r>
            <w:r w:rsidRPr="003B1F63">
              <w:rPr>
                <w:rFonts w:ascii="GHEA Grapalat" w:hAnsi="GHEA Grapalat" w:cs="GHEA Grapalat"/>
                <w:color w:val="000000"/>
                <w:lang w:val="hy-AM"/>
              </w:rPr>
              <w:t>գործարքների</w:t>
            </w:r>
            <w:r w:rsidRPr="003B1F63">
              <w:rPr>
                <w:rFonts w:ascii="GHEA Grapalat" w:hAnsi="GHEA Grapalat"/>
                <w:color w:val="000000"/>
                <w:lang w:val="hy-AM"/>
              </w:rPr>
              <w:t xml:space="preserve"> </w:t>
            </w:r>
            <w:r w:rsidRPr="003B1F63">
              <w:rPr>
                <w:rFonts w:ascii="GHEA Grapalat" w:hAnsi="GHEA Grapalat" w:cs="GHEA Grapalat"/>
                <w:color w:val="000000"/>
                <w:lang w:val="hy-AM"/>
              </w:rPr>
              <w:t>պատշաճ</w:t>
            </w:r>
            <w:r w:rsidRPr="003B1F63">
              <w:rPr>
                <w:rFonts w:ascii="GHEA Grapalat" w:hAnsi="GHEA Grapalat"/>
                <w:color w:val="000000"/>
                <w:lang w:val="hy-AM"/>
              </w:rPr>
              <w:t xml:space="preserve"> </w:t>
            </w:r>
            <w:r w:rsidRPr="003B1F63">
              <w:rPr>
                <w:rFonts w:ascii="GHEA Grapalat" w:hAnsi="GHEA Grapalat" w:cs="GHEA Grapalat"/>
                <w:color w:val="000000"/>
                <w:lang w:val="hy-AM"/>
              </w:rPr>
              <w:t>փաստաթղթավորումը</w:t>
            </w:r>
            <w:r w:rsidRPr="003B1F63">
              <w:rPr>
                <w:rFonts w:ascii="GHEA Grapalat" w:hAnsi="GHEA Grapalat"/>
                <w:color w:val="000000"/>
                <w:lang w:val="hy-AM"/>
              </w:rPr>
              <w:t xml:space="preserve">, </w:t>
            </w:r>
            <w:r w:rsidRPr="003B1F63">
              <w:rPr>
                <w:rFonts w:ascii="GHEA Grapalat" w:hAnsi="GHEA Grapalat" w:cs="GHEA Grapalat"/>
                <w:color w:val="000000"/>
                <w:lang w:val="hy-AM"/>
              </w:rPr>
              <w:t>ինչպես</w:t>
            </w:r>
            <w:r w:rsidRPr="003B1F63">
              <w:rPr>
                <w:rFonts w:ascii="GHEA Grapalat" w:hAnsi="GHEA Grapalat"/>
                <w:color w:val="000000"/>
                <w:lang w:val="hy-AM"/>
              </w:rPr>
              <w:t xml:space="preserve"> </w:t>
            </w:r>
            <w:r w:rsidRPr="003B1F63">
              <w:rPr>
                <w:rFonts w:ascii="GHEA Grapalat" w:hAnsi="GHEA Grapalat" w:cs="GHEA Grapalat"/>
                <w:color w:val="000000"/>
                <w:lang w:val="hy-AM"/>
              </w:rPr>
              <w:t>նաև</w:t>
            </w:r>
            <w:r w:rsidRPr="003B1F63">
              <w:rPr>
                <w:rFonts w:ascii="GHEA Grapalat" w:hAnsi="GHEA Grapalat"/>
                <w:color w:val="000000"/>
                <w:lang w:val="hy-AM"/>
              </w:rPr>
              <w:t xml:space="preserve"> </w:t>
            </w:r>
            <w:r w:rsidRPr="003B1F63">
              <w:rPr>
                <w:rFonts w:ascii="GHEA Grapalat" w:hAnsi="GHEA Grapalat" w:cs="GHEA Grapalat"/>
                <w:color w:val="000000"/>
                <w:lang w:val="hy-AM"/>
              </w:rPr>
              <w:t>կարևորվել</w:t>
            </w:r>
            <w:r w:rsidRPr="003B1F63">
              <w:rPr>
                <w:rFonts w:ascii="GHEA Grapalat" w:hAnsi="GHEA Grapalat"/>
                <w:color w:val="000000"/>
                <w:lang w:val="hy-AM"/>
              </w:rPr>
              <w:t xml:space="preserve"> </w:t>
            </w:r>
            <w:r w:rsidRPr="003B1F63">
              <w:rPr>
                <w:rFonts w:ascii="GHEA Grapalat" w:hAnsi="GHEA Grapalat" w:cs="GHEA Grapalat"/>
                <w:color w:val="000000"/>
                <w:lang w:val="hy-AM"/>
              </w:rPr>
              <w:t>է</w:t>
            </w:r>
            <w:r w:rsidRPr="003B1F63">
              <w:rPr>
                <w:rFonts w:ascii="GHEA Grapalat" w:hAnsi="GHEA Grapalat"/>
                <w:color w:val="000000"/>
                <w:lang w:val="hy-AM"/>
              </w:rPr>
              <w:t xml:space="preserve"> </w:t>
            </w:r>
            <w:r w:rsidRPr="003B1F63">
              <w:rPr>
                <w:rFonts w:ascii="GHEA Grapalat" w:hAnsi="GHEA Grapalat" w:cs="GHEA Grapalat"/>
                <w:color w:val="000000"/>
                <w:lang w:val="hy-AM"/>
              </w:rPr>
              <w:t>նշված</w:t>
            </w:r>
            <w:r w:rsidRPr="003B1F63">
              <w:rPr>
                <w:rFonts w:ascii="GHEA Grapalat" w:hAnsi="GHEA Grapalat"/>
                <w:color w:val="000000"/>
                <w:lang w:val="hy-AM"/>
              </w:rPr>
              <w:t xml:space="preserve"> </w:t>
            </w:r>
            <w:r w:rsidRPr="003B1F63">
              <w:rPr>
                <w:rFonts w:ascii="GHEA Grapalat" w:hAnsi="GHEA Grapalat" w:cs="GHEA Grapalat"/>
                <w:color w:val="000000"/>
                <w:lang w:val="hy-AM"/>
              </w:rPr>
              <w:t>ոլորտում</w:t>
            </w:r>
            <w:r w:rsidRPr="003B1F63">
              <w:rPr>
                <w:rFonts w:ascii="GHEA Grapalat" w:hAnsi="GHEA Grapalat"/>
                <w:color w:val="000000"/>
                <w:lang w:val="hy-AM"/>
              </w:rPr>
              <w:t xml:space="preserve"> </w:t>
            </w:r>
            <w:r w:rsidRPr="003B1F63">
              <w:rPr>
                <w:rFonts w:ascii="GHEA Grapalat" w:hAnsi="GHEA Grapalat" w:cs="GHEA Grapalat"/>
                <w:color w:val="000000"/>
                <w:lang w:val="hy-AM"/>
              </w:rPr>
              <w:t>մակրո</w:t>
            </w:r>
            <w:r w:rsidRPr="003B1F63">
              <w:rPr>
                <w:rFonts w:ascii="GHEA Grapalat" w:hAnsi="GHEA Grapalat"/>
                <w:color w:val="000000"/>
                <w:lang w:val="hy-AM"/>
              </w:rPr>
              <w:t xml:space="preserve"> </w:t>
            </w:r>
            <w:r w:rsidRPr="003B1F63">
              <w:rPr>
                <w:rFonts w:ascii="GHEA Grapalat" w:hAnsi="GHEA Grapalat" w:cs="GHEA Grapalat"/>
                <w:color w:val="000000"/>
                <w:lang w:val="hy-AM"/>
              </w:rPr>
              <w:t>և</w:t>
            </w:r>
            <w:r w:rsidRPr="003B1F63">
              <w:rPr>
                <w:rFonts w:ascii="GHEA Grapalat" w:hAnsi="GHEA Grapalat"/>
                <w:color w:val="000000"/>
                <w:lang w:val="hy-AM"/>
              </w:rPr>
              <w:t xml:space="preserve"> </w:t>
            </w:r>
            <w:r w:rsidRPr="003B1F63">
              <w:rPr>
                <w:rFonts w:ascii="GHEA Grapalat" w:hAnsi="GHEA Grapalat" w:cs="GHEA Grapalat"/>
                <w:color w:val="000000"/>
                <w:lang w:val="hy-AM"/>
              </w:rPr>
              <w:t>միկրո</w:t>
            </w:r>
            <w:r w:rsidRPr="003B1F63">
              <w:rPr>
                <w:rFonts w:ascii="GHEA Grapalat" w:hAnsi="GHEA Grapalat"/>
                <w:color w:val="000000"/>
                <w:lang w:val="hy-AM"/>
              </w:rPr>
              <w:t xml:space="preserve"> </w:t>
            </w:r>
            <w:r w:rsidRPr="003B1F63">
              <w:rPr>
                <w:rFonts w:ascii="GHEA Grapalat" w:hAnsi="GHEA Grapalat" w:cs="GHEA Grapalat"/>
                <w:color w:val="000000"/>
                <w:lang w:val="hy-AM"/>
              </w:rPr>
              <w:t>ճշգրիտ</w:t>
            </w:r>
            <w:r w:rsidRPr="003B1F63">
              <w:rPr>
                <w:rFonts w:ascii="GHEA Grapalat" w:hAnsi="GHEA Grapalat"/>
                <w:color w:val="000000"/>
                <w:lang w:val="hy-AM"/>
              </w:rPr>
              <w:t xml:space="preserve"> </w:t>
            </w:r>
            <w:r w:rsidRPr="003B1F63">
              <w:rPr>
                <w:rFonts w:ascii="GHEA Grapalat" w:hAnsi="GHEA Grapalat" w:cs="GHEA Grapalat"/>
                <w:color w:val="000000"/>
                <w:lang w:val="hy-AM"/>
              </w:rPr>
              <w:t>վերլուծական</w:t>
            </w:r>
            <w:r w:rsidRPr="003B1F63">
              <w:rPr>
                <w:rFonts w:ascii="GHEA Grapalat" w:hAnsi="GHEA Grapalat"/>
                <w:color w:val="000000"/>
                <w:lang w:val="hy-AM"/>
              </w:rPr>
              <w:t xml:space="preserve"> </w:t>
            </w:r>
            <w:r w:rsidRPr="003B1F63">
              <w:rPr>
                <w:rFonts w:ascii="GHEA Grapalat" w:hAnsi="GHEA Grapalat" w:cs="GHEA Grapalat"/>
                <w:color w:val="000000"/>
                <w:lang w:val="hy-AM"/>
              </w:rPr>
              <w:t>աշխատանքների</w:t>
            </w:r>
            <w:r w:rsidRPr="003B1F63">
              <w:rPr>
                <w:rFonts w:ascii="GHEA Grapalat" w:hAnsi="GHEA Grapalat"/>
                <w:color w:val="000000"/>
                <w:lang w:val="hy-AM"/>
              </w:rPr>
              <w:t xml:space="preserve"> </w:t>
            </w:r>
            <w:r w:rsidRPr="003B1F63">
              <w:rPr>
                <w:rFonts w:ascii="GHEA Grapalat" w:hAnsi="GHEA Grapalat" w:cs="GHEA Grapalat"/>
                <w:color w:val="000000"/>
                <w:lang w:val="hy-AM"/>
              </w:rPr>
              <w:t>իրականացմամբ</w:t>
            </w:r>
            <w:r w:rsidRPr="003B1F63">
              <w:rPr>
                <w:rFonts w:ascii="GHEA Grapalat" w:hAnsi="GHEA Grapalat"/>
                <w:color w:val="000000"/>
                <w:lang w:val="hy-AM"/>
              </w:rPr>
              <w:t xml:space="preserve">, </w:t>
            </w:r>
            <w:r w:rsidRPr="003B1F63">
              <w:rPr>
                <w:rFonts w:ascii="GHEA Grapalat" w:hAnsi="GHEA Grapalat" w:cs="GHEA Grapalat"/>
                <w:color w:val="000000"/>
                <w:lang w:val="hy-AM"/>
              </w:rPr>
              <w:t>հետևաբար՝</w:t>
            </w:r>
            <w:r w:rsidRPr="003B1F63">
              <w:rPr>
                <w:rFonts w:ascii="GHEA Grapalat" w:hAnsi="GHEA Grapalat"/>
                <w:color w:val="000000"/>
                <w:lang w:val="hy-AM"/>
              </w:rPr>
              <w:t xml:space="preserve"> ՀԴՄ կտրոնի վրա նշված տեղեկության մասով սխալ տվյալների նշումը կարող է խոչնդոտել ստվերային շրջանառություների վերհանմանն ու դրանց կրճատման ուղղությամբ տարվող աշխատանքներին: Գտնում ենք, որ առաջարկվող կարգավորումը, այն է՝ ՀԴՄ կտրոնում ապրանքային դիրքը, աշխատանքի կամ ծառայության կոդը սխալ տպագրելու համար «նախազգուշացում» պատասխանատվության միջոց կիրառելուց հետո` մեկ տարվա ընթացքում խախտումը կրկին կատարելու դեպքում տուգանքի նման ցածր սահմանաչափ առաջադրելը չի կարող ծառայել իր բուն նպատակին և չի նպաստի այդ մասով հարկ վճարողի վարքագծի փոփոխությանը, ավելին, կհանգեցնի հարկ վճարողների կողմից վերոնշյալ օրենսդրական պահանջի կատարման նկատմամբ ոչ պատասխանատու մոտեցման, ինչը կխաթարի ճշտգրիտ վերլուծական աշխատանքների իրականացումը:</w:t>
            </w:r>
          </w:p>
          <w:p w14:paraId="323B763A" w14:textId="30BEC72C" w:rsidR="004931E3" w:rsidRPr="003B1F63" w:rsidRDefault="004931E3" w:rsidP="006622CF">
            <w:pPr>
              <w:pStyle w:val="NormalWeb"/>
              <w:spacing w:before="0" w:beforeAutospacing="0" w:after="0" w:afterAutospacing="0" w:line="276" w:lineRule="auto"/>
              <w:ind w:firstLine="567"/>
              <w:jc w:val="both"/>
              <w:rPr>
                <w:rFonts w:ascii="GHEA Grapalat" w:hAnsi="GHEA Grapalat"/>
                <w:lang w:val="hy-AM"/>
              </w:rPr>
            </w:pPr>
            <w:r w:rsidRPr="003B1F63">
              <w:rPr>
                <w:rFonts w:ascii="GHEA Grapalat" w:hAnsi="GHEA Grapalat"/>
                <w:color w:val="000000"/>
                <w:lang w:val="hy-AM"/>
              </w:rPr>
              <w:t>Հաշվի առնելով վերոնշյալը՝ նախագծի ընդունումը պատասխանատվության միջոցների կիրառման առաջարկվող չափով համարում ենք ոչ նպատակահարմար։</w:t>
            </w:r>
          </w:p>
        </w:tc>
        <w:tc>
          <w:tcPr>
            <w:tcW w:w="4320" w:type="dxa"/>
            <w:shd w:val="clear" w:color="auto" w:fill="auto"/>
          </w:tcPr>
          <w:p w14:paraId="20198891" w14:textId="7FD032D4" w:rsidR="006622CF" w:rsidRPr="003B1F63" w:rsidRDefault="006622CF" w:rsidP="00EC5DD4">
            <w:pPr>
              <w:jc w:val="center"/>
              <w:rPr>
                <w:sz w:val="24"/>
                <w:szCs w:val="24"/>
              </w:rPr>
            </w:pPr>
            <w:r w:rsidRPr="003B1F63">
              <w:rPr>
                <w:sz w:val="24"/>
                <w:szCs w:val="24"/>
              </w:rPr>
              <w:t>Չի ընդունվել։</w:t>
            </w:r>
          </w:p>
          <w:p w14:paraId="791CE6E5" w14:textId="77777777" w:rsidR="006622CF" w:rsidRPr="003B1F63" w:rsidRDefault="006622CF" w:rsidP="00EC5DD4">
            <w:pPr>
              <w:jc w:val="center"/>
              <w:rPr>
                <w:sz w:val="24"/>
                <w:szCs w:val="24"/>
              </w:rPr>
            </w:pPr>
          </w:p>
          <w:p w14:paraId="0A88C394" w14:textId="77777777" w:rsidR="006622CF" w:rsidRPr="003B1F63" w:rsidRDefault="006622CF" w:rsidP="00EC5DD4">
            <w:pPr>
              <w:jc w:val="center"/>
              <w:rPr>
                <w:sz w:val="24"/>
                <w:szCs w:val="24"/>
              </w:rPr>
            </w:pPr>
          </w:p>
          <w:p w14:paraId="61AD6F98" w14:textId="77777777" w:rsidR="006622CF" w:rsidRPr="003B1F63" w:rsidRDefault="006622CF" w:rsidP="00EC5DD4">
            <w:pPr>
              <w:jc w:val="center"/>
              <w:rPr>
                <w:sz w:val="24"/>
                <w:szCs w:val="24"/>
              </w:rPr>
            </w:pPr>
          </w:p>
          <w:p w14:paraId="5166EE31" w14:textId="77777777" w:rsidR="006622CF" w:rsidRPr="003B1F63" w:rsidRDefault="006622CF" w:rsidP="00EC5DD4">
            <w:pPr>
              <w:jc w:val="center"/>
              <w:rPr>
                <w:sz w:val="24"/>
                <w:szCs w:val="24"/>
              </w:rPr>
            </w:pPr>
          </w:p>
          <w:p w14:paraId="6E0B04EC" w14:textId="77777777" w:rsidR="006622CF" w:rsidRPr="003B1F63" w:rsidRDefault="006622CF" w:rsidP="00EC5DD4">
            <w:pPr>
              <w:jc w:val="center"/>
              <w:rPr>
                <w:sz w:val="24"/>
                <w:szCs w:val="24"/>
              </w:rPr>
            </w:pPr>
          </w:p>
          <w:p w14:paraId="2E336E9B" w14:textId="1380D662" w:rsidR="00D76D03" w:rsidRPr="003B1F63" w:rsidRDefault="00D76D03" w:rsidP="006622CF">
            <w:pPr>
              <w:jc w:val="center"/>
              <w:rPr>
                <w:b/>
                <w:sz w:val="24"/>
                <w:szCs w:val="24"/>
              </w:rPr>
            </w:pPr>
          </w:p>
        </w:tc>
      </w:tr>
      <w:tr w:rsidR="00A4212D" w:rsidRPr="003B1F63" w14:paraId="71136C50" w14:textId="77777777" w:rsidTr="00826C43">
        <w:tc>
          <w:tcPr>
            <w:tcW w:w="450" w:type="dxa"/>
            <w:vMerge w:val="restart"/>
            <w:shd w:val="clear" w:color="auto" w:fill="D9D9D9" w:themeFill="background1" w:themeFillShade="D9"/>
          </w:tcPr>
          <w:p w14:paraId="1117A493" w14:textId="5B4389B8" w:rsidR="00A4212D" w:rsidRPr="003B1F63" w:rsidRDefault="00A4212D" w:rsidP="00EC5DD4">
            <w:pPr>
              <w:jc w:val="center"/>
              <w:rPr>
                <w:b/>
                <w:bCs/>
                <w:sz w:val="24"/>
                <w:szCs w:val="24"/>
              </w:rPr>
            </w:pPr>
            <w:r w:rsidRPr="003B1F63">
              <w:rPr>
                <w:b/>
                <w:bCs/>
                <w:sz w:val="24"/>
                <w:szCs w:val="24"/>
              </w:rPr>
              <w:t>3</w:t>
            </w:r>
          </w:p>
        </w:tc>
        <w:tc>
          <w:tcPr>
            <w:tcW w:w="5850" w:type="dxa"/>
            <w:vMerge w:val="restart"/>
            <w:shd w:val="clear" w:color="auto" w:fill="D9D9D9" w:themeFill="background1" w:themeFillShade="D9"/>
          </w:tcPr>
          <w:p w14:paraId="51A41678" w14:textId="77777777" w:rsidR="00A4212D" w:rsidRPr="003B1F63" w:rsidRDefault="00A4212D" w:rsidP="00EC5DD4">
            <w:pPr>
              <w:pStyle w:val="NormalWeb"/>
              <w:spacing w:before="0" w:beforeAutospacing="0" w:after="0" w:afterAutospacing="0" w:line="276" w:lineRule="auto"/>
              <w:ind w:firstLine="567"/>
              <w:jc w:val="both"/>
              <w:rPr>
                <w:rFonts w:ascii="GHEA Grapalat" w:hAnsi="GHEA Grapalat"/>
                <w:b/>
                <w:bCs/>
                <w:color w:val="000000"/>
                <w:lang w:val="hy-AM"/>
              </w:rPr>
            </w:pPr>
            <w:r w:rsidRPr="003B1F63">
              <w:rPr>
                <w:rFonts w:ascii="GHEA Grapalat" w:hAnsi="GHEA Grapalat"/>
                <w:b/>
                <w:bCs/>
                <w:color w:val="000000"/>
                <w:lang w:val="hy-AM"/>
              </w:rPr>
              <w:t>ՀՀ պետական եկամուտների կոմիտե</w:t>
            </w:r>
          </w:p>
          <w:p w14:paraId="53114F07" w14:textId="639B83E4" w:rsidR="00A4212D" w:rsidRPr="003B1F63" w:rsidRDefault="00A4212D" w:rsidP="00A4212D">
            <w:pPr>
              <w:pStyle w:val="NormalWeb"/>
              <w:spacing w:before="0" w:beforeAutospacing="0" w:after="0" w:afterAutospacing="0" w:line="276" w:lineRule="auto"/>
              <w:ind w:firstLine="567"/>
              <w:jc w:val="center"/>
              <w:rPr>
                <w:rFonts w:ascii="GHEA Grapalat" w:hAnsi="GHEA Grapalat"/>
                <w:b/>
                <w:bCs/>
                <w:color w:val="000000"/>
                <w:lang w:val="hy-AM"/>
              </w:rPr>
            </w:pPr>
            <w:r w:rsidRPr="003B1F63">
              <w:rPr>
                <w:rFonts w:ascii="GHEA Grapalat" w:hAnsi="GHEA Grapalat"/>
                <w:b/>
                <w:bCs/>
                <w:color w:val="000000"/>
                <w:lang w:val="hy-AM"/>
              </w:rPr>
              <w:lastRenderedPageBreak/>
              <w:t>(ի լրումն դիրքորոշում)</w:t>
            </w:r>
          </w:p>
        </w:tc>
        <w:tc>
          <w:tcPr>
            <w:tcW w:w="4320" w:type="dxa"/>
            <w:shd w:val="clear" w:color="auto" w:fill="D9D9D9" w:themeFill="background1" w:themeFillShade="D9"/>
          </w:tcPr>
          <w:p w14:paraId="5A119F26" w14:textId="0C876930" w:rsidR="00A4212D" w:rsidRPr="003B1F63" w:rsidRDefault="00A4212D" w:rsidP="00EC5DD4">
            <w:pPr>
              <w:jc w:val="center"/>
              <w:rPr>
                <w:b/>
                <w:bCs/>
                <w:sz w:val="24"/>
                <w:szCs w:val="24"/>
              </w:rPr>
            </w:pPr>
            <w:r w:rsidRPr="003B1F63">
              <w:rPr>
                <w:b/>
                <w:bCs/>
                <w:sz w:val="24"/>
                <w:szCs w:val="24"/>
              </w:rPr>
              <w:lastRenderedPageBreak/>
              <w:t>22</w:t>
            </w:r>
            <w:r w:rsidRPr="003B1F63">
              <w:rPr>
                <w:rFonts w:ascii="Cambria Math" w:hAnsi="Cambria Math" w:cs="Cambria Math"/>
                <w:b/>
                <w:bCs/>
                <w:sz w:val="24"/>
                <w:szCs w:val="24"/>
              </w:rPr>
              <w:t>․</w:t>
            </w:r>
            <w:r w:rsidRPr="003B1F63">
              <w:rPr>
                <w:b/>
                <w:bCs/>
                <w:sz w:val="24"/>
                <w:szCs w:val="24"/>
              </w:rPr>
              <w:t>07</w:t>
            </w:r>
            <w:r w:rsidRPr="003B1F63">
              <w:rPr>
                <w:rFonts w:ascii="Cambria Math" w:hAnsi="Cambria Math" w:cs="Cambria Math"/>
                <w:b/>
                <w:bCs/>
                <w:sz w:val="24"/>
                <w:szCs w:val="24"/>
              </w:rPr>
              <w:t>․</w:t>
            </w:r>
            <w:r w:rsidRPr="003B1F63">
              <w:rPr>
                <w:b/>
                <w:bCs/>
                <w:sz w:val="24"/>
                <w:szCs w:val="24"/>
              </w:rPr>
              <w:t>2024 թ</w:t>
            </w:r>
            <w:r w:rsidRPr="003B1F63">
              <w:rPr>
                <w:rFonts w:ascii="Cambria Math" w:hAnsi="Cambria Math" w:cs="Cambria Math"/>
                <w:b/>
                <w:bCs/>
                <w:sz w:val="24"/>
                <w:szCs w:val="24"/>
              </w:rPr>
              <w:t>․</w:t>
            </w:r>
          </w:p>
        </w:tc>
      </w:tr>
      <w:tr w:rsidR="00A4212D" w:rsidRPr="003B1F63" w14:paraId="7235E04E" w14:textId="77777777" w:rsidTr="00826C43">
        <w:tc>
          <w:tcPr>
            <w:tcW w:w="450" w:type="dxa"/>
            <w:vMerge/>
            <w:shd w:val="clear" w:color="auto" w:fill="D9D9D9" w:themeFill="background1" w:themeFillShade="D9"/>
          </w:tcPr>
          <w:p w14:paraId="112F2E67" w14:textId="77777777" w:rsidR="00A4212D" w:rsidRPr="003B1F63" w:rsidRDefault="00A4212D" w:rsidP="00EC5DD4">
            <w:pPr>
              <w:jc w:val="center"/>
              <w:rPr>
                <w:b/>
                <w:bCs/>
                <w:sz w:val="24"/>
                <w:szCs w:val="24"/>
              </w:rPr>
            </w:pPr>
          </w:p>
        </w:tc>
        <w:tc>
          <w:tcPr>
            <w:tcW w:w="5850" w:type="dxa"/>
            <w:vMerge/>
            <w:shd w:val="clear" w:color="auto" w:fill="D9D9D9" w:themeFill="background1" w:themeFillShade="D9"/>
          </w:tcPr>
          <w:p w14:paraId="5A13EA47" w14:textId="77777777" w:rsidR="00A4212D" w:rsidRPr="003B1F63" w:rsidRDefault="00A4212D" w:rsidP="00EC5DD4">
            <w:pPr>
              <w:pStyle w:val="NormalWeb"/>
              <w:spacing w:before="0" w:beforeAutospacing="0" w:after="0" w:afterAutospacing="0" w:line="276" w:lineRule="auto"/>
              <w:ind w:firstLine="567"/>
              <w:jc w:val="both"/>
              <w:rPr>
                <w:rFonts w:ascii="GHEA Grapalat" w:hAnsi="GHEA Grapalat"/>
                <w:b/>
                <w:bCs/>
                <w:color w:val="000000"/>
                <w:lang w:val="hy-AM"/>
              </w:rPr>
            </w:pPr>
          </w:p>
        </w:tc>
        <w:tc>
          <w:tcPr>
            <w:tcW w:w="4320" w:type="dxa"/>
            <w:shd w:val="clear" w:color="auto" w:fill="D9D9D9" w:themeFill="background1" w:themeFillShade="D9"/>
          </w:tcPr>
          <w:p w14:paraId="490F7CDC" w14:textId="57F04E57" w:rsidR="00A4212D" w:rsidRPr="003B1F63" w:rsidRDefault="00A4212D" w:rsidP="00EC5DD4">
            <w:pPr>
              <w:jc w:val="center"/>
              <w:rPr>
                <w:b/>
                <w:bCs/>
                <w:sz w:val="24"/>
                <w:szCs w:val="24"/>
              </w:rPr>
            </w:pPr>
            <w:r w:rsidRPr="003B1F63">
              <w:rPr>
                <w:b/>
                <w:bCs/>
                <w:sz w:val="24"/>
                <w:szCs w:val="24"/>
              </w:rPr>
              <w:t>N 01/3-3/44288-2024</w:t>
            </w:r>
          </w:p>
        </w:tc>
      </w:tr>
      <w:tr w:rsidR="006622CF" w:rsidRPr="003B1F63" w14:paraId="6FD1FB16" w14:textId="77777777" w:rsidTr="006622CF">
        <w:tc>
          <w:tcPr>
            <w:tcW w:w="450" w:type="dxa"/>
            <w:shd w:val="clear" w:color="auto" w:fill="auto"/>
          </w:tcPr>
          <w:p w14:paraId="4DC46A71" w14:textId="77777777" w:rsidR="006622CF" w:rsidRPr="003B1F63" w:rsidRDefault="006622CF" w:rsidP="00EC5DD4">
            <w:pPr>
              <w:jc w:val="center"/>
              <w:rPr>
                <w:b/>
                <w:bCs/>
                <w:sz w:val="24"/>
                <w:szCs w:val="24"/>
              </w:rPr>
            </w:pPr>
          </w:p>
        </w:tc>
        <w:tc>
          <w:tcPr>
            <w:tcW w:w="5850" w:type="dxa"/>
            <w:shd w:val="clear" w:color="auto" w:fill="auto"/>
          </w:tcPr>
          <w:p w14:paraId="0334595B" w14:textId="4BCDE9EC" w:rsidR="006622CF" w:rsidRPr="003B1F63" w:rsidRDefault="006622CF" w:rsidP="00EC5DD4">
            <w:pPr>
              <w:pStyle w:val="NormalWeb"/>
              <w:spacing w:before="0" w:beforeAutospacing="0" w:after="0" w:afterAutospacing="0" w:line="276" w:lineRule="auto"/>
              <w:ind w:firstLine="567"/>
              <w:jc w:val="both"/>
              <w:rPr>
                <w:rFonts w:ascii="GHEA Grapalat" w:hAnsi="GHEA Grapalat"/>
                <w:b/>
                <w:bCs/>
                <w:color w:val="000000"/>
                <w:lang w:val="hy-AM"/>
              </w:rPr>
            </w:pPr>
            <w:r w:rsidRPr="003B1F63">
              <w:rPr>
                <w:rFonts w:ascii="GHEA Grapalat" w:hAnsi="GHEA Grapalat"/>
                <w:color w:val="000000"/>
                <w:lang w:val="hy-AM"/>
              </w:rPr>
              <w:t>ՀՀ պետական եկամուտների կոմիտեն քննարկել է փոխվարչապետ Տիգրան Խաչատրյանի նախագահությամբ սույն թվականի հունիսի 19-ին կայացած ՓՄՁ զարգացման խորհրդի նիստի արդյունքներով լրամշակված՝ «Հայաստանի Հանրապետության հարկային օրենսգրքում փոփոխություն կատարելու մասին» Հայաստանի Հանրապետության օրենքի նախագիծը, որի վերաբերյալ հայտնում ենք, որ առաջարկություններ չկան։</w:t>
            </w:r>
          </w:p>
        </w:tc>
        <w:tc>
          <w:tcPr>
            <w:tcW w:w="4320" w:type="dxa"/>
            <w:shd w:val="clear" w:color="auto" w:fill="auto"/>
          </w:tcPr>
          <w:p w14:paraId="17C30C62" w14:textId="77777777" w:rsidR="006622CF" w:rsidRPr="003B1F63" w:rsidRDefault="006622CF" w:rsidP="006622CF">
            <w:pPr>
              <w:jc w:val="center"/>
              <w:rPr>
                <w:sz w:val="24"/>
                <w:szCs w:val="24"/>
              </w:rPr>
            </w:pPr>
            <w:r w:rsidRPr="003B1F63">
              <w:rPr>
                <w:sz w:val="24"/>
                <w:szCs w:val="24"/>
              </w:rPr>
              <w:t>Ընդունվել է։</w:t>
            </w:r>
          </w:p>
          <w:p w14:paraId="0A54BC8C" w14:textId="77777777" w:rsidR="006622CF" w:rsidRPr="003B1F63" w:rsidRDefault="006622CF" w:rsidP="00EC5DD4">
            <w:pPr>
              <w:jc w:val="center"/>
              <w:rPr>
                <w:b/>
                <w:bCs/>
                <w:sz w:val="24"/>
                <w:szCs w:val="24"/>
              </w:rPr>
            </w:pPr>
          </w:p>
        </w:tc>
      </w:tr>
    </w:tbl>
    <w:tbl>
      <w:tblPr>
        <w:tblW w:w="1062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5850"/>
        <w:gridCol w:w="4320"/>
      </w:tblGrid>
      <w:tr w:rsidR="00DE4254" w:rsidRPr="003B1F63" w14:paraId="36FE33DC" w14:textId="77777777" w:rsidTr="00DE4254">
        <w:tc>
          <w:tcPr>
            <w:tcW w:w="450" w:type="dxa"/>
            <w:tcBorders>
              <w:top w:val="single" w:sz="4" w:space="0" w:color="000000"/>
              <w:left w:val="single" w:sz="4" w:space="0" w:color="000000"/>
              <w:bottom w:val="single" w:sz="4" w:space="0" w:color="000000"/>
              <w:right w:val="single" w:sz="4" w:space="0" w:color="000000"/>
            </w:tcBorders>
            <w:shd w:val="clear" w:color="auto" w:fill="D9D9D9"/>
            <w:hideMark/>
          </w:tcPr>
          <w:p w14:paraId="42E4BE56" w14:textId="77777777" w:rsidR="00DE4254" w:rsidRPr="003B1F63" w:rsidRDefault="00DE4254">
            <w:pPr>
              <w:spacing w:after="0" w:line="240" w:lineRule="auto"/>
              <w:jc w:val="center"/>
              <w:rPr>
                <w:b/>
                <w:sz w:val="24"/>
                <w:szCs w:val="24"/>
              </w:rPr>
            </w:pPr>
            <w:r w:rsidRPr="003B1F63">
              <w:rPr>
                <w:b/>
                <w:sz w:val="24"/>
                <w:szCs w:val="24"/>
              </w:rPr>
              <w:t>3</w:t>
            </w:r>
          </w:p>
        </w:tc>
        <w:tc>
          <w:tcPr>
            <w:tcW w:w="5850" w:type="dxa"/>
            <w:tcBorders>
              <w:top w:val="single" w:sz="4" w:space="0" w:color="000000"/>
              <w:left w:val="single" w:sz="4" w:space="0" w:color="000000"/>
              <w:bottom w:val="single" w:sz="4" w:space="0" w:color="000000"/>
              <w:right w:val="single" w:sz="4" w:space="0" w:color="000000"/>
            </w:tcBorders>
            <w:shd w:val="clear" w:color="auto" w:fill="D9D9D9"/>
            <w:hideMark/>
          </w:tcPr>
          <w:p w14:paraId="5C66B78A" w14:textId="77777777" w:rsidR="00DE4254" w:rsidRPr="003B1F63" w:rsidRDefault="00DE4254">
            <w:pPr>
              <w:spacing w:after="0" w:line="240" w:lineRule="auto"/>
              <w:ind w:firstLine="567"/>
              <w:jc w:val="both"/>
              <w:rPr>
                <w:b/>
                <w:color w:val="000000"/>
                <w:sz w:val="24"/>
                <w:szCs w:val="24"/>
              </w:rPr>
            </w:pPr>
            <w:r w:rsidRPr="003B1F63">
              <w:rPr>
                <w:b/>
                <w:color w:val="000000"/>
                <w:sz w:val="24"/>
                <w:szCs w:val="24"/>
              </w:rPr>
              <w:t>ՀՀ արդարադատության նախարարություն</w:t>
            </w:r>
          </w:p>
        </w:tc>
        <w:tc>
          <w:tcPr>
            <w:tcW w:w="4320" w:type="dxa"/>
            <w:tcBorders>
              <w:top w:val="single" w:sz="4" w:space="0" w:color="000000"/>
              <w:left w:val="single" w:sz="4" w:space="0" w:color="000000"/>
              <w:bottom w:val="single" w:sz="4" w:space="0" w:color="000000"/>
              <w:right w:val="single" w:sz="4" w:space="0" w:color="000000"/>
            </w:tcBorders>
            <w:shd w:val="clear" w:color="auto" w:fill="D9D9D9"/>
            <w:hideMark/>
          </w:tcPr>
          <w:p w14:paraId="6B9C2237" w14:textId="7CB71118" w:rsidR="00DE4254" w:rsidRPr="003B1F63" w:rsidRDefault="00DE4254" w:rsidP="00DE4254">
            <w:pPr>
              <w:spacing w:after="0" w:line="240" w:lineRule="auto"/>
              <w:jc w:val="center"/>
              <w:rPr>
                <w:rFonts w:ascii="Cambria Math" w:hAnsi="Cambria Math"/>
                <w:b/>
                <w:sz w:val="24"/>
                <w:szCs w:val="24"/>
              </w:rPr>
            </w:pPr>
            <w:r w:rsidRPr="003B1F63">
              <w:rPr>
                <w:b/>
                <w:sz w:val="24"/>
                <w:szCs w:val="24"/>
              </w:rPr>
              <w:t>23.01.2024 թ</w:t>
            </w:r>
            <w:r w:rsidRPr="003B1F63">
              <w:rPr>
                <w:rFonts w:ascii="Cambria Math" w:hAnsi="Cambria Math"/>
                <w:b/>
                <w:sz w:val="24"/>
                <w:szCs w:val="24"/>
              </w:rPr>
              <w:t>․</w:t>
            </w:r>
          </w:p>
          <w:p w14:paraId="5FD98633" w14:textId="77777777" w:rsidR="00DE4254" w:rsidRPr="003B1F63" w:rsidRDefault="00DE4254" w:rsidP="00DE4254">
            <w:pPr>
              <w:spacing w:after="0" w:line="240" w:lineRule="auto"/>
              <w:jc w:val="center"/>
              <w:rPr>
                <w:b/>
                <w:sz w:val="24"/>
                <w:szCs w:val="24"/>
              </w:rPr>
            </w:pPr>
            <w:r w:rsidRPr="003B1F63">
              <w:rPr>
                <w:b/>
                <w:color w:val="000000"/>
                <w:sz w:val="24"/>
                <w:szCs w:val="24"/>
              </w:rPr>
              <w:t>№/27.2/2502-2024</w:t>
            </w:r>
          </w:p>
        </w:tc>
      </w:tr>
      <w:tr w:rsidR="00DE4254" w:rsidRPr="003B1F63" w14:paraId="096EB473" w14:textId="77777777" w:rsidTr="00DE4254">
        <w:tc>
          <w:tcPr>
            <w:tcW w:w="450" w:type="dxa"/>
            <w:tcBorders>
              <w:top w:val="single" w:sz="4" w:space="0" w:color="000000"/>
              <w:left w:val="single" w:sz="4" w:space="0" w:color="000000"/>
              <w:bottom w:val="nil"/>
              <w:right w:val="single" w:sz="4" w:space="0" w:color="000000"/>
            </w:tcBorders>
          </w:tcPr>
          <w:p w14:paraId="511856E3" w14:textId="77777777" w:rsidR="00DE4254" w:rsidRPr="003B1F63" w:rsidRDefault="00DE4254">
            <w:pPr>
              <w:spacing w:after="0" w:line="240" w:lineRule="auto"/>
              <w:jc w:val="center"/>
              <w:rPr>
                <w:sz w:val="24"/>
                <w:szCs w:val="24"/>
              </w:rPr>
            </w:pPr>
          </w:p>
        </w:tc>
        <w:tc>
          <w:tcPr>
            <w:tcW w:w="5850" w:type="dxa"/>
            <w:tcBorders>
              <w:top w:val="single" w:sz="4" w:space="0" w:color="000000"/>
              <w:left w:val="single" w:sz="4" w:space="0" w:color="000000"/>
              <w:bottom w:val="nil"/>
              <w:right w:val="single" w:sz="4" w:space="0" w:color="000000"/>
            </w:tcBorders>
            <w:hideMark/>
          </w:tcPr>
          <w:p w14:paraId="2DCA25BF" w14:textId="77777777" w:rsidR="00DE4254" w:rsidRPr="003B1F63" w:rsidRDefault="00DE4254">
            <w:pPr>
              <w:spacing w:after="0"/>
              <w:ind w:hanging="29"/>
              <w:jc w:val="both"/>
              <w:rPr>
                <w:color w:val="000000"/>
                <w:sz w:val="24"/>
                <w:szCs w:val="24"/>
              </w:rPr>
            </w:pPr>
            <w:r w:rsidRPr="003B1F63">
              <w:rPr>
                <w:color w:val="000000"/>
                <w:sz w:val="24"/>
                <w:szCs w:val="24"/>
              </w:rPr>
              <w:t xml:space="preserve">1. Նախագծի 1-ին հոդվածով առաջարկվող կարգավորմամբ օգտագործվող </w:t>
            </w:r>
            <w:r w:rsidRPr="003B1F63">
              <w:rPr>
                <w:b/>
                <w:color w:val="000000"/>
                <w:sz w:val="24"/>
                <w:szCs w:val="24"/>
              </w:rPr>
              <w:t>«դեպքի»</w:t>
            </w:r>
            <w:r w:rsidRPr="003B1F63">
              <w:rPr>
                <w:color w:val="000000"/>
                <w:sz w:val="24"/>
                <w:szCs w:val="24"/>
              </w:rPr>
              <w:t xml:space="preserve"> բառը անհրաժեշտ է փոխարինել «դեպքերի» բառով, հաշվի առնելով այն հանգամանքը, որ փոփոխվող հոդվածի 4-րդ և 4.1 մասերով նշված են մեկից ավելի պայմաններ (կամ կոնկրետացնել բացառություն նախատեսող դեպքը):</w:t>
            </w:r>
            <w:r w:rsidRPr="003B1F63">
              <w:rPr>
                <w:color w:val="000000"/>
                <w:sz w:val="24"/>
                <w:szCs w:val="24"/>
              </w:rPr>
              <w:tab/>
            </w:r>
            <w:r w:rsidRPr="003B1F63">
              <w:rPr>
                <w:color w:val="000000"/>
                <w:sz w:val="24"/>
                <w:szCs w:val="24"/>
              </w:rPr>
              <w:tab/>
            </w:r>
          </w:p>
          <w:p w14:paraId="3F16DDB7" w14:textId="77777777" w:rsidR="00DE4254" w:rsidRPr="003B1F63" w:rsidRDefault="00DE4254">
            <w:pPr>
              <w:spacing w:after="0" w:line="240" w:lineRule="auto"/>
              <w:ind w:hanging="29"/>
              <w:jc w:val="both"/>
              <w:rPr>
                <w:color w:val="000000"/>
                <w:sz w:val="24"/>
                <w:szCs w:val="24"/>
              </w:rPr>
            </w:pPr>
            <w:r w:rsidRPr="003B1F63">
              <w:rPr>
                <w:color w:val="000000"/>
                <w:sz w:val="24"/>
                <w:szCs w:val="24"/>
              </w:rPr>
              <w:t>2.  Միևնույն ժամանակ, հաշվի առնելով այն հանգամանքը, որ ՀՀ ֆինանսների նախարարությունը հանդիսանում է ոլորտային քաղաքականությունը մշակող մարմին՝ առաջարկում ենք ևս մեկ անգամ քննարկել ներկայացված դիտարկումները:</w:t>
            </w:r>
          </w:p>
        </w:tc>
        <w:tc>
          <w:tcPr>
            <w:tcW w:w="4320" w:type="dxa"/>
            <w:tcBorders>
              <w:top w:val="single" w:sz="4" w:space="0" w:color="000000"/>
              <w:left w:val="single" w:sz="4" w:space="0" w:color="000000"/>
              <w:bottom w:val="nil"/>
              <w:right w:val="single" w:sz="4" w:space="0" w:color="000000"/>
            </w:tcBorders>
          </w:tcPr>
          <w:p w14:paraId="6B447A56" w14:textId="77777777" w:rsidR="00DE4254" w:rsidRPr="003B1F63" w:rsidRDefault="00DE4254">
            <w:pPr>
              <w:spacing w:after="0" w:line="240" w:lineRule="auto"/>
              <w:jc w:val="both"/>
              <w:rPr>
                <w:color w:val="000000"/>
                <w:sz w:val="24"/>
                <w:szCs w:val="24"/>
              </w:rPr>
            </w:pPr>
            <w:r w:rsidRPr="003B1F63">
              <w:rPr>
                <w:sz w:val="24"/>
                <w:szCs w:val="24"/>
              </w:rPr>
              <w:t>1</w:t>
            </w:r>
            <w:r w:rsidRPr="003B1F63">
              <w:rPr>
                <w:rFonts w:ascii="Microsoft JhengHei" w:eastAsia="Microsoft JhengHei" w:hAnsi="Microsoft JhengHei" w:cs="Microsoft JhengHei" w:hint="eastAsia"/>
                <w:sz w:val="24"/>
                <w:szCs w:val="24"/>
              </w:rPr>
              <w:t>․</w:t>
            </w:r>
            <w:r w:rsidRPr="003B1F63">
              <w:rPr>
                <w:color w:val="000000"/>
                <w:sz w:val="24"/>
                <w:szCs w:val="24"/>
              </w:rPr>
              <w:t xml:space="preserve">Ընդունվել է: </w:t>
            </w:r>
          </w:p>
          <w:p w14:paraId="3D1632AC" w14:textId="77777777" w:rsidR="00DE4254" w:rsidRPr="003B1F63" w:rsidRDefault="00DE4254">
            <w:pPr>
              <w:spacing w:after="0" w:line="240" w:lineRule="auto"/>
              <w:jc w:val="both"/>
              <w:rPr>
                <w:color w:val="000000"/>
                <w:sz w:val="24"/>
                <w:szCs w:val="24"/>
              </w:rPr>
            </w:pPr>
            <w:r w:rsidRPr="003B1F63">
              <w:rPr>
                <w:color w:val="000000"/>
                <w:sz w:val="24"/>
                <w:szCs w:val="24"/>
              </w:rPr>
              <w:t>Խմբագրվել է առաջարկությանը համապատասխան:</w:t>
            </w:r>
          </w:p>
          <w:p w14:paraId="17A2CD06" w14:textId="77777777" w:rsidR="00DE4254" w:rsidRPr="003B1F63" w:rsidRDefault="00DE4254">
            <w:pPr>
              <w:spacing w:after="0" w:line="240" w:lineRule="auto"/>
              <w:jc w:val="both"/>
              <w:rPr>
                <w:sz w:val="24"/>
                <w:szCs w:val="24"/>
              </w:rPr>
            </w:pPr>
          </w:p>
          <w:p w14:paraId="5BA01F2B" w14:textId="77777777" w:rsidR="00DE4254" w:rsidRPr="003B1F63" w:rsidRDefault="00DE4254">
            <w:pPr>
              <w:spacing w:after="0" w:line="240" w:lineRule="auto"/>
              <w:jc w:val="both"/>
              <w:rPr>
                <w:sz w:val="24"/>
                <w:szCs w:val="24"/>
              </w:rPr>
            </w:pPr>
          </w:p>
          <w:p w14:paraId="28D8931B" w14:textId="77777777" w:rsidR="00DE4254" w:rsidRPr="003B1F63" w:rsidRDefault="00DE4254">
            <w:pPr>
              <w:spacing w:after="0" w:line="240" w:lineRule="auto"/>
              <w:jc w:val="both"/>
              <w:rPr>
                <w:sz w:val="24"/>
                <w:szCs w:val="24"/>
              </w:rPr>
            </w:pPr>
          </w:p>
          <w:p w14:paraId="17904E86" w14:textId="77777777" w:rsidR="00DE4254" w:rsidRPr="003B1F63" w:rsidRDefault="00DE4254">
            <w:pPr>
              <w:spacing w:after="0" w:line="240" w:lineRule="auto"/>
              <w:jc w:val="both"/>
              <w:rPr>
                <w:sz w:val="24"/>
                <w:szCs w:val="24"/>
              </w:rPr>
            </w:pPr>
          </w:p>
          <w:p w14:paraId="16212ABF" w14:textId="77777777" w:rsidR="00DE4254" w:rsidRPr="003B1F63" w:rsidRDefault="00DE4254">
            <w:pPr>
              <w:spacing w:after="0" w:line="240" w:lineRule="auto"/>
              <w:jc w:val="both"/>
              <w:rPr>
                <w:sz w:val="24"/>
                <w:szCs w:val="24"/>
              </w:rPr>
            </w:pPr>
          </w:p>
          <w:p w14:paraId="1171A07B" w14:textId="77777777" w:rsidR="00DE4254" w:rsidRPr="003B1F63" w:rsidRDefault="00DE4254">
            <w:pPr>
              <w:spacing w:after="0" w:line="240" w:lineRule="auto"/>
              <w:jc w:val="both"/>
              <w:rPr>
                <w:sz w:val="24"/>
                <w:szCs w:val="24"/>
              </w:rPr>
            </w:pPr>
            <w:r w:rsidRPr="003B1F63">
              <w:rPr>
                <w:sz w:val="24"/>
                <w:szCs w:val="24"/>
              </w:rPr>
              <w:t>2</w:t>
            </w:r>
            <w:r w:rsidRPr="003B1F63">
              <w:rPr>
                <w:rFonts w:ascii="Microsoft JhengHei" w:eastAsia="Microsoft JhengHei" w:hAnsi="Microsoft JhengHei" w:cs="Microsoft JhengHei" w:hint="eastAsia"/>
                <w:sz w:val="24"/>
                <w:szCs w:val="24"/>
              </w:rPr>
              <w:t>․</w:t>
            </w:r>
            <w:r w:rsidRPr="003B1F63">
              <w:rPr>
                <w:sz w:val="24"/>
                <w:szCs w:val="24"/>
              </w:rPr>
              <w:t xml:space="preserve"> Ընդունվել է ի գիտություն։</w:t>
            </w:r>
          </w:p>
          <w:p w14:paraId="4F263FE9" w14:textId="77777777" w:rsidR="00DE4254" w:rsidRPr="003B1F63" w:rsidRDefault="00DE4254">
            <w:pPr>
              <w:spacing w:after="0" w:line="240" w:lineRule="auto"/>
              <w:jc w:val="both"/>
              <w:rPr>
                <w:sz w:val="24"/>
                <w:szCs w:val="24"/>
              </w:rPr>
            </w:pPr>
          </w:p>
        </w:tc>
      </w:tr>
    </w:tbl>
    <w:tbl>
      <w:tblPr>
        <w:tblStyle w:val="a"/>
        <w:tblW w:w="1062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5850"/>
        <w:gridCol w:w="4320"/>
      </w:tblGrid>
      <w:tr w:rsidR="00826C43" w:rsidRPr="003B1F63" w14:paraId="028FEE31" w14:textId="77777777" w:rsidTr="00DE4254">
        <w:tc>
          <w:tcPr>
            <w:tcW w:w="4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E666D2" w14:textId="36D2B82D" w:rsidR="00826C43" w:rsidRPr="003B1F63" w:rsidRDefault="00A4212D" w:rsidP="00881829">
            <w:pPr>
              <w:spacing w:after="0"/>
              <w:jc w:val="center"/>
              <w:rPr>
                <w:b/>
                <w:bCs/>
                <w:sz w:val="24"/>
                <w:szCs w:val="24"/>
              </w:rPr>
            </w:pPr>
            <w:r w:rsidRPr="003B1F63">
              <w:rPr>
                <w:b/>
                <w:bCs/>
                <w:sz w:val="24"/>
                <w:szCs w:val="24"/>
              </w:rPr>
              <w:t>4</w:t>
            </w:r>
          </w:p>
        </w:tc>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0375C8" w14:textId="2FEDC72D" w:rsidR="00826C43" w:rsidRPr="003B1F63" w:rsidRDefault="00826C43" w:rsidP="00881829">
            <w:pPr>
              <w:pStyle w:val="NormalWeb"/>
              <w:spacing w:before="0" w:beforeAutospacing="0" w:after="0" w:afterAutospacing="0" w:line="276" w:lineRule="auto"/>
              <w:ind w:firstLine="567"/>
              <w:jc w:val="both"/>
              <w:rPr>
                <w:rFonts w:ascii="GHEA Grapalat" w:hAnsi="GHEA Grapalat"/>
                <w:b/>
                <w:bCs/>
                <w:color w:val="000000"/>
                <w:lang w:val="hy-AM"/>
              </w:rPr>
            </w:pPr>
            <w:r w:rsidRPr="003B1F63">
              <w:rPr>
                <w:rFonts w:ascii="GHEA Grapalat" w:hAnsi="GHEA Grapalat"/>
                <w:b/>
                <w:bCs/>
                <w:color w:val="000000"/>
                <w:lang w:val="hy-AM"/>
              </w:rPr>
              <w:t>ՀՀ արդարադատության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CA5E49" w14:textId="70A86C84" w:rsidR="00826C43" w:rsidRPr="003B1F63" w:rsidRDefault="008A6C5A" w:rsidP="00881829">
            <w:pPr>
              <w:spacing w:after="0"/>
              <w:jc w:val="center"/>
              <w:rPr>
                <w:b/>
                <w:bCs/>
                <w:sz w:val="24"/>
                <w:szCs w:val="24"/>
              </w:rPr>
            </w:pPr>
            <w:r w:rsidRPr="003B1F63">
              <w:rPr>
                <w:b/>
                <w:bCs/>
                <w:sz w:val="24"/>
                <w:szCs w:val="24"/>
              </w:rPr>
              <w:t>16</w:t>
            </w:r>
            <w:r w:rsidRPr="003B1F63">
              <w:rPr>
                <w:rFonts w:ascii="Cambria Math" w:hAnsi="Cambria Math" w:cs="Cambria Math"/>
                <w:b/>
                <w:bCs/>
                <w:sz w:val="24"/>
                <w:szCs w:val="24"/>
              </w:rPr>
              <w:t>․</w:t>
            </w:r>
            <w:r w:rsidRPr="003B1F63">
              <w:rPr>
                <w:b/>
                <w:bCs/>
                <w:sz w:val="24"/>
                <w:szCs w:val="24"/>
              </w:rPr>
              <w:t>09</w:t>
            </w:r>
            <w:r w:rsidRPr="003B1F63">
              <w:rPr>
                <w:rFonts w:ascii="Cambria Math" w:hAnsi="Cambria Math" w:cs="Cambria Math"/>
                <w:b/>
                <w:bCs/>
                <w:sz w:val="24"/>
                <w:szCs w:val="24"/>
              </w:rPr>
              <w:t>․</w:t>
            </w:r>
            <w:r w:rsidRPr="003B1F63">
              <w:rPr>
                <w:b/>
                <w:bCs/>
                <w:sz w:val="24"/>
                <w:szCs w:val="24"/>
              </w:rPr>
              <w:t xml:space="preserve"> 2024թ</w:t>
            </w:r>
          </w:p>
        </w:tc>
      </w:tr>
      <w:tr w:rsidR="00826C43" w:rsidRPr="003B1F63" w14:paraId="649C3E10" w14:textId="77777777" w:rsidTr="00DE4254">
        <w:tc>
          <w:tcPr>
            <w:tcW w:w="450" w:type="dxa"/>
            <w:vMerge/>
            <w:tcBorders>
              <w:top w:val="single" w:sz="4" w:space="0" w:color="auto"/>
            </w:tcBorders>
            <w:shd w:val="clear" w:color="auto" w:fill="D9D9D9" w:themeFill="background1" w:themeFillShade="D9"/>
          </w:tcPr>
          <w:p w14:paraId="73E3A590" w14:textId="77777777" w:rsidR="00826C43" w:rsidRPr="003B1F63" w:rsidRDefault="00826C43" w:rsidP="00881829">
            <w:pPr>
              <w:spacing w:after="0"/>
              <w:jc w:val="center"/>
              <w:rPr>
                <w:sz w:val="24"/>
                <w:szCs w:val="24"/>
              </w:rPr>
            </w:pPr>
          </w:p>
        </w:tc>
        <w:tc>
          <w:tcPr>
            <w:tcW w:w="5850" w:type="dxa"/>
            <w:vMerge/>
            <w:tcBorders>
              <w:top w:val="single" w:sz="4" w:space="0" w:color="auto"/>
            </w:tcBorders>
            <w:shd w:val="clear" w:color="auto" w:fill="D9D9D9" w:themeFill="background1" w:themeFillShade="D9"/>
          </w:tcPr>
          <w:p w14:paraId="7F5383A3" w14:textId="77777777" w:rsidR="00826C43" w:rsidRPr="003B1F63" w:rsidRDefault="00826C43" w:rsidP="00881829">
            <w:pPr>
              <w:pStyle w:val="NormalWeb"/>
              <w:spacing w:before="0" w:beforeAutospacing="0" w:after="0" w:afterAutospacing="0" w:line="276" w:lineRule="auto"/>
              <w:ind w:firstLine="567"/>
              <w:jc w:val="both"/>
              <w:rPr>
                <w:rFonts w:ascii="GHEA Grapalat" w:hAnsi="GHEA Grapalat"/>
                <w:color w:val="000000"/>
                <w:lang w:val="hy-AM"/>
              </w:rPr>
            </w:pPr>
          </w:p>
        </w:tc>
        <w:tc>
          <w:tcPr>
            <w:tcW w:w="4320" w:type="dxa"/>
            <w:tcBorders>
              <w:top w:val="single" w:sz="4" w:space="0" w:color="auto"/>
            </w:tcBorders>
            <w:shd w:val="clear" w:color="auto" w:fill="D9D9D9" w:themeFill="background1" w:themeFillShade="D9"/>
          </w:tcPr>
          <w:p w14:paraId="41EE0E02" w14:textId="65F0F713" w:rsidR="00826C43" w:rsidRPr="003B1F63" w:rsidRDefault="008A6C5A" w:rsidP="00881829">
            <w:pPr>
              <w:spacing w:after="0"/>
              <w:jc w:val="center"/>
              <w:rPr>
                <w:b/>
                <w:bCs/>
                <w:sz w:val="24"/>
                <w:szCs w:val="24"/>
              </w:rPr>
            </w:pPr>
            <w:r w:rsidRPr="003B1F63">
              <w:rPr>
                <w:b/>
                <w:bCs/>
                <w:sz w:val="24"/>
                <w:szCs w:val="24"/>
              </w:rPr>
              <w:t>N /01/27.2/36792-2024</w:t>
            </w:r>
          </w:p>
        </w:tc>
      </w:tr>
      <w:tr w:rsidR="008A6C5A" w:rsidRPr="003B1F63" w14:paraId="3B07B081" w14:textId="77777777" w:rsidTr="008A6C5A">
        <w:tc>
          <w:tcPr>
            <w:tcW w:w="450" w:type="dxa"/>
            <w:shd w:val="clear" w:color="auto" w:fill="auto"/>
          </w:tcPr>
          <w:p w14:paraId="7857412C" w14:textId="343EAE1D" w:rsidR="008A6C5A" w:rsidRPr="003B1F63" w:rsidRDefault="008A6C5A" w:rsidP="00EC5DD4">
            <w:pPr>
              <w:jc w:val="center"/>
              <w:rPr>
                <w:sz w:val="24"/>
                <w:szCs w:val="24"/>
              </w:rPr>
            </w:pPr>
          </w:p>
        </w:tc>
        <w:tc>
          <w:tcPr>
            <w:tcW w:w="5850" w:type="dxa"/>
            <w:shd w:val="clear" w:color="auto" w:fill="auto"/>
          </w:tcPr>
          <w:p w14:paraId="27867318" w14:textId="77777777" w:rsidR="00EC5DD4" w:rsidRPr="003B1F63" w:rsidRDefault="00EC5DD4" w:rsidP="00EC5DD4">
            <w:pPr>
              <w:spacing w:after="0"/>
              <w:jc w:val="center"/>
              <w:rPr>
                <w:rFonts w:eastAsia="Times New Roman" w:cs="Times New Roman"/>
                <w:b/>
                <w:sz w:val="24"/>
                <w:szCs w:val="24"/>
                <w:lang w:eastAsia="ru-RU"/>
              </w:rPr>
            </w:pPr>
            <w:r w:rsidRPr="003B1F63">
              <w:rPr>
                <w:rFonts w:eastAsia="Times New Roman" w:cs="Times New Roman"/>
                <w:b/>
                <w:sz w:val="24"/>
                <w:szCs w:val="24"/>
                <w:lang w:eastAsia="ru-RU"/>
              </w:rPr>
              <w:t>ՊԵՏԱԿԱՆ ՓՈՐՁԱԳԻՏԱԿԱՆ ԵԶՐԱԿԱՑՈՒԹՅՈՒՆ</w:t>
            </w:r>
          </w:p>
          <w:p w14:paraId="6BFA34AF" w14:textId="5D7DC6F7" w:rsidR="00EC5DD4" w:rsidRPr="003B1F63" w:rsidRDefault="00EC5DD4" w:rsidP="00B30C64">
            <w:pPr>
              <w:spacing w:after="200"/>
              <w:contextualSpacing/>
              <w:jc w:val="center"/>
              <w:rPr>
                <w:rFonts w:eastAsia="Times New Roman" w:cs="Times Armenian"/>
                <w:b/>
                <w:sz w:val="24"/>
                <w:szCs w:val="24"/>
                <w:lang w:eastAsia="ru-RU"/>
              </w:rPr>
            </w:pPr>
            <w:r w:rsidRPr="003B1F63">
              <w:rPr>
                <w:rFonts w:eastAsia="Times New Roman" w:cs="Times New Roman"/>
                <w:b/>
                <w:color w:val="000000"/>
                <w:sz w:val="24"/>
                <w:szCs w:val="24"/>
                <w:lang w:eastAsia="ru-RU"/>
              </w:rPr>
              <w:t>«</w:t>
            </w:r>
            <w:r w:rsidR="003B1F63">
              <w:rPr>
                <w:rFonts w:eastAsia="Times New Roman" w:cs="Times New Roman"/>
                <w:b/>
                <w:color w:val="000000"/>
                <w:sz w:val="24"/>
                <w:szCs w:val="24"/>
                <w:lang w:eastAsia="ru-RU"/>
              </w:rPr>
              <w:t>ՀՀ</w:t>
            </w:r>
            <w:r w:rsidRPr="003B1F63">
              <w:rPr>
                <w:rFonts w:eastAsia="Times New Roman" w:cs="Times New Roman"/>
                <w:b/>
                <w:color w:val="000000"/>
                <w:sz w:val="24"/>
                <w:szCs w:val="24"/>
                <w:lang w:eastAsia="ru-RU"/>
              </w:rPr>
              <w:t xml:space="preserve"> հարկային օրենսգրքում լրացումներ և փոփոխություն կատարելու մասին» </w:t>
            </w:r>
            <w:r w:rsidR="003B1F63">
              <w:rPr>
                <w:rFonts w:eastAsia="Calibri" w:cs="Times New Roman"/>
                <w:b/>
                <w:color w:val="000000"/>
                <w:sz w:val="24"/>
                <w:szCs w:val="24"/>
              </w:rPr>
              <w:t>ՀՀ</w:t>
            </w:r>
            <w:r w:rsidRPr="003B1F63">
              <w:rPr>
                <w:rFonts w:eastAsia="Times New Roman" w:cs="Times New Roman"/>
                <w:b/>
                <w:color w:val="000000"/>
                <w:sz w:val="24"/>
                <w:szCs w:val="24"/>
                <w:lang w:eastAsia="ru-RU"/>
              </w:rPr>
              <w:t xml:space="preserve"> օրենքի նախագծի</w:t>
            </w:r>
            <w:r w:rsidRPr="003B1F63">
              <w:rPr>
                <w:rFonts w:eastAsia="Times New Roman" w:cs="Times New Roman"/>
                <w:b/>
                <w:sz w:val="24"/>
                <w:szCs w:val="24"/>
                <w:lang w:eastAsia="ru-RU"/>
              </w:rPr>
              <w:t xml:space="preserve"> վերաբերյալ</w:t>
            </w:r>
          </w:p>
          <w:p w14:paraId="466C1FFB" w14:textId="2033D9AE" w:rsidR="008A6C5A" w:rsidRPr="003B1F63" w:rsidRDefault="00EC5DD4" w:rsidP="00EC5DD4">
            <w:pPr>
              <w:spacing w:after="200"/>
              <w:ind w:firstLine="284"/>
              <w:contextualSpacing/>
              <w:jc w:val="both"/>
              <w:rPr>
                <w:color w:val="000000"/>
                <w:sz w:val="24"/>
                <w:szCs w:val="24"/>
              </w:rPr>
            </w:pPr>
            <w:r w:rsidRPr="003B1F63">
              <w:rPr>
                <w:rFonts w:eastAsia="Times New Roman" w:cs="Times New Roman"/>
                <w:color w:val="000000"/>
                <w:sz w:val="24"/>
                <w:szCs w:val="24"/>
                <w:lang w:eastAsia="ru-RU"/>
              </w:rPr>
              <w:t xml:space="preserve">«Հայաստանի Հանրապետության հարկային օրենսգրքում լրացումներ և փոփոխություն կատարելու մասին» </w:t>
            </w:r>
            <w:r w:rsidRPr="003B1F63">
              <w:rPr>
                <w:rFonts w:eastAsia="Calibri" w:cs="Times New Roman"/>
                <w:color w:val="000000"/>
                <w:sz w:val="24"/>
                <w:szCs w:val="24"/>
              </w:rPr>
              <w:t xml:space="preserve">Հայաստանի </w:t>
            </w:r>
            <w:r w:rsidRPr="003B1F63">
              <w:rPr>
                <w:rFonts w:eastAsia="Calibri" w:cs="Times New Roman"/>
                <w:color w:val="000000"/>
                <w:sz w:val="24"/>
                <w:szCs w:val="24"/>
              </w:rPr>
              <w:lastRenderedPageBreak/>
              <w:t>Հանրապետության</w:t>
            </w:r>
            <w:r w:rsidRPr="003B1F63">
              <w:rPr>
                <w:rFonts w:eastAsia="Times New Roman" w:cs="Times New Roman"/>
                <w:color w:val="000000"/>
                <w:sz w:val="24"/>
                <w:szCs w:val="24"/>
                <w:lang w:eastAsia="ru-RU"/>
              </w:rPr>
              <w:t xml:space="preserve"> օրենքի նախագծի</w:t>
            </w:r>
            <w:r w:rsidRPr="003B1F63">
              <w:rPr>
                <w:rFonts w:eastAsia="Times New Roman" w:cs="Times New Roman"/>
                <w:sz w:val="24"/>
                <w:szCs w:val="24"/>
                <w:lang w:eastAsia="ru-RU"/>
              </w:rPr>
              <w:t xml:space="preserve"> վերաբերյալ դիտողություններ և առարկություններ չունենք:</w:t>
            </w:r>
          </w:p>
        </w:tc>
        <w:tc>
          <w:tcPr>
            <w:tcW w:w="4320" w:type="dxa"/>
            <w:shd w:val="clear" w:color="auto" w:fill="auto"/>
          </w:tcPr>
          <w:p w14:paraId="3D13C8B6" w14:textId="389C391E" w:rsidR="008A6C5A" w:rsidRPr="003B1F63" w:rsidRDefault="00EC5DD4" w:rsidP="00EC5DD4">
            <w:pPr>
              <w:jc w:val="center"/>
              <w:rPr>
                <w:sz w:val="24"/>
                <w:szCs w:val="24"/>
              </w:rPr>
            </w:pPr>
            <w:r w:rsidRPr="003B1F63">
              <w:rPr>
                <w:sz w:val="24"/>
                <w:szCs w:val="24"/>
              </w:rPr>
              <w:lastRenderedPageBreak/>
              <w:t>Ընդունվել է։</w:t>
            </w:r>
          </w:p>
        </w:tc>
      </w:tr>
    </w:tbl>
    <w:p w14:paraId="3D67857E" w14:textId="77777777" w:rsidR="00786E16" w:rsidRPr="003B1F63" w:rsidRDefault="00786E16" w:rsidP="00EC5DD4">
      <w:pPr>
        <w:rPr>
          <w:sz w:val="24"/>
          <w:szCs w:val="24"/>
        </w:rPr>
      </w:pPr>
    </w:p>
    <w:sectPr w:rsidR="00786E16" w:rsidRPr="003B1F63">
      <w:headerReference w:type="default" r:id="rId7"/>
      <w:pgSz w:w="12240" w:h="15840"/>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EE56A" w14:textId="77777777" w:rsidR="009171E5" w:rsidRDefault="009171E5">
      <w:pPr>
        <w:spacing w:after="0" w:line="240" w:lineRule="auto"/>
      </w:pPr>
      <w:r>
        <w:separator/>
      </w:r>
    </w:p>
  </w:endnote>
  <w:endnote w:type="continuationSeparator" w:id="0">
    <w:p w14:paraId="7A3A58DA" w14:textId="77777777" w:rsidR="009171E5" w:rsidRDefault="00917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241F8C" w14:textId="77777777" w:rsidR="009171E5" w:rsidRDefault="009171E5">
      <w:pPr>
        <w:spacing w:after="0" w:line="240" w:lineRule="auto"/>
      </w:pPr>
      <w:r>
        <w:separator/>
      </w:r>
    </w:p>
  </w:footnote>
  <w:footnote w:type="continuationSeparator" w:id="0">
    <w:p w14:paraId="6F2396FA" w14:textId="77777777" w:rsidR="009171E5" w:rsidRDefault="00917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EE1EF" w14:textId="77777777" w:rsidR="00786E16" w:rsidRDefault="00787EC6">
    <w:pPr>
      <w:pBdr>
        <w:top w:val="nil"/>
        <w:left w:val="nil"/>
        <w:bottom w:val="nil"/>
        <w:right w:val="nil"/>
        <w:between w:val="nil"/>
      </w:pBdr>
      <w:tabs>
        <w:tab w:val="center" w:pos="4844"/>
        <w:tab w:val="right" w:pos="9689"/>
      </w:tabs>
      <w:spacing w:after="0" w:line="240" w:lineRule="auto"/>
      <w:jc w:val="right"/>
      <w:rPr>
        <w:rFonts w:ascii="Calibri" w:eastAsia="Calibri" w:hAnsi="Calibri" w:cs="Calibri"/>
        <w:color w:val="000000"/>
      </w:rPr>
    </w:pPr>
    <w:r>
      <w:rPr>
        <w:rFonts w:ascii="Calibri" w:eastAsia="Calibri" w:hAnsi="Calibri" w:cs="Calibri"/>
        <w:color w:val="000000"/>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E16"/>
    <w:rsid w:val="000C6923"/>
    <w:rsid w:val="001D04E6"/>
    <w:rsid w:val="001F5A1B"/>
    <w:rsid w:val="00275E71"/>
    <w:rsid w:val="00385893"/>
    <w:rsid w:val="003B1F63"/>
    <w:rsid w:val="00424161"/>
    <w:rsid w:val="004368C5"/>
    <w:rsid w:val="004931E3"/>
    <w:rsid w:val="004D51DD"/>
    <w:rsid w:val="005B070B"/>
    <w:rsid w:val="006622CF"/>
    <w:rsid w:val="0066287C"/>
    <w:rsid w:val="006F2087"/>
    <w:rsid w:val="00786E16"/>
    <w:rsid w:val="00787EC6"/>
    <w:rsid w:val="00826C43"/>
    <w:rsid w:val="00881829"/>
    <w:rsid w:val="008A6C5A"/>
    <w:rsid w:val="009171E5"/>
    <w:rsid w:val="009B4121"/>
    <w:rsid w:val="00A4212D"/>
    <w:rsid w:val="00A85E8F"/>
    <w:rsid w:val="00AB0829"/>
    <w:rsid w:val="00AC1EEA"/>
    <w:rsid w:val="00B022F2"/>
    <w:rsid w:val="00B13E8B"/>
    <w:rsid w:val="00B20FFC"/>
    <w:rsid w:val="00B30C64"/>
    <w:rsid w:val="00C24442"/>
    <w:rsid w:val="00CD7B0F"/>
    <w:rsid w:val="00CE1595"/>
    <w:rsid w:val="00D76D03"/>
    <w:rsid w:val="00D97F3D"/>
    <w:rsid w:val="00DB2A42"/>
    <w:rsid w:val="00DE4254"/>
    <w:rsid w:val="00DE5176"/>
    <w:rsid w:val="00DE5B9D"/>
    <w:rsid w:val="00E40307"/>
    <w:rsid w:val="00E70735"/>
    <w:rsid w:val="00EC5DD4"/>
    <w:rsid w:val="00F15ABD"/>
    <w:rsid w:val="00FD6A29"/>
    <w:rsid w:val="00FF6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F5F8F"/>
  <w15:docId w15:val="{8DCDFC5D-81F4-4815-AEFB-A0BA816D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GHEA Grapalat" w:hAnsi="GHEA Grapalat" w:cs="GHEA Grapalat"/>
        <w:sz w:val="22"/>
        <w:szCs w:val="22"/>
        <w:lang w:val="hy-AM"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545"/>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semiHidden/>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basedOn w:val="Normal"/>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86456">
      <w:bodyDiv w:val="1"/>
      <w:marLeft w:val="0"/>
      <w:marRight w:val="0"/>
      <w:marTop w:val="0"/>
      <w:marBottom w:val="0"/>
      <w:divBdr>
        <w:top w:val="none" w:sz="0" w:space="0" w:color="auto"/>
        <w:left w:val="none" w:sz="0" w:space="0" w:color="auto"/>
        <w:bottom w:val="none" w:sz="0" w:space="0" w:color="auto"/>
        <w:right w:val="none" w:sz="0" w:space="0" w:color="auto"/>
      </w:divBdr>
    </w:div>
    <w:div w:id="1929652733">
      <w:bodyDiv w:val="1"/>
      <w:marLeft w:val="0"/>
      <w:marRight w:val="0"/>
      <w:marTop w:val="0"/>
      <w:marBottom w:val="0"/>
      <w:divBdr>
        <w:top w:val="none" w:sz="0" w:space="0" w:color="auto"/>
        <w:left w:val="none" w:sz="0" w:space="0" w:color="auto"/>
        <w:bottom w:val="none" w:sz="0" w:space="0" w:color="auto"/>
        <w:right w:val="none" w:sz="0" w:space="0" w:color="auto"/>
      </w:divBdr>
    </w:div>
    <w:div w:id="20568498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5eppbijY9aad5k08bw5SNPOlMA==">CgMxLjA4AHIhMU9sWWNZTVV3Njl3eWxpWmdldndhVkxkYm92bGc4MFlO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Hripsime H. Hovhannisyan</cp:lastModifiedBy>
  <cp:revision>2</cp:revision>
  <dcterms:created xsi:type="dcterms:W3CDTF">2024-09-24T11:49:00Z</dcterms:created>
  <dcterms:modified xsi:type="dcterms:W3CDTF">2024-09-24T11:49:00Z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