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121850" w14:textId="77777777" w:rsidR="00A904EC" w:rsidRDefault="00A904EC" w:rsidP="002E3C9B">
      <w:pPr>
        <w:tabs>
          <w:tab w:val="left" w:pos="1905"/>
        </w:tabs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</w:p>
    <w:p w14:paraId="04B65812" w14:textId="76FA5F75" w:rsidR="002E3C9B" w:rsidRDefault="002E3C9B" w:rsidP="002E3C9B">
      <w:pPr>
        <w:tabs>
          <w:tab w:val="left" w:pos="1905"/>
        </w:tabs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Arial"/>
          <w:b/>
          <w:sz w:val="24"/>
          <w:szCs w:val="24"/>
          <w:lang w:val="hy-AM"/>
        </w:rPr>
        <w:t>ՀԻՄՆԱՎՈՐՈՒՄ</w:t>
      </w:r>
    </w:p>
    <w:p w14:paraId="625D58EB" w14:textId="77777777" w:rsidR="002E3C9B" w:rsidRDefault="002E3C9B" w:rsidP="002E3C9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2016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ԹՎԱԿԱՆԻ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ԴԵԿՏԵՄԲԵՐԻ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22-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N 1355-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ՄԵՋ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ՓՈՓՈԽՈՒԹՅՈՒՆՆԵՐ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ԵՎ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ԼՐԱՑՈՒՄՆԵՐ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ԿԱՏԱՐԵԼՈՒ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ՆԱԽԱԳԾԻ</w:t>
      </w:r>
    </w:p>
    <w:p w14:paraId="6DD43172" w14:textId="77777777" w:rsidR="002E3C9B" w:rsidRDefault="002E3C9B" w:rsidP="002E3C9B">
      <w:pPr>
        <w:rPr>
          <w:lang w:val="hy-AM"/>
        </w:rPr>
      </w:pPr>
    </w:p>
    <w:tbl>
      <w:tblPr>
        <w:tblW w:w="11070" w:type="dxa"/>
        <w:tblInd w:w="-545" w:type="dxa"/>
        <w:tblLook w:val="04A0" w:firstRow="1" w:lastRow="0" w:firstColumn="1" w:lastColumn="0" w:noHBand="0" w:noVBand="1"/>
      </w:tblPr>
      <w:tblGrid>
        <w:gridCol w:w="583"/>
        <w:gridCol w:w="10487"/>
      </w:tblGrid>
      <w:tr w:rsidR="002E3C9B" w:rsidRPr="00930400" w14:paraId="2E652913" w14:textId="77777777" w:rsidTr="002E3C9B">
        <w:tc>
          <w:tcPr>
            <w:tcW w:w="583" w:type="dxa"/>
          </w:tcPr>
          <w:p w14:paraId="0079E3E5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487" w:type="dxa"/>
            <w:hideMark/>
          </w:tcPr>
          <w:p w14:paraId="5F2876DF" w14:textId="77777777" w:rsidR="002E3C9B" w:rsidRDefault="002E3C9B" w:rsidP="00930400">
            <w:pPr>
              <w:numPr>
                <w:ilvl w:val="0"/>
                <w:numId w:val="1"/>
              </w:num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bCs/>
                <w:iCs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bCs/>
                <w:iCs/>
                <w:sz w:val="24"/>
                <w:szCs w:val="24"/>
                <w:u w:val="single"/>
                <w:lang w:val="hy-AM"/>
              </w:rPr>
              <w:t>Ընթացիկ իրավիճակը, իրավական ակտի ընդունման անհրաժեշտությունը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 xml:space="preserve"> </w:t>
            </w:r>
          </w:p>
        </w:tc>
      </w:tr>
      <w:tr w:rsidR="002E3C9B" w:rsidRPr="00930400" w14:paraId="52476704" w14:textId="77777777" w:rsidTr="002E3C9B">
        <w:trPr>
          <w:trHeight w:val="5661"/>
        </w:trPr>
        <w:tc>
          <w:tcPr>
            <w:tcW w:w="583" w:type="dxa"/>
          </w:tcPr>
          <w:p w14:paraId="79E57798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487" w:type="dxa"/>
          </w:tcPr>
          <w:p w14:paraId="7329FD2C" w14:textId="63E9E998" w:rsidR="002E3C9B" w:rsidRDefault="002E3C9B" w:rsidP="00930400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Նախագծով առաջարկվող փոփոխությունները և լրացումները պայմանավորված </w:t>
            </w:r>
            <w:r w:rsidR="00563B1C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հետևյալ հանգամանքներով.</w:t>
            </w:r>
          </w:p>
          <w:p w14:paraId="2CE28409" w14:textId="17280E46" w:rsidR="002E3C9B" w:rsidRDefault="002E3C9B" w:rsidP="0093040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360"/>
              <w:jc w:val="both"/>
              <w:rPr>
                <w:rFonts w:ascii="GHEA Grapalat" w:hAnsi="GHEA Grapalat" w:cs="Arial LatArm"/>
                <w:color w:val="000000"/>
                <w:lang w:val="hy-AM"/>
              </w:rPr>
            </w:pPr>
            <w:r>
              <w:rPr>
                <w:rFonts w:ascii="GHEA Grapalat" w:hAnsi="GHEA Grapalat" w:cs="Arial LatArm"/>
                <w:color w:val="000000"/>
                <w:lang w:val="hy-AM"/>
              </w:rPr>
              <w:t xml:space="preserve">1) «Նորմատիվ իրավական ակտերի մասին» օրենքի 13-րդ հոդվածի 1-ին մասի </w:t>
            </w:r>
            <w:r w:rsidR="00AE07B5">
              <w:rPr>
                <w:rFonts w:ascii="GHEA Grapalat" w:hAnsi="GHEA Grapalat" w:cs="Arial LatArm"/>
                <w:color w:val="000000"/>
                <w:lang w:val="hy-AM"/>
              </w:rPr>
              <w:t>կարգավորման համաձայն</w:t>
            </w:r>
            <w:r w:rsidR="00563B1C">
              <w:rPr>
                <w:rFonts w:ascii="GHEA Grapalat" w:hAnsi="GHEA Grapalat" w:cs="Arial LatArm"/>
                <w:color w:val="000000"/>
                <w:lang w:val="hy-AM"/>
              </w:rPr>
              <w:t xml:space="preserve">՝ </w:t>
            </w:r>
            <w:r w:rsidR="00AE07B5">
              <w:rPr>
                <w:rFonts w:ascii="GHEA Grapalat" w:hAnsi="GHEA Grapalat" w:cs="Arial LatArm"/>
                <w:color w:val="000000"/>
                <w:lang w:val="hy-AM"/>
              </w:rPr>
              <w:t>«</w:t>
            </w:r>
            <w:r>
              <w:rPr>
                <w:rFonts w:ascii="GHEA Grapalat" w:hAnsi="GHEA Grapalat" w:cs="Arial LatArm"/>
                <w:color w:val="000000"/>
                <w:lang w:val="hy-AM"/>
              </w:rPr>
              <w:t>ենթաօրենսդրական նորմատիվ իրավական ակտ</w:t>
            </w:r>
            <w:r w:rsidR="00AE07B5">
              <w:rPr>
                <w:rFonts w:ascii="GHEA Grapalat" w:hAnsi="GHEA Grapalat" w:cs="Arial LatArm"/>
                <w:color w:val="000000"/>
                <w:lang w:val="hy-AM"/>
              </w:rPr>
              <w:t>ն</w:t>
            </w:r>
            <w:r>
              <w:rPr>
                <w:rFonts w:ascii="GHEA Grapalat" w:hAnsi="GHEA Grapalat" w:cs="Arial LatArm"/>
                <w:color w:val="000000"/>
                <w:lang w:val="hy-AM"/>
              </w:rPr>
              <w:t xml:space="preserve">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</w:t>
            </w:r>
            <w:r w:rsidR="00AE07B5">
              <w:rPr>
                <w:rFonts w:ascii="GHEA Grapalat" w:hAnsi="GHEA Grapalat" w:cs="Arial LatArm"/>
                <w:color w:val="000000"/>
                <w:lang w:val="hy-AM"/>
              </w:rPr>
              <w:t>»</w:t>
            </w:r>
            <w:r>
              <w:rPr>
                <w:rFonts w:ascii="GHEA Grapalat" w:hAnsi="GHEA Grapalat" w:cs="Arial LatArm"/>
                <w:color w:val="000000"/>
                <w:lang w:val="hy-AM"/>
              </w:rPr>
              <w:t>,</w:t>
            </w:r>
            <w:r w:rsidR="00AE07B5">
              <w:rPr>
                <w:rFonts w:ascii="GHEA Grapalat" w:hAnsi="GHEA Grapalat" w:cs="Arial LatArm"/>
                <w:color w:val="000000"/>
                <w:lang w:val="hy-AM"/>
              </w:rPr>
              <w:t xml:space="preserve"> ուստի</w:t>
            </w:r>
            <w:r>
              <w:rPr>
                <w:rFonts w:ascii="GHEA Grapalat" w:hAnsi="GHEA Grapalat" w:cs="Arial LatArm"/>
                <w:color w:val="000000"/>
                <w:lang w:val="hy-AM"/>
              </w:rPr>
              <w:t xml:space="preserve"> որոշման նախագծում առաջարկվում է նախաբանում </w:t>
            </w:r>
            <w:r w:rsidR="00AE07B5">
              <w:rPr>
                <w:rFonts w:ascii="GHEA Grapalat" w:hAnsi="GHEA Grapalat" w:cs="Arial LatArm"/>
                <w:color w:val="000000"/>
                <w:lang w:val="hy-AM"/>
              </w:rPr>
              <w:t>համապատասխան հղում</w:t>
            </w:r>
            <w:r>
              <w:rPr>
                <w:rFonts w:ascii="GHEA Grapalat" w:hAnsi="GHEA Grapalat" w:cs="Arial LatArm"/>
                <w:color w:val="000000"/>
                <w:lang w:val="hy-AM"/>
              </w:rPr>
              <w:t xml:space="preserve"> </w:t>
            </w:r>
            <w:r w:rsidR="00563B1C">
              <w:rPr>
                <w:rFonts w:ascii="GHEA Grapalat" w:hAnsi="GHEA Grapalat" w:cs="Arial LatArm"/>
                <w:color w:val="000000"/>
                <w:lang w:val="hy-AM"/>
              </w:rPr>
              <w:t>կատարել</w:t>
            </w:r>
            <w:r>
              <w:rPr>
                <w:rFonts w:ascii="GHEA Grapalat" w:hAnsi="GHEA Grapalat" w:cs="Arial LatArm"/>
                <w:color w:val="000000"/>
                <w:lang w:val="hy-AM"/>
              </w:rPr>
              <w:t xml:space="preserve"> Հայաստանի Հանրապետության օրենքի 6-րդ հոդվածի 1-ին մասի 2-րդ կետի «զ» ենթակետին։</w:t>
            </w:r>
          </w:p>
          <w:p w14:paraId="08F01B46" w14:textId="79D18AB5" w:rsidR="002E3C9B" w:rsidRDefault="002E3C9B" w:rsidP="00930400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</w:pPr>
            <w:r w:rsidRPr="001A6E2C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2)</w:t>
            </w:r>
            <w:r w:rsidR="00AE07B5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Հիմք ընդունելով, որ</w:t>
            </w:r>
            <w:r w:rsidRPr="001A6E2C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«Գնումների մասին» օրենքի փոփոխությունից հետո (2016թ.) </w:t>
            </w:r>
            <w:r w:rsidR="00AE07B5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«</w:t>
            </w:r>
            <w:r w:rsidRPr="001A6E2C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բանակցային ընթացակարգ առանց հայտարարության (ԲԸԱՀ) գնման ձևը փոփոխվել է մեկ անձից (ՄԱ) գնման ձևով</w:t>
            </w:r>
            <w:r w:rsidR="00AE07B5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»</w:t>
            </w:r>
            <w:r w:rsidRPr="001A6E2C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, առաջար</w:t>
            </w:r>
            <w:r w:rsidR="00AE07B5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կ</w:t>
            </w:r>
            <w:r w:rsidRPr="001A6E2C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վում է Որոշման հավելված N 2-ի 3-րդ կետի 2-րդ ենթակետում կատարել </w:t>
            </w:r>
            <w:r w:rsidR="00F03AE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համապատասխան </w:t>
            </w:r>
            <w:r w:rsidRPr="001A6E2C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փոփոխություն:</w:t>
            </w:r>
          </w:p>
          <w:p w14:paraId="27989DBE" w14:textId="53C58A44" w:rsidR="0016189D" w:rsidRPr="00191E9C" w:rsidRDefault="00404C65" w:rsidP="00930400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3</w:t>
            </w:r>
            <w:r w:rsidRPr="00404C6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="0016189D" w:rsidRPr="00191E9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ԳՀՓԿ աշխատանքների դեպքում, մշակումների ֆինանսավորումը կատարվում է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պետության</w:t>
            </w:r>
            <w:r w:rsidR="0016189D" w:rsidRPr="00191E9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կողմից, հետևաբար շահույթի սահմանափակումը կիրառելը արդարացված է, մասնավորապես այն պատճառով, որ անհաջողության ռիսկը կրում է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պետությունը</w:t>
            </w:r>
            <w:r w:rsidR="0016189D" w:rsidRPr="00191E9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։</w:t>
            </w:r>
          </w:p>
          <w:p w14:paraId="24E85412" w14:textId="6D697876" w:rsidR="0016189D" w:rsidRPr="00A82120" w:rsidRDefault="0016189D" w:rsidP="00930400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A8212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Երբ մշակումները ֆինանսավորվում են մասնավոր կամ ոչ պետական աղբյուրներից, </w:t>
            </w:r>
            <w:r w:rsidR="00404C65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պետության</w:t>
            </w:r>
            <w:r w:rsidRPr="00A8212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ռիսկը մինիմալ է, շահույթի սահմանաչափի կիրառումը նպատակահարմար չէ հետևյալ պատճառներով՝</w:t>
            </w:r>
          </w:p>
          <w:p w14:paraId="7FEE0C67" w14:textId="77777777" w:rsidR="0016189D" w:rsidRPr="00A82120" w:rsidRDefault="0016189D" w:rsidP="00930400">
            <w:pPr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A8212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հաշվի առնելով ոլորտին բնորոշ բարձր ռիսկայնությունը՝ շահույթի առավելագույն սահմանաչափի կիրառումը խիստ նվազեցնում է կազմակերպությունների ներդրումային գրավչությունը, ինչն էլ իր հերթին դանդաղեցնում է Հայաստանի հանրապետության համար առանցքային նշանակություն ունեցող ոլորտի զարգացումը, </w:t>
            </w:r>
          </w:p>
          <w:p w14:paraId="6A5ED1C3" w14:textId="77777777" w:rsidR="0016189D" w:rsidRPr="00A82120" w:rsidRDefault="0016189D" w:rsidP="00930400">
            <w:pPr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A8212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հաշվի առնելով ոլորտին բնորոշ լոգիստիկ, տեխնիկական և աշխարհաքաղաքական  ռիսկերը՝ շահույթի առավելագույն սահմանաչափի կիրառումը ստեղծում է անհամաչափ ռիկսեր կազմակերպությունների համար, ինչն էլ իր հերթին ավելացնում է պետական պատվերների ձախողման հավանականությունը։ </w:t>
            </w:r>
          </w:p>
          <w:p w14:paraId="52A219E7" w14:textId="16F5BA15" w:rsidR="0016189D" w:rsidRPr="001B59E3" w:rsidRDefault="0016189D" w:rsidP="00930400">
            <w:pPr>
              <w:numPr>
                <w:ilvl w:val="0"/>
                <w:numId w:val="2"/>
              </w:num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A8212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շահույթի առավելագույն սահմանաչափ չկիրառելը կխթանի կազմակերպությունների արտադրական պրոցեսների բարելավմանը, արտադրանքի ինքնարժեքի նվազեցմանը, ինչը կբարձրացնի </w:t>
            </w:r>
            <w:r w:rsid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ընկեր</w:t>
            </w:r>
            <w:r w:rsidRPr="00A82120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ությունների մրցունակությունը ներքին և միջազգային շուկաներում։ </w:t>
            </w:r>
            <w:r w:rsidRPr="001B59E3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Ինքնարժեքի նվազեցումը կուղղորդվի բաղկացուցիչ մասերի առավել տեղական արտադրությամբ, ինչն էլ ունի Հայաստանի Հանրապետության համար ռազմավարական նշանակություն։</w:t>
            </w:r>
          </w:p>
          <w:p w14:paraId="2FC89A9F" w14:textId="77777777" w:rsidR="0016189D" w:rsidRPr="001B59E3" w:rsidRDefault="0016189D" w:rsidP="00930400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14:paraId="3DE08839" w14:textId="77777777" w:rsidR="0016189D" w:rsidRPr="0016189D" w:rsidRDefault="0016189D" w:rsidP="00930400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6189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Ամփոփելով</w:t>
            </w:r>
            <w:r w:rsidRPr="00D81F8B">
              <w:rPr>
                <w:rFonts w:ascii="Cambria Math" w:eastAsia="GHEA Grapalat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</w:p>
          <w:p w14:paraId="6CB99BBD" w14:textId="69D6D0F7" w:rsidR="0016189D" w:rsidRPr="00D81F8B" w:rsidRDefault="0016189D" w:rsidP="00930400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6189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շահույթի առավելագույն սահմանաչափ չկիրառելը կբերի ոլորտի ամրապնդման, ներդրումների ներհոսքի և ռազմարդյունաբերական կազմակերպությունների քանակի ավելացման, ինչն էլ իր հերթին կնվազեցնի ՀՀ ռազմավարական ռիսկերը։</w:t>
            </w:r>
          </w:p>
          <w:p w14:paraId="24665F30" w14:textId="3271410B" w:rsidR="002E3C9B" w:rsidRPr="00D81F8B" w:rsidRDefault="00404C65" w:rsidP="00930400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</w:t>
            </w:r>
            <w:r w:rsidR="002E3C9B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 </w:t>
            </w:r>
            <w:r w:rsidR="00927CDE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Քանի</w:t>
            </w:r>
            <w:r w:rsidR="00165D86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2E3C9B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որ </w:t>
            </w:r>
            <w:r w:rsidR="008F52D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ՀՀ ԲՏԱՆ ՌԱԿ</w:t>
            </w:r>
            <w:r w:rsidR="002E3C9B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ռազմական ապրանքների, գույքի և ծառայությունների գների պետական կարգավոր</w:t>
            </w:r>
            <w:r w:rsidR="00794D4A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ումն իրականացնող</w:t>
            </w:r>
            <w:r w:rsidR="002E3C9B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մարմին</w:t>
            </w:r>
            <w:r w:rsidR="00CD4BA7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 է</w:t>
            </w:r>
            <w:r w:rsidR="002E3C9B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 Նախագծով առաջարկվում է</w:t>
            </w:r>
            <w:r w:rsidR="00853212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գնահաշվարկի համաձայնեցումից հետո</w:t>
            </w:r>
            <w:r w:rsidR="00927CDE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 երբ կողմերը</w:t>
            </w:r>
            <w:r w:rsidR="00853212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կնք</w:t>
            </w:r>
            <w:r w:rsidR="00927CDE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ում են</w:t>
            </w:r>
            <w:r w:rsidR="00853212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գնի համաձայնեցման մասին արձանագրություն և նվազեցն</w:t>
            </w:r>
            <w:r w:rsidR="00927CDE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ում են</w:t>
            </w:r>
            <w:r w:rsidR="00853212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8F52D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ՀՀ ԲՏԱՆ ՌԱԿ</w:t>
            </w:r>
            <w:r w:rsidR="008F52D4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853212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կողմից</w:t>
            </w:r>
            <w:r w:rsidR="00401410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նախապես</w:t>
            </w:r>
            <w:r w:rsidR="00853212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համաձայնեցրած գինը</w:t>
            </w:r>
            <w:r w:rsidR="00927CDE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նվազեցված նոր գնի կապակցությամբ </w:t>
            </w:r>
            <w:r w:rsidR="008F52D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ՀՀ ԲՏԱՆ ՌԱԿ</w:t>
            </w:r>
            <w:r w:rsidR="008F52D4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927CDE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համաձայնեցմանը ներկայացնեն նոր գնահաշվարկ</w:t>
            </w:r>
            <w:r w:rsidR="002E3C9B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7099D899" w14:textId="1E87F620" w:rsidR="002E3C9B" w:rsidRDefault="00404C65" w:rsidP="00930400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</w:pPr>
            <w:r w:rsidRPr="00404C65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5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) Հաշվի առնելով, որ </w:t>
            </w:r>
            <w:r w:rsidR="008F52D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ՀՀ ԲՏԱՆ ՌԱԿ-ը</w:t>
            </w:r>
            <w:r w:rsidR="008F52D4" w:rsidRPr="00D81F8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2019 թվականի</w:t>
            </w:r>
            <w:r w:rsidR="006D447A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ն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ՀՀ ՊՆ-ից տեղափոխվել</w:t>
            </w:r>
            <w:r w:rsidR="00D81F8B" w:rsidRPr="00D81F8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</w:t>
            </w:r>
            <w:r w:rsidR="00D81F8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է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ՀՀ ԲՏԱՆ,</w:t>
            </w:r>
            <w:r w:rsidR="00A96EB7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իսկ Որոշման մեջ դեռևս պահպանվում են նախկին հապավումները,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անհրաժեշտություն է առաջացել Որոշման մեջ զինվորական ներկայացուցիչ՝ կարճ «ԶՆ» և «ՀՀ ԲՏԱՆ ՌԱԿ ԶՆ ներկայցուցիչ» բառերը փոխարինել պետական պատվիրատուի ներկայացուցիչ՝ կարճ «ՊՊՆ», իսկ ֆինա</w:t>
            </w:r>
            <w:r w:rsidR="00A96EB7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ն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սատնտեսագիտական բաժին՝ կարճ «ՖՏԲ» բառերը փոխարինել «ԲՏԱՆ ՌԱԿ» բառերով:</w:t>
            </w:r>
          </w:p>
          <w:p w14:paraId="591751C7" w14:textId="3A863D29" w:rsidR="002E3C9B" w:rsidRDefault="00404C65" w:rsidP="00930400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</w:pPr>
            <w:r w:rsidRPr="00404C65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6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) Առկա </w:t>
            </w:r>
            <w:r w:rsidR="00EB269A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կարգավորման մեջ 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բացակայում է փաստացի և նախնական գնահաշվարկների տարբերակումը,</w:t>
            </w:r>
            <w:r w:rsidR="00EB269A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ինչը խնդիրներ է առաջացնում գնահաշվարկի համաձայնեցման, պետական միջոցների արդյունավետ օգտագործման համար,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ուստի առաջացել է անհրաժեշտություն հստակորեն սահմանելու դրանց տարբերությունները</w:t>
            </w:r>
            <w:r w:rsidR="00EB269A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՝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հետագա թյուրըմբռնումներից խուսափելու համար։</w:t>
            </w:r>
          </w:p>
          <w:p w14:paraId="6EA92438" w14:textId="779FE52D" w:rsidR="002E3C9B" w:rsidRDefault="00404C65" w:rsidP="00930400">
            <w:pPr>
              <w:spacing w:line="360" w:lineRule="auto"/>
              <w:ind w:left="360"/>
              <w:jc w:val="both"/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</w:pPr>
            <w:r w:rsidRPr="00404C65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lastRenderedPageBreak/>
              <w:t>7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) Գործող կարգավորմամբ սերիական արտադրության արտադրանքի և նորոգման աշխատանքների, ինչպես նաև հատուկ ԳՀՓԿ աշխատանքների գնահաշվարկները կազմվում են միևնույն մեթոդաբանությամբ, ինչը բովանդակային առումով հանգեցնում է հաշվարկային խնդիրների: Խնդիրները պայմանավորված են այն հանգամանքով, որ ԳՀՓԿ աշխատանքները, ի տարբերություն սերիական արտադրության արտադրանքի և նորոգման աշխատանքների, հանդիսանում են հատային արտադրություն, և գործնականում կազմակերպության նախորդ տարվա արդյունքները բացարձակապես վերագրելի չեն կատարվող ԳՀՓԿ աշխատանքներին: Մասնավորապես, եթե կազմակերպությունը տարիներ շարունակ իրա</w:t>
            </w:r>
            <w:r w:rsidR="00C411C4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կանացնում է միևնույն արտադրանքի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արտադրություն, ապա այդ արտադրանքի ինքնարժեքը տարիների ընթացքում դրսևորում է կայունություն, ինչը ենթադրում է, որ նախորդ տարվա արդյունքներով ստացվող վերադիր ծախսերի տոկոսները կարող են կիրառվել նաև ընթացիկ տարում: Իսկ ԳՀՓԿ աշխատանքների դեպքում նման հնարավորություն չկա, քանի որ եթե տվյալ տարում կազմակերպությունը թողարկել է ԳՀՓԿ աշխատանքի արդյունք հանդիսացող նոր արտադրանք՝ սահմանափակ քանակով, ակնհայտ է, որ տվյալ արտադրանքի ինքնարժեքը որևիցե կապ չունի կազմակերպության նախորդ տարվա վերադիր ծախսերի տոկոսի հետ: Ավելին, գործնականում երբ ԳՀՓԿ աշխատանքների փաստացի ինքնարժեքը հաշվարկվում է աշխատանքներին նախորդող հաշվետու տարվա վերադիր ծախսերի տոկոսներով, ստացվող ինքնարժեքը էականորեն շեղվում է արտադրանքի իրական փաստացի ինքնարժեքից, նույնիսկ դեպքեր են արձանագրվում, որ գործող կարգավորմամբ հաշվարկվող փաստացի ինքնարժեքը ավելի բարձր է լինում, քան ԳՀՓԿ աշխատանքների կատարման ժամանակահատվածում կազմակերպության կողմից կատարված բոլոր ծախսերի հանրագումարը, ինչը, բնականաբար, ընդունելի իրավիճակ չէ</w:t>
            </w:r>
            <w:r w:rsidR="001B19F0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պետական միջոցների արդյունավետ ծախսման տեսանկյունից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: Խնդրի լուծման համար ԳՀՓԿ աշխատանքների</w:t>
            </w:r>
            <w:r w:rsidR="001B19F0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գնահաշվարկի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առանձնացումը հնարավորություն է տալիս դրանց կազմման համար սահմանել ռացիոնալ մեխանիզմ: Առանձնացումը ենթադրում է միայն փաստացի գնահաշվարկների կազմման մեթոդաբանության որոշակի փոփոխություն, քանի որ նախնական գնահաշվարկների ստացման գործող մեթոդաբանությունը բոլոր աշխատանքների դեպքում էլ կիրառելի է, ուստի առկա չէ նախնական գնահաշվարկում ինքնարժեքի հաշվարկման այլընտրանքային մեթոդաբանություն: Իսկ ԳՀՓԿ աշխատանքների համար որպես փաստացի գնահաշվարկի հիմք առաջարկ</w:t>
            </w:r>
            <w:r w:rsidR="001B19F0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վ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ում </w:t>
            </w:r>
            <w:r w:rsidR="001B19F0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է 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սահմանել ոչ թե աշխատանքների կատարմանը նախորդող հաշվետու տարվա վերադիր 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lastRenderedPageBreak/>
              <w:t>ծախսերի տոկոսները, այլ հենց աշխատանքների կատարման ընթացքում կատարվող վերադիր ծախսերի տոկոսները: Այս կերպ կստեղծվի հնարավորություն ԳՀՓԿ աշխատանքների իրականացման համար կատարված փաստացի ծախսերը</w:t>
            </w:r>
            <w:r w:rsidR="00041683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վերհանելու համար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: Ռազմական կարիքների բավարարման նպատակով արտադրանքի նոր տեսակների հեռանկարային մշակման, գիտահետազոտական և փորձակոնստրուկտորական աշխատանքների ձեռքբերման գնի ստացման հիմքում փաստացի ծախսերի հաշվարկման տրամաբանությունը բխումը է նաև «Գնումների մասին» ՀՀ օրենքի հոդված 39-ի կետ 2.2-ից (որի հիմքով էլ կնքվում են ԳՀՓԿ աշխատանքների կատարման պայմանագրերը), համաձայն որի պայմանագրի գինը՝ «պետական գաղտնիք պարունակող` ռազմական կարիքների բավարարման նպատակով արտադրանքի նոր տեսակների հեռանկարային մշակման, գիտահետազոտական և փորձակոնստրուկտորական աշխատանքների ձեռքբերման դեպքում կարող է լինել փաստացի ծախսերով հաշվարկված, պայմանով, որ այն չպետք է գերազանցի տվյալ ապրանքը, աշխատանքը կամ ծառայությունը ձեռք բերելու համար նախատեսված ֆինանսական հատկացման չափը:»: Իսկ փաստացի ծախսը, բնականաբար, այն ծախսերը և ծախսումներն են, որոնք վերագրելի են փուլի կատարման հաշվետու ժամանակաշրջանին, այլ ոչ թե նախորդ տարվան (Համաձայն ՀՀ կառավարության 2010 թվականի մարտի 11-ի N 235-Ն որոշման հավելվածի (Ֆինանսական հաշվետվությունների հայեցակարգային հիմունքներ) 4</w:t>
            </w:r>
            <w:r w:rsidR="002E3C9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25 կետի Բ ենթակետի՝ ծախսը սահմանվում է հետևյալ կերպ</w:t>
            </w:r>
            <w:r w:rsidR="002E3C9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«հաշվառման ժամանակաշրջանում տնտեսական օգուտների նվազումներ` ակտիվների արտահոսքի կամ սպառման կամ պարտավորությունների առաջացման ձևով, որը հանգեցնում է սեփական կապիտալի նվազեցման, բացառությամբ սեփականատերերի միջև սեփական կապիտալի բաշխման հետևանքով դրա նվազման դեպքի», իսկ աշխատանքների հաշվառման ժամանակաշրջանը դրանց կատարման ժամանակաշրջանն է, այլ ոչ թե նախորդ տարին):</w:t>
            </w:r>
          </w:p>
          <w:p w14:paraId="69DF6BE2" w14:textId="7E0863E4" w:rsidR="002E3C9B" w:rsidRDefault="002E3C9B" w:rsidP="00930400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</w:t>
            </w:r>
            <w:r w:rsidR="00404C65" w:rsidRPr="00404C65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) Նախագծով առաջարկվում է Որոշման մեջ  «Շահութահարկի մասին», «Հողի հարկի մասին» և  «Գույքահարկի մասին» օրենքերին կատարված հղումները  փոխարինել «Հայաստանի Հանրապետության հարկային օրենսգիրք» բառերով, հաշվի առնելով այն, որ հիշյալ օրենքները ուժը կորցրել են և</w:t>
            </w:r>
            <w:r w:rsidR="00041683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այլևս</w:t>
            </w:r>
            <w:r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չեն գործում:</w:t>
            </w:r>
          </w:p>
          <w:p w14:paraId="3B3A9A8A" w14:textId="7DA9E560" w:rsidR="002E3C9B" w:rsidRPr="002E3C9B" w:rsidRDefault="00404C65" w:rsidP="00930400">
            <w:pPr>
              <w:shd w:val="clear" w:color="auto" w:fill="FFFFFF"/>
              <w:spacing w:after="0" w:line="360" w:lineRule="auto"/>
              <w:ind w:left="360"/>
              <w:jc w:val="both"/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</w:pPr>
            <w:r w:rsidRPr="00404C65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>9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) Որոշման մեջ օգտագործվում է և «ընկերություն», և «կազմակերպություն» բառերը, որոնք սակայն կիրառվում են նույն իմաստով: Դրանով պայմանավորված՝ Նախագծով </w:t>
            </w:r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lastRenderedPageBreak/>
              <w:t>առաջարկվում է Որոշման մեջ «ընկերություն» բառը փոխարինել «կազմակերպություն» բառով՝</w:t>
            </w:r>
            <w:r w:rsidR="00041683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դրա</w:t>
            </w:r>
            <w:bookmarkStart w:id="0" w:name="_GoBack"/>
            <w:bookmarkEnd w:id="0"/>
            <w:r w:rsidR="002E3C9B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lang w:val="hy-AM"/>
              </w:rPr>
              <w:t xml:space="preserve"> համապատասխան հոլովաձևերով:</w:t>
            </w:r>
          </w:p>
        </w:tc>
      </w:tr>
      <w:tr w:rsidR="002E3C9B" w:rsidRPr="00930400" w14:paraId="3AACE22A" w14:textId="77777777" w:rsidTr="002E3C9B">
        <w:tc>
          <w:tcPr>
            <w:tcW w:w="583" w:type="dxa"/>
          </w:tcPr>
          <w:p w14:paraId="1847D7DA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487" w:type="dxa"/>
            <w:hideMark/>
          </w:tcPr>
          <w:p w14:paraId="1730800B" w14:textId="42A6A496" w:rsidR="002E3C9B" w:rsidRDefault="006D447A" w:rsidP="00FF3CCE">
            <w:pPr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2</w:t>
            </w:r>
            <w:r>
              <w:rPr>
                <w:rFonts w:ascii="Cambria Math" w:eastAsia="Calibri" w:hAnsi="Cambria Math" w:cs="Arial"/>
                <w:b/>
                <w:sz w:val="24"/>
                <w:szCs w:val="24"/>
                <w:u w:val="single"/>
                <w:lang w:val="hy-AM"/>
              </w:rPr>
              <w:t>․</w:t>
            </w:r>
            <w:r w:rsidRPr="006D447A">
              <w:rPr>
                <w:rFonts w:ascii="Cambria Math" w:eastAsia="Calibri" w:hAnsi="Cambria Math" w:cs="Arial"/>
                <w:b/>
                <w:sz w:val="24"/>
                <w:szCs w:val="24"/>
                <w:lang w:val="hy-AM"/>
              </w:rPr>
              <w:t xml:space="preserve">  </w:t>
            </w:r>
            <w:r w:rsidR="002E3C9B"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Առաջարկվող կարգավորման բնույթը և ակնկալվող արդյունքը</w:t>
            </w:r>
          </w:p>
        </w:tc>
      </w:tr>
      <w:tr w:rsidR="002E3C9B" w:rsidRPr="00930400" w14:paraId="6EC35A7B" w14:textId="77777777" w:rsidTr="002E3C9B">
        <w:tc>
          <w:tcPr>
            <w:tcW w:w="583" w:type="dxa"/>
          </w:tcPr>
          <w:p w14:paraId="156D39A1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487" w:type="dxa"/>
            <w:hideMark/>
          </w:tcPr>
          <w:p w14:paraId="1A489D33" w14:textId="77777777" w:rsidR="002E3C9B" w:rsidRDefault="002E3C9B" w:rsidP="00FF3CCE">
            <w:pPr>
              <w:spacing w:line="360" w:lineRule="auto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Նախագծով առաջարկվող  փոփոխության նպատակն է ապահովել կարգավորման այնպիսի մեխանիզմներ, որոնք հնարավորություն կտան ոլորտի լիազոր մարմնին հետագա աշխատանքներում ավելի արդյունավետ իրականացնել իրեն վերապահված գործառույթները և նպաստավոր պայմաններ ստեղծել ՀՀ-ում ռազմարդյունաբերության  հետագա զարգացման համար:</w:t>
            </w:r>
            <w:r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2E3C9B" w:rsidRPr="00930400" w14:paraId="04AD86DB" w14:textId="77777777" w:rsidTr="002E3C9B">
        <w:trPr>
          <w:trHeight w:val="521"/>
        </w:trPr>
        <w:tc>
          <w:tcPr>
            <w:tcW w:w="583" w:type="dxa"/>
          </w:tcPr>
          <w:p w14:paraId="57732049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487" w:type="dxa"/>
            <w:hideMark/>
          </w:tcPr>
          <w:p w14:paraId="76AA773E" w14:textId="60D4F490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3.</w:t>
            </w:r>
            <w:r w:rsidR="006D447A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Նախագծի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մշակման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գործընթացում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ներգրավված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ինստիտուտները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և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ան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softHyphen/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ձիք</w:t>
            </w:r>
          </w:p>
        </w:tc>
      </w:tr>
      <w:tr w:rsidR="002E3C9B" w:rsidRPr="00930400" w14:paraId="7C5DAF0D" w14:textId="77777777" w:rsidTr="002E3C9B">
        <w:tc>
          <w:tcPr>
            <w:tcW w:w="583" w:type="dxa"/>
          </w:tcPr>
          <w:p w14:paraId="101B2075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487" w:type="dxa"/>
            <w:hideMark/>
          </w:tcPr>
          <w:p w14:paraId="7BB8D203" w14:textId="77777777" w:rsidR="002E3C9B" w:rsidRDefault="002E3C9B" w:rsidP="00FF3CCE">
            <w:pPr>
              <w:tabs>
                <w:tab w:val="left" w:pos="993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մշակվել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բարձր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տեխնոլոգիական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արդյունաբերության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նախարարության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կողմից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2E3C9B" w:rsidRPr="00930400" w14:paraId="045B494E" w14:textId="77777777" w:rsidTr="002E3C9B">
        <w:trPr>
          <w:trHeight w:val="652"/>
        </w:trPr>
        <w:tc>
          <w:tcPr>
            <w:tcW w:w="583" w:type="dxa"/>
          </w:tcPr>
          <w:p w14:paraId="31119091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487" w:type="dxa"/>
            <w:hideMark/>
          </w:tcPr>
          <w:p w14:paraId="09E3D47C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ind w:left="480" w:hanging="48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Տեղեկատվություն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նախագծի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ընդունմամբ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այլ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իրավական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ակտերի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ընդունման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 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անհրաժեշտության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կամ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բացակայության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z w:val="24"/>
                <w:szCs w:val="24"/>
                <w:u w:val="single"/>
                <w:lang w:val="hy-AM"/>
              </w:rPr>
              <w:t>մասին</w:t>
            </w:r>
          </w:p>
        </w:tc>
      </w:tr>
      <w:tr w:rsidR="002E3C9B" w:rsidRPr="00930400" w14:paraId="0C5EF180" w14:textId="77777777" w:rsidTr="002E3C9B">
        <w:tc>
          <w:tcPr>
            <w:tcW w:w="583" w:type="dxa"/>
          </w:tcPr>
          <w:p w14:paraId="3D17E7EA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487" w:type="dxa"/>
            <w:hideMark/>
          </w:tcPr>
          <w:p w14:paraId="5928C6C9" w14:textId="77777777" w:rsidR="002E3C9B" w:rsidRDefault="002E3C9B" w:rsidP="00FF3CC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ընդունմամբ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այլ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իրավական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ակտերում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փոփոխություններ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լրացումներ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կատարելու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անհրաժեշտություն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չի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առաջանում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  <w:tr w:rsidR="002E3C9B" w:rsidRPr="00930400" w14:paraId="240C1AB1" w14:textId="77777777" w:rsidTr="002E3C9B">
        <w:trPr>
          <w:trHeight w:val="1015"/>
        </w:trPr>
        <w:tc>
          <w:tcPr>
            <w:tcW w:w="583" w:type="dxa"/>
          </w:tcPr>
          <w:p w14:paraId="3163853B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0487" w:type="dxa"/>
            <w:hideMark/>
          </w:tcPr>
          <w:p w14:paraId="51FAF815" w14:textId="3FC8EE77" w:rsidR="002E3C9B" w:rsidRDefault="006D447A" w:rsidP="001A6E2C">
            <w:pPr>
              <w:tabs>
                <w:tab w:val="left" w:pos="1905"/>
              </w:tabs>
              <w:spacing w:line="360" w:lineRule="auto"/>
              <w:jc w:val="both"/>
              <w:rPr>
                <w:rFonts w:ascii="GHEA Grapalat" w:eastAsia="Calibri" w:hAnsi="GHEA Grapalat" w:cs="Arial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5</w:t>
            </w:r>
            <w:r>
              <w:rPr>
                <w:rFonts w:ascii="Cambria Math" w:eastAsia="Calibri" w:hAnsi="Cambria Math" w:cs="Arial"/>
                <w:b/>
                <w:bCs/>
                <w:sz w:val="24"/>
                <w:szCs w:val="24"/>
                <w:u w:val="single"/>
                <w:lang w:val="hy-AM"/>
              </w:rPr>
              <w:t xml:space="preserve">․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Տեղեկատվություն՝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լրացուցիչ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ֆինանսական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միջոցների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անհրաժեշտության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և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պետական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կամ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տեղական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ինքնակառավարման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մարմնի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բյուջեի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եկամուտներում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և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ծախսերում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սպասվելիք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փոփոխությունների</w:t>
            </w:r>
            <w:r w:rsidR="002E3C9B"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u w:val="single"/>
                <w:lang w:val="hy-AM"/>
              </w:rPr>
              <w:t xml:space="preserve"> </w:t>
            </w:r>
            <w:r w:rsidR="002E3C9B">
              <w:rPr>
                <w:rFonts w:ascii="GHEA Grapalat" w:eastAsia="Calibri" w:hAnsi="GHEA Grapalat" w:cs="Arial"/>
                <w:b/>
                <w:bCs/>
                <w:sz w:val="24"/>
                <w:szCs w:val="24"/>
                <w:u w:val="single"/>
                <w:lang w:val="hy-AM"/>
              </w:rPr>
              <w:t>մասին</w:t>
            </w:r>
          </w:p>
        </w:tc>
      </w:tr>
      <w:tr w:rsidR="002E3C9B" w:rsidRPr="00930400" w14:paraId="0278E9AB" w14:textId="77777777" w:rsidTr="002E3C9B">
        <w:trPr>
          <w:trHeight w:val="1169"/>
        </w:trPr>
        <w:tc>
          <w:tcPr>
            <w:tcW w:w="583" w:type="dxa"/>
          </w:tcPr>
          <w:p w14:paraId="7F68C2B3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487" w:type="dxa"/>
            <w:hideMark/>
          </w:tcPr>
          <w:p w14:paraId="71025B63" w14:textId="77777777" w:rsidR="002E3C9B" w:rsidRDefault="002E3C9B" w:rsidP="00FF3CCE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Նախագծի ընդունմամբ պետական կամ տեղական ինքնակառավարման մարմնի բյուջեում ծախսերի և եկամուտների էական ավելացում կամ նվազեցում չի նախատեսվում:</w:t>
            </w:r>
          </w:p>
        </w:tc>
      </w:tr>
      <w:tr w:rsidR="002E3C9B" w:rsidRPr="00930400" w14:paraId="702D9A92" w14:textId="77777777" w:rsidTr="002E3C9B">
        <w:tc>
          <w:tcPr>
            <w:tcW w:w="583" w:type="dxa"/>
          </w:tcPr>
          <w:p w14:paraId="73A8EC9B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487" w:type="dxa"/>
            <w:hideMark/>
          </w:tcPr>
          <w:p w14:paraId="3289EBF3" w14:textId="77777777" w:rsidR="002E3C9B" w:rsidRDefault="002E3C9B" w:rsidP="00FF3CCE">
            <w:pPr>
              <w:spacing w:line="360" w:lineRule="auto"/>
              <w:ind w:left="480" w:hanging="450"/>
              <w:jc w:val="both"/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lang w:val="hy-AM"/>
              </w:rPr>
              <w:t xml:space="preserve">6.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Կապը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ռազմավարական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փաստաթղթերի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հետ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.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Հայաստանի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վերափոխման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ռազմավարություն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 2050,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Կառավարության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 2021-2026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թթ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.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ծրագիր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,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ոլորտային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և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>/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կամ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այլ</w:t>
            </w:r>
            <w:r>
              <w:rPr>
                <w:rFonts w:ascii="GHEA Grapalat" w:eastAsia="Calibri" w:hAnsi="GHEA Grapalat" w:cs="GHEA Grapalat"/>
                <w:b/>
                <w:spacing w:val="-8"/>
                <w:sz w:val="24"/>
                <w:szCs w:val="24"/>
                <w:u w:val="single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b/>
                <w:spacing w:val="-8"/>
                <w:sz w:val="24"/>
                <w:szCs w:val="24"/>
                <w:u w:val="single"/>
                <w:lang w:val="hy-AM"/>
              </w:rPr>
              <w:t>ռազմավարություններ</w:t>
            </w:r>
          </w:p>
        </w:tc>
      </w:tr>
      <w:tr w:rsidR="002E3C9B" w:rsidRPr="00930400" w14:paraId="103F2413" w14:textId="77777777" w:rsidTr="002E3C9B">
        <w:tc>
          <w:tcPr>
            <w:tcW w:w="583" w:type="dxa"/>
          </w:tcPr>
          <w:p w14:paraId="208FD651" w14:textId="77777777" w:rsidR="002E3C9B" w:rsidRDefault="002E3C9B" w:rsidP="00FF3CCE">
            <w:pPr>
              <w:tabs>
                <w:tab w:val="left" w:pos="1440"/>
              </w:tabs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10487" w:type="dxa"/>
            <w:hideMark/>
          </w:tcPr>
          <w:p w14:paraId="491D9DE5" w14:textId="77777777" w:rsidR="002E3C9B" w:rsidRDefault="002E3C9B" w:rsidP="00FF3CCE">
            <w:pPr>
              <w:spacing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բխում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 2021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օգոստոսի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18-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N               1363-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որոշմամբ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հաստատված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2021-2026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թթ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ծրագրի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, «2.3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Բարձր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տեխնոլոգիաներ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մասի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, «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Ռազմարդյունաբերություն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բաժնի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դրույթներից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այն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է՝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Ռազմարդյունաբերական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համալիրի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զարգացման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Կառավարությունը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նախատեսում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իրականացնել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ռազմավարական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նշանակության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ապրանքների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արտադրության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ներքին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կարողությունների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զարգացում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զինված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ուժերի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կարիքների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բավարարման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տեղական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արտադրանքի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գնման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ծավալների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ընդլայնում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</w:tc>
      </w:tr>
    </w:tbl>
    <w:p w14:paraId="6157A41F" w14:textId="77777777" w:rsidR="00432126" w:rsidRPr="001A6E2C" w:rsidRDefault="00432126">
      <w:pPr>
        <w:rPr>
          <w:lang w:val="hy-AM"/>
        </w:rPr>
      </w:pPr>
    </w:p>
    <w:sectPr w:rsidR="00432126" w:rsidRPr="001A6E2C" w:rsidSect="001A6E2C">
      <w:pgSz w:w="11906" w:h="16838"/>
      <w:pgMar w:top="360" w:right="140" w:bottom="36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C3AF6"/>
    <w:multiLevelType w:val="multilevel"/>
    <w:tmpl w:val="832EFE0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D1A"/>
    <w:rsid w:val="00041683"/>
    <w:rsid w:val="0016189D"/>
    <w:rsid w:val="00165D86"/>
    <w:rsid w:val="001A6E2C"/>
    <w:rsid w:val="001B19F0"/>
    <w:rsid w:val="002C6339"/>
    <w:rsid w:val="002E3C9B"/>
    <w:rsid w:val="00381269"/>
    <w:rsid w:val="003C50DE"/>
    <w:rsid w:val="003C6A91"/>
    <w:rsid w:val="00401410"/>
    <w:rsid w:val="00404C65"/>
    <w:rsid w:val="00432126"/>
    <w:rsid w:val="00433B35"/>
    <w:rsid w:val="00456BFF"/>
    <w:rsid w:val="00563B1C"/>
    <w:rsid w:val="006D447A"/>
    <w:rsid w:val="006D49D6"/>
    <w:rsid w:val="00703D64"/>
    <w:rsid w:val="00794D4A"/>
    <w:rsid w:val="0081338C"/>
    <w:rsid w:val="008355CE"/>
    <w:rsid w:val="00853212"/>
    <w:rsid w:val="008F52D4"/>
    <w:rsid w:val="00927CDE"/>
    <w:rsid w:val="00930400"/>
    <w:rsid w:val="00A84BD6"/>
    <w:rsid w:val="00A904EC"/>
    <w:rsid w:val="00A96EB7"/>
    <w:rsid w:val="00AE07B5"/>
    <w:rsid w:val="00B7065C"/>
    <w:rsid w:val="00C411C4"/>
    <w:rsid w:val="00CB26C0"/>
    <w:rsid w:val="00CD4BA7"/>
    <w:rsid w:val="00D24F69"/>
    <w:rsid w:val="00D81F8B"/>
    <w:rsid w:val="00EB269A"/>
    <w:rsid w:val="00F03AEB"/>
    <w:rsid w:val="00FA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8C492"/>
  <w15:chartTrackingRefBased/>
  <w15:docId w15:val="{D2098575-AA0A-4597-B8B4-17E21239B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C9B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semiHidden/>
    <w:locked/>
    <w:rsid w:val="002E3C9B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semiHidden/>
    <w:unhideWhenUsed/>
    <w:qFormat/>
    <w:rsid w:val="002E3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D44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8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1062</Words>
  <Characters>8766</Characters>
  <Application>Microsoft Office Word</Application>
  <DocSecurity>0</DocSecurity>
  <Lines>674</Lines>
  <Paragraphs>280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https:/mul2-mtc.gov.am/tasks/1127117/oneclick/himnavorum.docx?token=acc687f584d72f9f99519f292e9fc442</cp:keywords>
  <dc:description/>
  <cp:lastModifiedBy>Susanna Arzumanyan</cp:lastModifiedBy>
  <cp:revision>4</cp:revision>
  <dcterms:created xsi:type="dcterms:W3CDTF">2024-09-10T13:16:00Z</dcterms:created>
  <dcterms:modified xsi:type="dcterms:W3CDTF">2024-09-12T05:23:00Z</dcterms:modified>
</cp:coreProperties>
</file>