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9133FF" w14:textId="77777777" w:rsidR="00714471" w:rsidRDefault="0000205F" w:rsidP="0097176E">
      <w:pPr>
        <w:spacing w:after="0"/>
        <w:jc w:val="center"/>
        <w:rPr>
          <w:b/>
          <w:sz w:val="24"/>
          <w:szCs w:val="24"/>
        </w:rPr>
      </w:pPr>
      <w:r>
        <w:rPr>
          <w:b/>
          <w:sz w:val="24"/>
          <w:szCs w:val="24"/>
        </w:rPr>
        <w:t>ԱՄՓՈՓԱԹԵՐԹ</w:t>
      </w:r>
    </w:p>
    <w:p w14:paraId="2C84875E" w14:textId="77777777" w:rsidR="00714471" w:rsidRDefault="0000205F" w:rsidP="0097176E">
      <w:pPr>
        <w:spacing w:after="0"/>
        <w:jc w:val="center"/>
        <w:rPr>
          <w:b/>
          <w:sz w:val="24"/>
          <w:szCs w:val="24"/>
        </w:rPr>
      </w:pPr>
      <w:r>
        <w:rPr>
          <w:b/>
          <w:sz w:val="24"/>
          <w:szCs w:val="24"/>
        </w:rPr>
        <w:t xml:space="preserve">«ՀԱՅԱՍՏԱՆԻ ՀԱՆՐԱՊԵՏՈՒԹՅԱՆ ՀԱՐԿԱՅԻՆ ՕՐԵՆՍԳՐՔՈՒՄ ՓՈՓՈԽՈՒԹՅՈՒՆ ԿԱՏԱՐԵԼՈՒ ՄԱՍԻՆ» ՀՀ ՕՐԵՆՔԻ ՆԱԽԱԳԾԻ ՎԵՐԱԲԵՐՅԱԼ </w:t>
      </w:r>
    </w:p>
    <w:p w14:paraId="7349F0CB" w14:textId="77777777" w:rsidR="00714471" w:rsidRDefault="00714471" w:rsidP="0097176E">
      <w:pPr>
        <w:spacing w:after="0"/>
        <w:jc w:val="center"/>
        <w:rPr>
          <w:b/>
          <w:sz w:val="24"/>
          <w:szCs w:val="24"/>
        </w:rPr>
      </w:pPr>
    </w:p>
    <w:tbl>
      <w:tblPr>
        <w:tblStyle w:val="a0"/>
        <w:tblW w:w="10620" w:type="dxa"/>
        <w:tblInd w:w="-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
        <w:gridCol w:w="5850"/>
        <w:gridCol w:w="4320"/>
      </w:tblGrid>
      <w:tr w:rsidR="00714471" w14:paraId="70F34BB7" w14:textId="77777777" w:rsidTr="00D231EB">
        <w:tc>
          <w:tcPr>
            <w:tcW w:w="450" w:type="dxa"/>
          </w:tcPr>
          <w:p w14:paraId="76A79F2B" w14:textId="77777777" w:rsidR="00714471" w:rsidRDefault="00714471" w:rsidP="0097176E">
            <w:pPr>
              <w:jc w:val="center"/>
              <w:rPr>
                <w:b/>
                <w:sz w:val="24"/>
                <w:szCs w:val="24"/>
              </w:rPr>
            </w:pPr>
          </w:p>
        </w:tc>
        <w:tc>
          <w:tcPr>
            <w:tcW w:w="5850" w:type="dxa"/>
          </w:tcPr>
          <w:p w14:paraId="1792258A" w14:textId="77777777" w:rsidR="00714471" w:rsidRDefault="0000205F" w:rsidP="0097176E">
            <w:pPr>
              <w:jc w:val="center"/>
              <w:rPr>
                <w:b/>
                <w:sz w:val="24"/>
                <w:szCs w:val="24"/>
              </w:rPr>
            </w:pPr>
            <w:r>
              <w:rPr>
                <w:b/>
                <w:sz w:val="24"/>
                <w:szCs w:val="24"/>
              </w:rPr>
              <w:t>Առաջարկություն</w:t>
            </w:r>
          </w:p>
        </w:tc>
        <w:tc>
          <w:tcPr>
            <w:tcW w:w="4320" w:type="dxa"/>
          </w:tcPr>
          <w:p w14:paraId="5CB6EEC8" w14:textId="77777777" w:rsidR="00714471" w:rsidRDefault="0000205F" w:rsidP="0097176E">
            <w:pPr>
              <w:jc w:val="center"/>
              <w:rPr>
                <w:b/>
                <w:sz w:val="24"/>
                <w:szCs w:val="24"/>
              </w:rPr>
            </w:pPr>
            <w:r>
              <w:rPr>
                <w:b/>
                <w:sz w:val="24"/>
                <w:szCs w:val="24"/>
              </w:rPr>
              <w:t>Կատարված փոփոխություն/մեկնաբանություն</w:t>
            </w:r>
          </w:p>
        </w:tc>
      </w:tr>
      <w:tr w:rsidR="000A58F9" w14:paraId="7BC82E23" w14:textId="77777777" w:rsidTr="00D231EB">
        <w:tc>
          <w:tcPr>
            <w:tcW w:w="450" w:type="dxa"/>
            <w:vMerge w:val="restart"/>
            <w:shd w:val="clear" w:color="auto" w:fill="D9D9D9" w:themeFill="background1" w:themeFillShade="D9"/>
          </w:tcPr>
          <w:p w14:paraId="40AC9C3F" w14:textId="77777777" w:rsidR="000A58F9" w:rsidRDefault="000A58F9" w:rsidP="0097176E">
            <w:pPr>
              <w:spacing w:after="0" w:line="240" w:lineRule="auto"/>
              <w:jc w:val="center"/>
              <w:rPr>
                <w:b/>
                <w:sz w:val="24"/>
                <w:szCs w:val="24"/>
              </w:rPr>
            </w:pPr>
            <w:r>
              <w:rPr>
                <w:b/>
                <w:sz w:val="24"/>
                <w:szCs w:val="24"/>
              </w:rPr>
              <w:t>1</w:t>
            </w:r>
          </w:p>
        </w:tc>
        <w:tc>
          <w:tcPr>
            <w:tcW w:w="5850" w:type="dxa"/>
            <w:vMerge w:val="restart"/>
            <w:shd w:val="clear" w:color="auto" w:fill="D9D9D9" w:themeFill="background1" w:themeFillShade="D9"/>
          </w:tcPr>
          <w:p w14:paraId="38F304F6" w14:textId="77777777" w:rsidR="000A58F9" w:rsidRDefault="000A58F9" w:rsidP="0097176E">
            <w:pPr>
              <w:spacing w:after="0" w:line="240" w:lineRule="auto"/>
              <w:jc w:val="center"/>
              <w:rPr>
                <w:b/>
                <w:sz w:val="24"/>
                <w:szCs w:val="24"/>
              </w:rPr>
            </w:pPr>
            <w:r>
              <w:rPr>
                <w:b/>
                <w:sz w:val="24"/>
                <w:szCs w:val="24"/>
              </w:rPr>
              <w:t>ՀՀ ֆինանսների նախարարություն</w:t>
            </w:r>
          </w:p>
        </w:tc>
        <w:tc>
          <w:tcPr>
            <w:tcW w:w="4320" w:type="dxa"/>
            <w:shd w:val="clear" w:color="auto" w:fill="D9D9D9" w:themeFill="background1" w:themeFillShade="D9"/>
          </w:tcPr>
          <w:p w14:paraId="5E1236AB" w14:textId="260A093D" w:rsidR="000A58F9" w:rsidRDefault="000A58F9" w:rsidP="0097176E">
            <w:pPr>
              <w:spacing w:after="0" w:line="240" w:lineRule="auto"/>
              <w:jc w:val="center"/>
              <w:rPr>
                <w:b/>
                <w:sz w:val="24"/>
                <w:szCs w:val="24"/>
              </w:rPr>
            </w:pPr>
            <w:r w:rsidRPr="00341788">
              <w:rPr>
                <w:b/>
              </w:rPr>
              <w:t>17</w:t>
            </w:r>
            <w:r w:rsidRPr="00341788">
              <w:rPr>
                <w:rFonts w:ascii="Microsoft JhengHei" w:eastAsia="Microsoft JhengHei" w:hAnsi="Microsoft JhengHei" w:cs="Microsoft JhengHei" w:hint="eastAsia"/>
                <w:b/>
              </w:rPr>
              <w:t>․</w:t>
            </w:r>
            <w:r w:rsidRPr="00341788">
              <w:rPr>
                <w:b/>
              </w:rPr>
              <w:t>06</w:t>
            </w:r>
            <w:r w:rsidRPr="00341788">
              <w:rPr>
                <w:rFonts w:ascii="Microsoft JhengHei" w:eastAsia="Microsoft JhengHei" w:hAnsi="Microsoft JhengHei" w:cs="Microsoft JhengHei" w:hint="eastAsia"/>
                <w:b/>
              </w:rPr>
              <w:t>․</w:t>
            </w:r>
            <w:r w:rsidRPr="00341788">
              <w:rPr>
                <w:b/>
              </w:rPr>
              <w:t>2024 թ</w:t>
            </w:r>
            <w:r w:rsidRPr="00341788">
              <w:rPr>
                <w:rFonts w:ascii="Microsoft JhengHei" w:eastAsia="Microsoft JhengHei" w:hAnsi="Microsoft JhengHei" w:cs="Microsoft JhengHei" w:hint="eastAsia"/>
                <w:b/>
              </w:rPr>
              <w:t>․</w:t>
            </w:r>
          </w:p>
        </w:tc>
      </w:tr>
      <w:tr w:rsidR="000A58F9" w14:paraId="3BCB81BF" w14:textId="77777777" w:rsidTr="00D231EB">
        <w:tc>
          <w:tcPr>
            <w:tcW w:w="450" w:type="dxa"/>
            <w:vMerge/>
            <w:shd w:val="clear" w:color="auto" w:fill="D9D9D9" w:themeFill="background1" w:themeFillShade="D9"/>
          </w:tcPr>
          <w:p w14:paraId="1A5A65D2" w14:textId="77777777" w:rsidR="000A58F9" w:rsidRDefault="000A58F9" w:rsidP="0097176E">
            <w:pPr>
              <w:spacing w:after="0" w:line="240" w:lineRule="auto"/>
              <w:jc w:val="center"/>
              <w:rPr>
                <w:b/>
                <w:sz w:val="24"/>
                <w:szCs w:val="24"/>
              </w:rPr>
            </w:pPr>
          </w:p>
        </w:tc>
        <w:tc>
          <w:tcPr>
            <w:tcW w:w="5850" w:type="dxa"/>
            <w:vMerge/>
            <w:shd w:val="clear" w:color="auto" w:fill="D9D9D9" w:themeFill="background1" w:themeFillShade="D9"/>
          </w:tcPr>
          <w:p w14:paraId="1900F365" w14:textId="77777777" w:rsidR="000A58F9" w:rsidRDefault="000A58F9" w:rsidP="0097176E">
            <w:pPr>
              <w:spacing w:after="0" w:line="240" w:lineRule="auto"/>
              <w:jc w:val="center"/>
              <w:rPr>
                <w:b/>
                <w:sz w:val="24"/>
                <w:szCs w:val="24"/>
              </w:rPr>
            </w:pPr>
          </w:p>
        </w:tc>
        <w:tc>
          <w:tcPr>
            <w:tcW w:w="4320" w:type="dxa"/>
            <w:shd w:val="clear" w:color="auto" w:fill="D9D9D9" w:themeFill="background1" w:themeFillShade="D9"/>
          </w:tcPr>
          <w:p w14:paraId="548635D1" w14:textId="4F4BEFBB" w:rsidR="000A58F9" w:rsidRDefault="000A58F9" w:rsidP="0097176E">
            <w:pPr>
              <w:spacing w:after="0" w:line="240" w:lineRule="auto"/>
              <w:jc w:val="center"/>
              <w:rPr>
                <w:b/>
                <w:sz w:val="24"/>
                <w:szCs w:val="24"/>
              </w:rPr>
            </w:pPr>
            <w:r w:rsidRPr="00341788">
              <w:rPr>
                <w:b/>
              </w:rPr>
              <w:t>№01/2-3/10267-2024</w:t>
            </w:r>
          </w:p>
        </w:tc>
      </w:tr>
      <w:tr w:rsidR="00714471" w14:paraId="17D2AFE3" w14:textId="77777777" w:rsidTr="00D231EB">
        <w:tc>
          <w:tcPr>
            <w:tcW w:w="450" w:type="dxa"/>
          </w:tcPr>
          <w:p w14:paraId="499EE3C2" w14:textId="77777777" w:rsidR="00714471" w:rsidRDefault="00714471" w:rsidP="0097176E">
            <w:pPr>
              <w:rPr>
                <w:sz w:val="24"/>
                <w:szCs w:val="24"/>
              </w:rPr>
            </w:pPr>
          </w:p>
        </w:tc>
        <w:tc>
          <w:tcPr>
            <w:tcW w:w="5850" w:type="dxa"/>
          </w:tcPr>
          <w:p w14:paraId="6F946ACE" w14:textId="77777777" w:rsidR="00714471" w:rsidRDefault="0000205F" w:rsidP="0097176E">
            <w:pPr>
              <w:spacing w:before="120" w:after="0"/>
              <w:ind w:firstLine="544"/>
              <w:jc w:val="both"/>
              <w:rPr>
                <w:color w:val="00000A"/>
                <w:sz w:val="24"/>
                <w:szCs w:val="24"/>
              </w:rPr>
            </w:pPr>
            <w:bookmarkStart w:id="0" w:name="_heading=h.gjdgxs" w:colFirst="0" w:colLast="0"/>
            <w:bookmarkEnd w:id="0"/>
            <w:r>
              <w:rPr>
                <w:color w:val="00000A"/>
                <w:sz w:val="24"/>
                <w:szCs w:val="24"/>
              </w:rPr>
              <w:t>ՀՀ ֆինանսների նախարարությունը քննարկել է Ձեր թիվ 01/5373-2024 գրությամբ ներկայացված՝ «Հայաստանի Հանրապետության հարկային օրենսգրքում փոփոխություն կատարելու մասին» ՀՀ օրենքի նախագիծը, որի վերաբերյալ հայտնում ենք հետևյալը:</w:t>
            </w:r>
          </w:p>
          <w:p w14:paraId="2BD25F2B" w14:textId="77777777" w:rsidR="00714471" w:rsidRDefault="0000205F" w:rsidP="0097176E">
            <w:pPr>
              <w:spacing w:after="0"/>
              <w:ind w:firstLine="544"/>
              <w:jc w:val="both"/>
              <w:rPr>
                <w:color w:val="00000A"/>
                <w:sz w:val="24"/>
                <w:szCs w:val="24"/>
              </w:rPr>
            </w:pPr>
            <w:r>
              <w:rPr>
                <w:color w:val="00000A"/>
                <w:sz w:val="24"/>
                <w:szCs w:val="24"/>
              </w:rPr>
              <w:t xml:space="preserve">Նախագծով առաջարկվում է սահմանել, որ շահութահարկ վճարողների կողմից համախառն եկամտից անհուսալի դեբիտորական պարտքերի նվազեցման առումով 300 հազար դրամը գերազանցող ընդհանուր գումարով դեբիտորական պարտքը համարվում է անհուսալի` դեբիտորական պարտքի գումարը բռնագանձելու պահանջով հայցը դատարանի կողմից վարույթ ընդունվելու մասին որոշումն ուժի մեջ մտնելու օրվանից (իսկ վեճն արբիտրաժի լուծմանը հանձնելու դեպքում` արբիտրաժային վարույթի սկզբի օրվանից) կամ դատարանի կողմից արձակված վճարման կարգադրության` օրինական ուժի մեջ մտած վճռի ուժ ստանալու օրվանից կամ գումարի բռնագանձման պահանջով նոտարի կողմից արձակված կարգադրության՝ կողմերի համար պարտադիր դառնալու օրվանից, սակայն դեբիտորական պարտքի գումարը ներելու կամ այն որևէ հիմքով չպահանջելու վերաբերյալ կայացված վճռի, որոշման կամ կարգադրության ուժի մեջ մտնելու պահից դեբիտորական պարտքի գումարը </w:t>
            </w:r>
            <w:r>
              <w:rPr>
                <w:color w:val="00000A"/>
                <w:sz w:val="24"/>
                <w:szCs w:val="24"/>
              </w:rPr>
              <w:lastRenderedPageBreak/>
              <w:t>այդ հարկային տարում ճանաչվում է որպես համախառն եկամտի ավելացում:</w:t>
            </w:r>
          </w:p>
          <w:p w14:paraId="4099B1B0" w14:textId="77777777" w:rsidR="00714471" w:rsidRDefault="0000205F" w:rsidP="0097176E">
            <w:pPr>
              <w:spacing w:after="0"/>
              <w:ind w:firstLine="544"/>
              <w:jc w:val="both"/>
              <w:rPr>
                <w:color w:val="00000A"/>
                <w:sz w:val="24"/>
                <w:szCs w:val="24"/>
              </w:rPr>
            </w:pPr>
            <w:r>
              <w:rPr>
                <w:color w:val="00000A"/>
                <w:sz w:val="24"/>
                <w:szCs w:val="24"/>
              </w:rPr>
              <w:t>Վերոգրյալի կապակցությամբ հայտնում ենք հետևյալը:</w:t>
            </w:r>
          </w:p>
          <w:p w14:paraId="63428833" w14:textId="77777777" w:rsidR="00714471" w:rsidRDefault="0000205F" w:rsidP="0097176E">
            <w:pPr>
              <w:spacing w:after="0"/>
              <w:ind w:firstLine="544"/>
              <w:jc w:val="both"/>
              <w:rPr>
                <w:color w:val="00000A"/>
                <w:sz w:val="24"/>
                <w:szCs w:val="24"/>
              </w:rPr>
            </w:pPr>
            <w:r>
              <w:rPr>
                <w:color w:val="00000A"/>
                <w:sz w:val="24"/>
                <w:szCs w:val="24"/>
              </w:rPr>
              <w:t>ՀՀ հարկային օրենսգրքի (այսուհետ՝ Օրենսգիրք) 123-րդ հոդվածի 1-ին մասի 2-րդ կետի համաձայն՝ նույն կետի կիրառության իմաստով՝ 100 հազար դրամը գերազանցող ընդհանուր գումարով դեբիտորական պարտքը համարվում է անհուսալի դեբիտորական պարտքի գումարը բռնագանձելու պահանջը բավարարելու կամ մերժելու վերաբերյալ դատական ակտի (վճռի, որոշման կամ կարգադրության, բացառությամբ դեբիտորական պարտքի գումարը ներելու կամ այն որևէ հիմքով չպահանջելու վերաբերյալ կայացված վճռի, որոշման կամ կարգադրության)՝ օրինական ուժի մեջ մտնելու օրվանից:</w:t>
            </w:r>
          </w:p>
          <w:p w14:paraId="0A6FEF83" w14:textId="77777777" w:rsidR="00714471" w:rsidRDefault="0000205F" w:rsidP="0097176E">
            <w:pPr>
              <w:spacing w:after="0"/>
              <w:ind w:firstLine="544"/>
              <w:jc w:val="both"/>
              <w:rPr>
                <w:color w:val="00000A"/>
                <w:sz w:val="24"/>
                <w:szCs w:val="24"/>
              </w:rPr>
            </w:pPr>
            <w:r>
              <w:rPr>
                <w:color w:val="00000A"/>
                <w:sz w:val="24"/>
                <w:szCs w:val="24"/>
              </w:rPr>
              <w:t xml:space="preserve">Շահութահարկ վճարողների կողմից 100 հազար դրամը գերազանցող ընդհանուր գումարով անհուսալի դեբիտորական պարտքերը համախառն եկամտից միայն տվյալ դեբիտորական պարտքի գումարը բռնագանձելու պահանջը բավարարելու կամ մերժելու վերաբերյալ դատական ակտի հիման վրա նվազեցնելու հնարավորության սահմանումը նախատեսված է եղել հնարավորինս նվազեցնելու չարաշահումների ռիսկերը: </w:t>
            </w:r>
          </w:p>
          <w:p w14:paraId="0344260C" w14:textId="77777777" w:rsidR="00714471" w:rsidRDefault="0000205F" w:rsidP="0097176E">
            <w:pPr>
              <w:spacing w:after="0"/>
              <w:ind w:firstLine="544"/>
              <w:jc w:val="both"/>
              <w:rPr>
                <w:color w:val="00000A"/>
                <w:sz w:val="24"/>
                <w:szCs w:val="24"/>
              </w:rPr>
            </w:pPr>
            <w:r>
              <w:rPr>
                <w:color w:val="00000A"/>
                <w:sz w:val="24"/>
                <w:szCs w:val="24"/>
              </w:rPr>
              <w:t xml:space="preserve">Այս կապակցությամբ, անհրաժեշտ ենք համարում նկատել, որ գործող խնդրո առարկա 100 հազար դրամ սահմանաչափը 300 հազար դրամ սահմանաչափով փոխարինելը, ինչպես նաև շահութահարկ վճարողների կողմից 300 հազար դրամը գերազանցող ընդհանուր գումարով անհուսալի դեբիտորական պարտքերը տվյալ դեբիտորական պարտքի գումարը բռնագանձելու պահանջով հայցը դատարանի կողմից վարույթ ընդունվելու մասին որոշումն ուժի մեջ մտնելու </w:t>
            </w:r>
            <w:r>
              <w:rPr>
                <w:color w:val="00000A"/>
                <w:sz w:val="24"/>
                <w:szCs w:val="24"/>
              </w:rPr>
              <w:lastRenderedPageBreak/>
              <w:t>օրվանից (իսկ վեճն արբիտրաժի լուծմանը հանձնելու դեպքում` արբիտրաժային վարույթի սկզբի օրվանից) համախառն եկամտից նվազեցնելու հնարավորություն ընձեռելը ընդլայնելու են հարկումից չարամտորեն խուսափելու և հարկային պլանավորման ռիսկերը: Վերոգրյալը հիմնավորվում է այն հանգամանքով, որ հարկ վճարողները որևէ հաշվետու տարվա շահութահարկի գումարները նվազեցնելու նպատակով կարող են դիտավորյալ, այդ թվում՝ նախապես իմանալով նաև, որ դատարանը անհուսալի դեբիտորական պարտքի գումարները բռնագանձելու պահանջը բավարարող դատական ակտ չի կայացնելու, դեբիտորական պարտքերի գումարները բռնագանձելու պահանջով հայց ներկայացնել դատարան և դատարանի կողմից վարույթ ընդունվելու մասին որոշումն ուժի մեջ մտնելու օրվանից համախառն եկամտից նվազեցնել դեբիտորական պարտքերի գումարները:</w:t>
            </w:r>
          </w:p>
          <w:p w14:paraId="68744956" w14:textId="77777777" w:rsidR="00714471" w:rsidRDefault="0000205F" w:rsidP="0097176E">
            <w:pPr>
              <w:spacing w:after="0"/>
              <w:ind w:firstLine="544"/>
              <w:jc w:val="both"/>
              <w:rPr>
                <w:color w:val="00000A"/>
                <w:sz w:val="24"/>
                <w:szCs w:val="24"/>
              </w:rPr>
            </w:pPr>
            <w:r>
              <w:rPr>
                <w:color w:val="00000A"/>
                <w:sz w:val="24"/>
                <w:szCs w:val="24"/>
              </w:rPr>
              <w:t xml:space="preserve">Միևնույն ժամանակ, հայտնում ենք, որ առկա ռիսկերն էլ ավելի են խորանում հարկման ընդհանուր և հատուկ համակարգերում գործունեություն ծավալող հարկ վճարողների միջև կատարվող գործարքների արդյունքում առաջացող անհուսալի դեբիտորական պարտքերը հարկման ընդհանուր համակարգում գործունեություն ծավալող հարկ վճարողների կողմից շահութահարկով հարկման նպատակով համախառն եկամտից նվազեցնելու առումով՝ հաշվի առնելով այն հանգամանքը, որ կրեդիտորական պարտքերի գումարները, օրինակ՝ շրջանառության հարկ վճարողների համար լրացուցիչ հարկային պարտավորություններ չեն առաջացնում, ինչը լրացուցիչ խթաններ է ապահովում հարկային պլանավորման կամ </w:t>
            </w:r>
            <w:r>
              <w:rPr>
                <w:color w:val="00000A"/>
                <w:sz w:val="24"/>
                <w:szCs w:val="24"/>
              </w:rPr>
              <w:lastRenderedPageBreak/>
              <w:t>հարկերից չարամտորեն խուսափելու վարքագիծ որդեգրելու համար:</w:t>
            </w:r>
          </w:p>
          <w:p w14:paraId="502E642D" w14:textId="77777777" w:rsidR="00714471" w:rsidRDefault="0000205F" w:rsidP="0097176E">
            <w:pPr>
              <w:spacing w:after="0"/>
              <w:ind w:firstLine="544"/>
              <w:jc w:val="both"/>
              <w:rPr>
                <w:sz w:val="24"/>
                <w:szCs w:val="24"/>
              </w:rPr>
            </w:pPr>
            <w:r>
              <w:rPr>
                <w:color w:val="00000A"/>
                <w:sz w:val="24"/>
                <w:szCs w:val="24"/>
              </w:rPr>
              <w:t>Ինչ վերաբերում է խնդրո առարկա կարգավորումը «Առևտրային արբիտրաժի մասին» և «Նոտարիատի մասին» ՀՀ օրենքների կարգավորումներին համապատասխանեցնելու նպատակով շահութահարկ վճարողների կողմից անհուսալի դեբիտորական պարտքերը համախառն եկամտից նաև դատարանի կողմից արձակված վճարման կարգադրության` օրինական ուժի մեջ մտած վճռի ուժ ստանալու օրվանից կամ գումարի բռնագանձման պահանջով նոտարի կողմից արձակված կարգադրության կողմերի համար պարտադիր դառնալու օրվանից նվազեցնելու հնարավորություն ընձեռելուն, ապա այդ կապակցությամբ, հայտնում ենք, որ առաջարկությունների ընդունումը կարող է նպատակահարմար համարվել միայն գործող կարգավորումների համատեքստում:</w:t>
            </w:r>
          </w:p>
        </w:tc>
        <w:tc>
          <w:tcPr>
            <w:tcW w:w="4320" w:type="dxa"/>
          </w:tcPr>
          <w:p w14:paraId="6363E8C8" w14:textId="35375BDB" w:rsidR="00714471" w:rsidRDefault="0012052C" w:rsidP="0097176E">
            <w:pPr>
              <w:jc w:val="center"/>
              <w:rPr>
                <w:b/>
                <w:sz w:val="24"/>
                <w:szCs w:val="24"/>
              </w:rPr>
            </w:pPr>
            <w:r>
              <w:rPr>
                <w:b/>
                <w:sz w:val="24"/>
                <w:szCs w:val="24"/>
              </w:rPr>
              <w:lastRenderedPageBreak/>
              <w:t>Ը</w:t>
            </w:r>
            <w:r w:rsidR="0000205F">
              <w:rPr>
                <w:b/>
                <w:sz w:val="24"/>
                <w:szCs w:val="24"/>
              </w:rPr>
              <w:t>նդունվել է մասամբ։</w:t>
            </w:r>
          </w:p>
          <w:p w14:paraId="0AE63360" w14:textId="77777777" w:rsidR="00714471" w:rsidRDefault="0000205F" w:rsidP="0097176E">
            <w:pPr>
              <w:jc w:val="both"/>
              <w:rPr>
                <w:sz w:val="24"/>
                <w:szCs w:val="24"/>
              </w:rPr>
            </w:pPr>
            <w:r>
              <w:rPr>
                <w:sz w:val="24"/>
                <w:szCs w:val="24"/>
              </w:rPr>
              <w:t>Դատարան կամ արբիտրաժ դիմած լինելու հիմքով դեբիտորական պարտքի՝ համախառն եկամտից նվազեցնելու դրույթը հանվել է</w:t>
            </w:r>
            <w:sdt>
              <w:sdtPr>
                <w:tag w:val="goog_rdk_0"/>
                <w:id w:val="1918900401"/>
              </w:sdtPr>
              <w:sdtEndPr/>
              <w:sdtContent>
                <w:r>
                  <w:rPr>
                    <w:sz w:val="24"/>
                    <w:szCs w:val="24"/>
                  </w:rPr>
                  <w:t xml:space="preserve"> և դրույթը վերաշարադրվել է առկա տրամաբանությամբ</w:t>
                </w:r>
              </w:sdtContent>
            </w:sdt>
            <w:r>
              <w:rPr>
                <w:sz w:val="24"/>
                <w:szCs w:val="24"/>
              </w:rPr>
              <w:t>։</w:t>
            </w:r>
          </w:p>
          <w:p w14:paraId="3C4DA0DF" w14:textId="77777777" w:rsidR="00714471" w:rsidRDefault="0000205F" w:rsidP="0097176E">
            <w:pPr>
              <w:jc w:val="both"/>
              <w:rPr>
                <w:sz w:val="24"/>
                <w:szCs w:val="24"/>
              </w:rPr>
            </w:pPr>
            <w:r>
              <w:rPr>
                <w:sz w:val="24"/>
                <w:szCs w:val="24"/>
              </w:rPr>
              <w:t xml:space="preserve">Ինչ վերաբերում է 300 հազար դրամ շեմին, դրա սահմանման անհրաժեշտությունը ներկայացված է նախագծի հիմնավորման մեջ։ </w:t>
            </w:r>
          </w:p>
          <w:p w14:paraId="788C8F14" w14:textId="121E4650" w:rsidR="0051029C" w:rsidRPr="0012052C" w:rsidRDefault="00DE30C2" w:rsidP="0097176E">
            <w:pPr>
              <w:jc w:val="both"/>
              <w:rPr>
                <w:b/>
                <w:bCs/>
                <w:sz w:val="24"/>
                <w:szCs w:val="24"/>
              </w:rPr>
            </w:pPr>
            <w:r w:rsidRPr="0012052C">
              <w:rPr>
                <w:b/>
                <w:bCs/>
                <w:sz w:val="24"/>
                <w:szCs w:val="24"/>
              </w:rPr>
              <w:t>Ն</w:t>
            </w:r>
            <w:r w:rsidR="0000205F" w:rsidRPr="0012052C">
              <w:rPr>
                <w:b/>
                <w:bCs/>
                <w:sz w:val="24"/>
                <w:szCs w:val="24"/>
              </w:rPr>
              <w:t xml:space="preserve">շված չափով շեմի սահմանման կարևորությունը ընդունելի է համարվել նաև փոխվարչապետ Տիգրան Խաչատրյանի կողմից՝ </w:t>
            </w:r>
            <w:r w:rsidR="0051029C" w:rsidRPr="0012052C">
              <w:rPr>
                <w:b/>
                <w:bCs/>
                <w:sz w:val="24"/>
                <w:szCs w:val="24"/>
              </w:rPr>
              <w:t>24</w:t>
            </w:r>
            <w:r w:rsidR="0000205F" w:rsidRPr="0012052C">
              <w:rPr>
                <w:b/>
                <w:bCs/>
                <w:sz w:val="24"/>
                <w:szCs w:val="24"/>
              </w:rPr>
              <w:t>.0</w:t>
            </w:r>
            <w:r w:rsidR="0051029C" w:rsidRPr="0012052C">
              <w:rPr>
                <w:b/>
                <w:bCs/>
                <w:sz w:val="24"/>
                <w:szCs w:val="24"/>
              </w:rPr>
              <w:t>7</w:t>
            </w:r>
            <w:r w:rsidR="0000205F" w:rsidRPr="0012052C">
              <w:rPr>
                <w:b/>
                <w:bCs/>
                <w:sz w:val="24"/>
                <w:szCs w:val="24"/>
              </w:rPr>
              <w:t>.2024թ</w:t>
            </w:r>
            <w:r w:rsidR="0000205F" w:rsidRPr="0012052C">
              <w:rPr>
                <w:rFonts w:ascii="Cambria Math" w:eastAsia="Cambria Math" w:hAnsi="Cambria Math" w:cs="Cambria Math"/>
                <w:b/>
                <w:bCs/>
                <w:sz w:val="24"/>
                <w:szCs w:val="24"/>
              </w:rPr>
              <w:t>․</w:t>
            </w:r>
            <w:r w:rsidR="0000205F" w:rsidRPr="0012052C">
              <w:rPr>
                <w:b/>
                <w:bCs/>
                <w:sz w:val="24"/>
                <w:szCs w:val="24"/>
              </w:rPr>
              <w:t xml:space="preserve"> վերջինիս գլխավորությամբ կայացած ՓՄՁ զարգացման խորհրդի նիստի շրջանակներում։</w:t>
            </w:r>
            <w:r w:rsidRPr="0012052C">
              <w:rPr>
                <w:b/>
                <w:bCs/>
                <w:sz w:val="24"/>
                <w:szCs w:val="24"/>
              </w:rPr>
              <w:t xml:space="preserve"> </w:t>
            </w:r>
            <w:r w:rsidR="0051029C" w:rsidRPr="0012052C">
              <w:rPr>
                <w:b/>
                <w:bCs/>
                <w:sz w:val="24"/>
                <w:szCs w:val="24"/>
              </w:rPr>
              <w:t xml:space="preserve">Աշխատանքային կարգով համաձայնեցվել է Ֆինանսների նախարարության և Պետական եկամուտների կոմիտեի հետ։ </w:t>
            </w:r>
          </w:p>
          <w:p w14:paraId="6A1FB523" w14:textId="77777777" w:rsidR="0051029C" w:rsidRDefault="0051029C" w:rsidP="0097176E">
            <w:pPr>
              <w:jc w:val="both"/>
              <w:rPr>
                <w:sz w:val="24"/>
                <w:szCs w:val="24"/>
              </w:rPr>
            </w:pPr>
          </w:p>
          <w:p w14:paraId="6303FB66" w14:textId="77777777" w:rsidR="00714471" w:rsidRDefault="00714471" w:rsidP="0097176E">
            <w:pPr>
              <w:jc w:val="both"/>
              <w:rPr>
                <w:sz w:val="24"/>
                <w:szCs w:val="24"/>
              </w:rPr>
            </w:pPr>
          </w:p>
          <w:p w14:paraId="2AD057E4" w14:textId="77777777" w:rsidR="00714471" w:rsidRDefault="00714471" w:rsidP="0097176E">
            <w:pPr>
              <w:jc w:val="both"/>
              <w:rPr>
                <w:sz w:val="24"/>
                <w:szCs w:val="24"/>
              </w:rPr>
            </w:pPr>
          </w:p>
          <w:p w14:paraId="15C88585" w14:textId="77777777" w:rsidR="00714471" w:rsidRDefault="00714471" w:rsidP="0097176E">
            <w:pPr>
              <w:jc w:val="both"/>
              <w:rPr>
                <w:sz w:val="24"/>
                <w:szCs w:val="24"/>
              </w:rPr>
            </w:pPr>
          </w:p>
          <w:p w14:paraId="48B701ED" w14:textId="77777777" w:rsidR="00714471" w:rsidRDefault="00714471" w:rsidP="0097176E">
            <w:pPr>
              <w:jc w:val="both"/>
              <w:rPr>
                <w:sz w:val="24"/>
                <w:szCs w:val="24"/>
              </w:rPr>
            </w:pPr>
          </w:p>
          <w:p w14:paraId="2FD1CD4C" w14:textId="77777777" w:rsidR="00714471" w:rsidRDefault="00714471" w:rsidP="0097176E">
            <w:pPr>
              <w:jc w:val="both"/>
              <w:rPr>
                <w:sz w:val="24"/>
                <w:szCs w:val="24"/>
              </w:rPr>
            </w:pPr>
          </w:p>
          <w:p w14:paraId="1EBD9B2D" w14:textId="77777777" w:rsidR="00714471" w:rsidRDefault="00714471" w:rsidP="0097176E">
            <w:pPr>
              <w:jc w:val="both"/>
              <w:rPr>
                <w:sz w:val="24"/>
                <w:szCs w:val="24"/>
              </w:rPr>
            </w:pPr>
          </w:p>
          <w:p w14:paraId="6AF6DA86" w14:textId="77777777" w:rsidR="00714471" w:rsidRDefault="00714471" w:rsidP="0097176E">
            <w:pPr>
              <w:jc w:val="both"/>
              <w:rPr>
                <w:sz w:val="24"/>
                <w:szCs w:val="24"/>
              </w:rPr>
            </w:pPr>
          </w:p>
          <w:p w14:paraId="1B2A23F8" w14:textId="77777777" w:rsidR="00714471" w:rsidRDefault="00714471" w:rsidP="0097176E">
            <w:pPr>
              <w:jc w:val="both"/>
              <w:rPr>
                <w:sz w:val="24"/>
                <w:szCs w:val="24"/>
              </w:rPr>
            </w:pPr>
          </w:p>
          <w:p w14:paraId="3AB29A1D" w14:textId="77777777" w:rsidR="00714471" w:rsidRDefault="00714471" w:rsidP="0097176E">
            <w:pPr>
              <w:jc w:val="both"/>
              <w:rPr>
                <w:sz w:val="24"/>
                <w:szCs w:val="24"/>
              </w:rPr>
            </w:pPr>
          </w:p>
          <w:p w14:paraId="70CF2D23" w14:textId="77777777" w:rsidR="00714471" w:rsidRDefault="00714471" w:rsidP="0097176E">
            <w:pPr>
              <w:jc w:val="both"/>
              <w:rPr>
                <w:sz w:val="24"/>
                <w:szCs w:val="24"/>
              </w:rPr>
            </w:pPr>
          </w:p>
          <w:p w14:paraId="5703996A" w14:textId="77777777" w:rsidR="00714471" w:rsidRDefault="00714471" w:rsidP="0097176E">
            <w:pPr>
              <w:jc w:val="both"/>
              <w:rPr>
                <w:sz w:val="24"/>
                <w:szCs w:val="24"/>
              </w:rPr>
            </w:pPr>
          </w:p>
          <w:p w14:paraId="40216188" w14:textId="77777777" w:rsidR="00714471" w:rsidRDefault="00714471" w:rsidP="0097176E">
            <w:pPr>
              <w:jc w:val="both"/>
              <w:rPr>
                <w:sz w:val="24"/>
                <w:szCs w:val="24"/>
              </w:rPr>
            </w:pPr>
          </w:p>
          <w:p w14:paraId="09EB6B4E" w14:textId="77777777" w:rsidR="00714471" w:rsidRDefault="00714471" w:rsidP="0097176E">
            <w:pPr>
              <w:jc w:val="both"/>
              <w:rPr>
                <w:sz w:val="24"/>
                <w:szCs w:val="24"/>
              </w:rPr>
            </w:pPr>
          </w:p>
          <w:p w14:paraId="27803819" w14:textId="77777777" w:rsidR="00714471" w:rsidRDefault="00714471" w:rsidP="0097176E">
            <w:pPr>
              <w:jc w:val="both"/>
              <w:rPr>
                <w:sz w:val="24"/>
                <w:szCs w:val="24"/>
              </w:rPr>
            </w:pPr>
          </w:p>
          <w:p w14:paraId="7CF4E9B9" w14:textId="77777777" w:rsidR="00714471" w:rsidRDefault="00714471" w:rsidP="0097176E">
            <w:pPr>
              <w:jc w:val="both"/>
              <w:rPr>
                <w:sz w:val="24"/>
                <w:szCs w:val="24"/>
              </w:rPr>
            </w:pPr>
          </w:p>
          <w:p w14:paraId="5AB76BD2" w14:textId="77777777" w:rsidR="00714471" w:rsidRDefault="00714471" w:rsidP="0097176E">
            <w:pPr>
              <w:jc w:val="both"/>
              <w:rPr>
                <w:sz w:val="24"/>
                <w:szCs w:val="24"/>
              </w:rPr>
            </w:pPr>
          </w:p>
          <w:p w14:paraId="49B03CD1" w14:textId="77777777" w:rsidR="00714471" w:rsidRDefault="00714471" w:rsidP="0097176E">
            <w:pPr>
              <w:jc w:val="both"/>
              <w:rPr>
                <w:sz w:val="24"/>
                <w:szCs w:val="24"/>
              </w:rPr>
            </w:pPr>
          </w:p>
          <w:p w14:paraId="0919FC7D" w14:textId="77777777" w:rsidR="00714471" w:rsidRDefault="00714471" w:rsidP="0097176E">
            <w:pPr>
              <w:jc w:val="both"/>
              <w:rPr>
                <w:sz w:val="24"/>
                <w:szCs w:val="24"/>
              </w:rPr>
            </w:pPr>
          </w:p>
          <w:p w14:paraId="44F803BA" w14:textId="77777777" w:rsidR="00714471" w:rsidRDefault="00714471" w:rsidP="0097176E">
            <w:pPr>
              <w:jc w:val="both"/>
              <w:rPr>
                <w:sz w:val="24"/>
                <w:szCs w:val="24"/>
              </w:rPr>
            </w:pPr>
          </w:p>
          <w:p w14:paraId="79B3D8DF" w14:textId="77777777" w:rsidR="00714471" w:rsidRDefault="00714471" w:rsidP="0097176E">
            <w:pPr>
              <w:jc w:val="both"/>
              <w:rPr>
                <w:sz w:val="24"/>
                <w:szCs w:val="24"/>
              </w:rPr>
            </w:pPr>
          </w:p>
          <w:p w14:paraId="0393EF35" w14:textId="77777777" w:rsidR="00714471" w:rsidRDefault="00714471" w:rsidP="0097176E">
            <w:pPr>
              <w:jc w:val="both"/>
              <w:rPr>
                <w:sz w:val="24"/>
                <w:szCs w:val="24"/>
              </w:rPr>
            </w:pPr>
          </w:p>
          <w:p w14:paraId="5D4C7209" w14:textId="77777777" w:rsidR="00714471" w:rsidRDefault="00714471" w:rsidP="0097176E">
            <w:pPr>
              <w:jc w:val="both"/>
              <w:rPr>
                <w:sz w:val="24"/>
                <w:szCs w:val="24"/>
              </w:rPr>
            </w:pPr>
          </w:p>
          <w:p w14:paraId="58BF9C6F" w14:textId="77777777" w:rsidR="00714471" w:rsidRDefault="00714471" w:rsidP="0097176E">
            <w:pPr>
              <w:jc w:val="both"/>
              <w:rPr>
                <w:sz w:val="24"/>
                <w:szCs w:val="24"/>
              </w:rPr>
            </w:pPr>
          </w:p>
          <w:p w14:paraId="49E12E02" w14:textId="77777777" w:rsidR="00714471" w:rsidRDefault="00714471" w:rsidP="0097176E">
            <w:pPr>
              <w:jc w:val="both"/>
              <w:rPr>
                <w:sz w:val="24"/>
                <w:szCs w:val="24"/>
              </w:rPr>
            </w:pPr>
          </w:p>
          <w:p w14:paraId="5EAEDAD7" w14:textId="77777777" w:rsidR="00714471" w:rsidRDefault="00714471" w:rsidP="0097176E">
            <w:pPr>
              <w:jc w:val="both"/>
              <w:rPr>
                <w:sz w:val="24"/>
                <w:szCs w:val="24"/>
              </w:rPr>
            </w:pPr>
          </w:p>
          <w:p w14:paraId="750E5B52" w14:textId="77777777" w:rsidR="00714471" w:rsidRDefault="00714471" w:rsidP="0097176E">
            <w:pPr>
              <w:jc w:val="both"/>
              <w:rPr>
                <w:sz w:val="24"/>
                <w:szCs w:val="24"/>
              </w:rPr>
            </w:pPr>
          </w:p>
          <w:p w14:paraId="42D2443D" w14:textId="77777777" w:rsidR="00714471" w:rsidRDefault="00714471" w:rsidP="0097176E">
            <w:pPr>
              <w:jc w:val="both"/>
              <w:rPr>
                <w:sz w:val="24"/>
                <w:szCs w:val="24"/>
              </w:rPr>
            </w:pPr>
          </w:p>
          <w:p w14:paraId="17909DEC" w14:textId="77777777" w:rsidR="00714471" w:rsidRDefault="00714471" w:rsidP="0097176E">
            <w:pPr>
              <w:jc w:val="both"/>
              <w:rPr>
                <w:sz w:val="24"/>
                <w:szCs w:val="24"/>
              </w:rPr>
            </w:pPr>
          </w:p>
          <w:p w14:paraId="22071E55" w14:textId="77777777" w:rsidR="00714471" w:rsidRDefault="00714471" w:rsidP="0097176E">
            <w:pPr>
              <w:jc w:val="both"/>
              <w:rPr>
                <w:sz w:val="24"/>
                <w:szCs w:val="24"/>
              </w:rPr>
            </w:pPr>
          </w:p>
          <w:p w14:paraId="0623742E" w14:textId="77777777" w:rsidR="00714471" w:rsidRDefault="00714471" w:rsidP="0097176E">
            <w:pPr>
              <w:jc w:val="both"/>
              <w:rPr>
                <w:sz w:val="24"/>
                <w:szCs w:val="24"/>
              </w:rPr>
            </w:pPr>
          </w:p>
          <w:p w14:paraId="192CBF43" w14:textId="77777777" w:rsidR="00714471" w:rsidRDefault="00714471" w:rsidP="0097176E">
            <w:pPr>
              <w:jc w:val="both"/>
              <w:rPr>
                <w:sz w:val="24"/>
                <w:szCs w:val="24"/>
              </w:rPr>
            </w:pPr>
          </w:p>
          <w:p w14:paraId="64B229CE" w14:textId="77777777" w:rsidR="00714471" w:rsidRDefault="00714471" w:rsidP="0097176E">
            <w:pPr>
              <w:jc w:val="both"/>
              <w:rPr>
                <w:sz w:val="24"/>
                <w:szCs w:val="24"/>
              </w:rPr>
            </w:pPr>
          </w:p>
          <w:p w14:paraId="21FAB415" w14:textId="77777777" w:rsidR="00714471" w:rsidRDefault="00714471" w:rsidP="0097176E">
            <w:pPr>
              <w:jc w:val="both"/>
              <w:rPr>
                <w:sz w:val="24"/>
                <w:szCs w:val="24"/>
              </w:rPr>
            </w:pPr>
          </w:p>
          <w:p w14:paraId="29DB40DA" w14:textId="77777777" w:rsidR="00714471" w:rsidRDefault="00714471" w:rsidP="0097176E">
            <w:pPr>
              <w:jc w:val="both"/>
              <w:rPr>
                <w:sz w:val="24"/>
                <w:szCs w:val="24"/>
              </w:rPr>
            </w:pPr>
          </w:p>
          <w:p w14:paraId="5B53C003" w14:textId="77777777" w:rsidR="00714471" w:rsidRDefault="00714471" w:rsidP="0097176E">
            <w:pPr>
              <w:jc w:val="both"/>
              <w:rPr>
                <w:sz w:val="24"/>
                <w:szCs w:val="24"/>
              </w:rPr>
            </w:pPr>
          </w:p>
          <w:p w14:paraId="36FA249B" w14:textId="77777777" w:rsidR="00714471" w:rsidRDefault="00714471" w:rsidP="0097176E">
            <w:pPr>
              <w:jc w:val="both"/>
              <w:rPr>
                <w:sz w:val="24"/>
                <w:szCs w:val="24"/>
              </w:rPr>
            </w:pPr>
          </w:p>
          <w:p w14:paraId="355B2F44" w14:textId="77777777" w:rsidR="00714471" w:rsidRDefault="00714471" w:rsidP="0097176E">
            <w:pPr>
              <w:jc w:val="both"/>
              <w:rPr>
                <w:sz w:val="24"/>
                <w:szCs w:val="24"/>
              </w:rPr>
            </w:pPr>
          </w:p>
          <w:p w14:paraId="06311F32" w14:textId="77777777" w:rsidR="00714471" w:rsidRDefault="00714471" w:rsidP="0097176E">
            <w:pPr>
              <w:jc w:val="both"/>
              <w:rPr>
                <w:sz w:val="24"/>
                <w:szCs w:val="24"/>
              </w:rPr>
            </w:pPr>
          </w:p>
          <w:p w14:paraId="25866C53" w14:textId="77777777" w:rsidR="00714471" w:rsidRDefault="00714471" w:rsidP="0097176E">
            <w:pPr>
              <w:jc w:val="both"/>
              <w:rPr>
                <w:sz w:val="24"/>
                <w:szCs w:val="24"/>
              </w:rPr>
            </w:pPr>
          </w:p>
          <w:p w14:paraId="30F6779B" w14:textId="77777777" w:rsidR="00714471" w:rsidRDefault="00714471" w:rsidP="0097176E">
            <w:pPr>
              <w:jc w:val="both"/>
              <w:rPr>
                <w:sz w:val="24"/>
                <w:szCs w:val="24"/>
              </w:rPr>
            </w:pPr>
          </w:p>
          <w:p w14:paraId="7A574BC6" w14:textId="77777777" w:rsidR="00714471" w:rsidRDefault="00714471" w:rsidP="0097176E">
            <w:pPr>
              <w:jc w:val="both"/>
              <w:rPr>
                <w:sz w:val="24"/>
                <w:szCs w:val="24"/>
              </w:rPr>
            </w:pPr>
          </w:p>
          <w:p w14:paraId="0202DC4D" w14:textId="77777777" w:rsidR="00714471" w:rsidRDefault="00714471" w:rsidP="0097176E">
            <w:pPr>
              <w:jc w:val="both"/>
              <w:rPr>
                <w:sz w:val="24"/>
                <w:szCs w:val="24"/>
              </w:rPr>
            </w:pPr>
          </w:p>
          <w:p w14:paraId="42CA22B4" w14:textId="77777777" w:rsidR="00714471" w:rsidRDefault="00714471" w:rsidP="0097176E">
            <w:pPr>
              <w:jc w:val="both"/>
              <w:rPr>
                <w:sz w:val="24"/>
                <w:szCs w:val="24"/>
              </w:rPr>
            </w:pPr>
          </w:p>
          <w:p w14:paraId="5FA23E17" w14:textId="77777777" w:rsidR="00714471" w:rsidRDefault="00714471" w:rsidP="0097176E">
            <w:pPr>
              <w:jc w:val="both"/>
              <w:rPr>
                <w:sz w:val="24"/>
                <w:szCs w:val="24"/>
              </w:rPr>
            </w:pPr>
          </w:p>
          <w:p w14:paraId="6E34DC02" w14:textId="77777777" w:rsidR="00714471" w:rsidRDefault="00714471" w:rsidP="0097176E">
            <w:pPr>
              <w:jc w:val="both"/>
              <w:rPr>
                <w:sz w:val="24"/>
                <w:szCs w:val="24"/>
              </w:rPr>
            </w:pPr>
          </w:p>
          <w:p w14:paraId="7CE928E4" w14:textId="77777777" w:rsidR="00714471" w:rsidRDefault="00714471" w:rsidP="0097176E">
            <w:pPr>
              <w:jc w:val="both"/>
              <w:rPr>
                <w:sz w:val="24"/>
                <w:szCs w:val="24"/>
              </w:rPr>
            </w:pPr>
          </w:p>
        </w:tc>
      </w:tr>
      <w:tr w:rsidR="000A58F9" w14:paraId="6B49AAEF" w14:textId="77777777" w:rsidTr="00D231EB">
        <w:tc>
          <w:tcPr>
            <w:tcW w:w="450" w:type="dxa"/>
            <w:vMerge w:val="restart"/>
            <w:shd w:val="clear" w:color="auto" w:fill="D9D9D9" w:themeFill="background1" w:themeFillShade="D9"/>
          </w:tcPr>
          <w:p w14:paraId="08B25117" w14:textId="77777777" w:rsidR="000A58F9" w:rsidRDefault="000A58F9" w:rsidP="0097176E">
            <w:pPr>
              <w:spacing w:after="0" w:line="240" w:lineRule="auto"/>
              <w:jc w:val="center"/>
              <w:rPr>
                <w:b/>
                <w:sz w:val="24"/>
                <w:szCs w:val="24"/>
              </w:rPr>
            </w:pPr>
            <w:r>
              <w:rPr>
                <w:b/>
                <w:sz w:val="24"/>
                <w:szCs w:val="24"/>
              </w:rPr>
              <w:lastRenderedPageBreak/>
              <w:t>2</w:t>
            </w:r>
          </w:p>
        </w:tc>
        <w:tc>
          <w:tcPr>
            <w:tcW w:w="5850" w:type="dxa"/>
            <w:vMerge w:val="restart"/>
            <w:shd w:val="clear" w:color="auto" w:fill="D9D9D9" w:themeFill="background1" w:themeFillShade="D9"/>
          </w:tcPr>
          <w:p w14:paraId="3BDD869E" w14:textId="77777777" w:rsidR="000A58F9" w:rsidRDefault="000A58F9" w:rsidP="0097176E">
            <w:pPr>
              <w:spacing w:after="0" w:line="240" w:lineRule="auto"/>
              <w:jc w:val="center"/>
              <w:rPr>
                <w:b/>
                <w:sz w:val="24"/>
                <w:szCs w:val="24"/>
              </w:rPr>
            </w:pPr>
            <w:r>
              <w:rPr>
                <w:b/>
                <w:sz w:val="24"/>
                <w:szCs w:val="24"/>
              </w:rPr>
              <w:t>ՀՀ պետական եկամուտների կոմիտե</w:t>
            </w:r>
          </w:p>
        </w:tc>
        <w:tc>
          <w:tcPr>
            <w:tcW w:w="4320" w:type="dxa"/>
            <w:shd w:val="clear" w:color="auto" w:fill="D9D9D9" w:themeFill="background1" w:themeFillShade="D9"/>
          </w:tcPr>
          <w:p w14:paraId="3C823C22" w14:textId="203E93A5" w:rsidR="000A58F9" w:rsidRDefault="000A58F9" w:rsidP="0097176E">
            <w:pPr>
              <w:spacing w:after="0" w:line="240" w:lineRule="auto"/>
              <w:jc w:val="center"/>
              <w:rPr>
                <w:b/>
                <w:sz w:val="24"/>
                <w:szCs w:val="24"/>
              </w:rPr>
            </w:pPr>
            <w:r w:rsidRPr="00341788">
              <w:rPr>
                <w:b/>
              </w:rPr>
              <w:t>29</w:t>
            </w:r>
            <w:r w:rsidRPr="00341788">
              <w:rPr>
                <w:rFonts w:ascii="Microsoft JhengHei" w:eastAsia="Microsoft JhengHei" w:hAnsi="Microsoft JhengHei" w:cs="Microsoft JhengHei" w:hint="eastAsia"/>
                <w:b/>
              </w:rPr>
              <w:t>․</w:t>
            </w:r>
            <w:r w:rsidRPr="00341788">
              <w:rPr>
                <w:rFonts w:eastAsia="Microsoft JhengHei" w:cs="Microsoft JhengHei"/>
                <w:b/>
              </w:rPr>
              <w:t>06</w:t>
            </w:r>
            <w:r w:rsidRPr="00341788">
              <w:rPr>
                <w:rFonts w:ascii="Microsoft JhengHei" w:eastAsia="Microsoft JhengHei" w:hAnsi="Microsoft JhengHei" w:cs="Microsoft JhengHei" w:hint="eastAsia"/>
                <w:b/>
              </w:rPr>
              <w:t>․</w:t>
            </w:r>
            <w:r w:rsidRPr="00341788">
              <w:rPr>
                <w:rFonts w:eastAsia="Microsoft JhengHei" w:cs="Microsoft JhengHei"/>
                <w:b/>
              </w:rPr>
              <w:t>2024 թ</w:t>
            </w:r>
            <w:r w:rsidRPr="00341788">
              <w:rPr>
                <w:rFonts w:ascii="Microsoft JhengHei" w:eastAsia="Microsoft JhengHei" w:hAnsi="Microsoft JhengHei" w:cs="Microsoft JhengHei" w:hint="eastAsia"/>
                <w:b/>
              </w:rPr>
              <w:t>․</w:t>
            </w:r>
          </w:p>
        </w:tc>
      </w:tr>
      <w:tr w:rsidR="000A58F9" w14:paraId="14156A2C" w14:textId="77777777" w:rsidTr="00D231EB">
        <w:tc>
          <w:tcPr>
            <w:tcW w:w="450" w:type="dxa"/>
            <w:vMerge/>
            <w:shd w:val="clear" w:color="auto" w:fill="D9D9D9" w:themeFill="background1" w:themeFillShade="D9"/>
          </w:tcPr>
          <w:p w14:paraId="5FA59047" w14:textId="77777777" w:rsidR="000A58F9" w:rsidRDefault="000A58F9" w:rsidP="0097176E">
            <w:pPr>
              <w:spacing w:after="0" w:line="240" w:lineRule="auto"/>
              <w:jc w:val="center"/>
              <w:rPr>
                <w:b/>
                <w:sz w:val="24"/>
                <w:szCs w:val="24"/>
              </w:rPr>
            </w:pPr>
          </w:p>
        </w:tc>
        <w:tc>
          <w:tcPr>
            <w:tcW w:w="5850" w:type="dxa"/>
            <w:vMerge/>
            <w:shd w:val="clear" w:color="auto" w:fill="D9D9D9" w:themeFill="background1" w:themeFillShade="D9"/>
          </w:tcPr>
          <w:p w14:paraId="6D9CD679" w14:textId="77777777" w:rsidR="000A58F9" w:rsidRDefault="000A58F9" w:rsidP="0097176E">
            <w:pPr>
              <w:spacing w:after="0" w:line="240" w:lineRule="auto"/>
              <w:jc w:val="center"/>
              <w:rPr>
                <w:b/>
                <w:sz w:val="24"/>
                <w:szCs w:val="24"/>
              </w:rPr>
            </w:pPr>
          </w:p>
        </w:tc>
        <w:tc>
          <w:tcPr>
            <w:tcW w:w="4320" w:type="dxa"/>
            <w:shd w:val="clear" w:color="auto" w:fill="D9D9D9" w:themeFill="background1" w:themeFillShade="D9"/>
          </w:tcPr>
          <w:p w14:paraId="34DCC244" w14:textId="1BB2E5CE" w:rsidR="000A58F9" w:rsidRDefault="000A58F9" w:rsidP="0097176E">
            <w:pPr>
              <w:spacing w:after="0" w:line="240" w:lineRule="auto"/>
              <w:jc w:val="center"/>
              <w:rPr>
                <w:b/>
                <w:sz w:val="24"/>
                <w:szCs w:val="24"/>
              </w:rPr>
            </w:pPr>
            <w:r w:rsidRPr="00341788">
              <w:rPr>
                <w:b/>
              </w:rPr>
              <w:t>№01/3-3/19871-2024</w:t>
            </w:r>
          </w:p>
        </w:tc>
      </w:tr>
      <w:tr w:rsidR="000A58F9" w14:paraId="571A3604" w14:textId="77777777" w:rsidTr="00D231EB">
        <w:tc>
          <w:tcPr>
            <w:tcW w:w="450" w:type="dxa"/>
            <w:shd w:val="clear" w:color="auto" w:fill="auto"/>
          </w:tcPr>
          <w:p w14:paraId="042F70B7" w14:textId="77777777" w:rsidR="000A58F9" w:rsidRDefault="000A58F9" w:rsidP="0097176E">
            <w:pPr>
              <w:jc w:val="center"/>
              <w:rPr>
                <w:sz w:val="24"/>
                <w:szCs w:val="24"/>
              </w:rPr>
            </w:pPr>
          </w:p>
        </w:tc>
        <w:tc>
          <w:tcPr>
            <w:tcW w:w="5850" w:type="dxa"/>
            <w:shd w:val="clear" w:color="auto" w:fill="auto"/>
          </w:tcPr>
          <w:p w14:paraId="2B03C086" w14:textId="77777777" w:rsidR="000A58F9" w:rsidRDefault="000A58F9" w:rsidP="0097176E">
            <w:pPr>
              <w:jc w:val="both"/>
              <w:rPr>
                <w:sz w:val="24"/>
                <w:szCs w:val="24"/>
              </w:rPr>
            </w:pPr>
            <w:r>
              <w:rPr>
                <w:sz w:val="24"/>
                <w:szCs w:val="24"/>
              </w:rPr>
              <w:t>ՀՀ պետական եկամուտների կոմիտեն քննարկել է «Հայաստանի Հանրապետության հարկային օրենսգրքում փոփոխություն կատարելու մասին» ՀՀ օրենքի նախագիծը, որի վերաբերյալ հայտնում ենք հետևյալը։</w:t>
            </w:r>
          </w:p>
          <w:p w14:paraId="49FD9651" w14:textId="77777777" w:rsidR="000A58F9" w:rsidRDefault="000A58F9" w:rsidP="0097176E">
            <w:pPr>
              <w:jc w:val="both"/>
              <w:rPr>
                <w:sz w:val="24"/>
                <w:szCs w:val="24"/>
              </w:rPr>
            </w:pPr>
            <w:r>
              <w:rPr>
                <w:sz w:val="24"/>
                <w:szCs w:val="24"/>
              </w:rPr>
              <w:t>ՀՀ հարկային օրենսգրքի 123-րդ հոդվածի 1-ին մասի համաձայն՝ 100 հազ</w:t>
            </w:r>
            <w:r>
              <w:rPr>
                <w:rFonts w:ascii="Cambria Math" w:eastAsia="Cambria Math" w:hAnsi="Cambria Math" w:cs="Cambria Math"/>
                <w:sz w:val="24"/>
                <w:szCs w:val="24"/>
              </w:rPr>
              <w:t>․</w:t>
            </w:r>
            <w:r>
              <w:rPr>
                <w:sz w:val="24"/>
                <w:szCs w:val="24"/>
              </w:rPr>
              <w:t xml:space="preserve"> դրամը գերազանցող ընդհանուր գումարով դեբիտորական պարտքը համարվում է անհուսալի՝ դեբիտորական պարտքի գումարը բռնագանձելու պահանջը բավարարելու կամ մերժելու վերաբերյալ դատական ակտի (վճռի, որոշման կամ կարգադրության, բացառությամբ դեբիտորական պարտքի գումարը ներելու կամ այն որևէ հիմքով չպահանջելու վերաբերյալ կայացված </w:t>
            </w:r>
            <w:r>
              <w:rPr>
                <w:sz w:val="24"/>
                <w:szCs w:val="24"/>
              </w:rPr>
              <w:lastRenderedPageBreak/>
              <w:t>վճռի, որոշման կամ կարգադրության)՝ օրինական ուժի մեջ մտնելու օրվանից։</w:t>
            </w:r>
          </w:p>
          <w:p w14:paraId="207C7FC3" w14:textId="77777777" w:rsidR="000A58F9" w:rsidRDefault="000A58F9" w:rsidP="0097176E">
            <w:pPr>
              <w:jc w:val="both"/>
              <w:rPr>
                <w:sz w:val="24"/>
                <w:szCs w:val="24"/>
              </w:rPr>
            </w:pPr>
            <w:r>
              <w:rPr>
                <w:sz w:val="24"/>
                <w:szCs w:val="24"/>
              </w:rPr>
              <w:t>Ներկայացված նախագծով առաջարկվում է 100 հազ</w:t>
            </w:r>
            <w:r>
              <w:rPr>
                <w:rFonts w:ascii="Cambria Math" w:eastAsia="Cambria Math" w:hAnsi="Cambria Math" w:cs="Cambria Math"/>
                <w:sz w:val="24"/>
                <w:szCs w:val="24"/>
              </w:rPr>
              <w:t>․</w:t>
            </w:r>
            <w:r>
              <w:rPr>
                <w:sz w:val="24"/>
                <w:szCs w:val="24"/>
              </w:rPr>
              <w:t xml:space="preserve"> դրամ շեմը բարձրացնել՝ այն սահմանելով 300 հազ</w:t>
            </w:r>
            <w:r>
              <w:rPr>
                <w:rFonts w:ascii="Cambria Math" w:eastAsia="Cambria Math" w:hAnsi="Cambria Math" w:cs="Cambria Math"/>
                <w:sz w:val="24"/>
                <w:szCs w:val="24"/>
              </w:rPr>
              <w:t>․</w:t>
            </w:r>
            <w:r>
              <w:rPr>
                <w:sz w:val="24"/>
                <w:szCs w:val="24"/>
              </w:rPr>
              <w:t xml:space="preserve"> դրամ։ Միաժամանակ՝ դեբիտորական պարտքերի անհուսալի ճանաչման հետ կապված վարչարարությունը պարզեցնելու նպատակով հնարավորություն ընձեռել դեբիտորական պարտքը անհուսալի ճանաչել ոչ միայն դատական ակտի, այլև վեճն արբիտրաժի լուծմանը հանձնելու դեպքում՝ արբիտրաժային վարույթի ընդունման, ինչպես նաև մինչև 2 մլն</w:t>
            </w:r>
            <w:r>
              <w:rPr>
                <w:rFonts w:ascii="Cambria Math" w:eastAsia="Cambria Math" w:hAnsi="Cambria Math" w:cs="Cambria Math"/>
                <w:sz w:val="24"/>
                <w:szCs w:val="24"/>
              </w:rPr>
              <w:t>․</w:t>
            </w:r>
            <w:r>
              <w:rPr>
                <w:sz w:val="24"/>
                <w:szCs w:val="24"/>
              </w:rPr>
              <w:t xml:space="preserve"> դրամ գումարի բռնագանձման պահանջով նոտարի կողմից արձակված կարգադրության հիման վրա։ </w:t>
            </w:r>
          </w:p>
          <w:p w14:paraId="633E299D" w14:textId="77777777" w:rsidR="000A58F9" w:rsidRDefault="000A58F9" w:rsidP="0097176E">
            <w:pPr>
              <w:spacing w:after="0"/>
              <w:jc w:val="both"/>
              <w:rPr>
                <w:sz w:val="24"/>
                <w:szCs w:val="24"/>
              </w:rPr>
            </w:pPr>
            <w:r>
              <w:rPr>
                <w:sz w:val="24"/>
                <w:szCs w:val="24"/>
              </w:rPr>
              <w:t>Նախագծին կից ներկայացված հիմնավորման համաձայն՝ 132 փոքր և միջին տնտեսավարողների մոտ իրականացված խորքային ուսումնասիրությունը ցույց է տվել, որ 2022թ</w:t>
            </w:r>
            <w:r>
              <w:rPr>
                <w:rFonts w:ascii="Cambria Math" w:eastAsia="Cambria Math" w:hAnsi="Cambria Math" w:cs="Cambria Math"/>
                <w:sz w:val="24"/>
                <w:szCs w:val="24"/>
              </w:rPr>
              <w:t>․</w:t>
            </w:r>
            <w:r>
              <w:rPr>
                <w:sz w:val="24"/>
                <w:szCs w:val="24"/>
              </w:rPr>
              <w:t xml:space="preserve"> սեպտեմբերի դրությամբ կետանցման օրվանից ավելի քան 365 օրից ավել չմարված դեբիտորական պարտքերի վերլուծության արդյունքում տարեկան մինչև 115 մլն</w:t>
            </w:r>
            <w:r>
              <w:rPr>
                <w:rFonts w:ascii="Cambria Math" w:eastAsia="Cambria Math" w:hAnsi="Cambria Math" w:cs="Cambria Math"/>
                <w:sz w:val="24"/>
                <w:szCs w:val="24"/>
              </w:rPr>
              <w:t>․</w:t>
            </w:r>
            <w:r>
              <w:rPr>
                <w:sz w:val="24"/>
                <w:szCs w:val="24"/>
              </w:rPr>
              <w:t xml:space="preserve"> դրամ շրջանառություն ունեցողների՝ 100 հազ</w:t>
            </w:r>
            <w:r>
              <w:rPr>
                <w:rFonts w:ascii="Cambria Math" w:eastAsia="Cambria Math" w:hAnsi="Cambria Math" w:cs="Cambria Math"/>
                <w:sz w:val="24"/>
                <w:szCs w:val="24"/>
              </w:rPr>
              <w:t>․</w:t>
            </w:r>
            <w:r>
              <w:rPr>
                <w:sz w:val="24"/>
                <w:szCs w:val="24"/>
              </w:rPr>
              <w:t xml:space="preserve"> դրամը գերազանցող անհուսալի դեբիտորական պարտավորությունների միջին մեծությունը՝ մեկ հաշվարկային փաստաթղթի հաշվով կազմել է 153 հազ</w:t>
            </w:r>
            <w:r>
              <w:rPr>
                <w:rFonts w:ascii="Cambria Math" w:eastAsia="Cambria Math" w:hAnsi="Cambria Math" w:cs="Cambria Math"/>
                <w:sz w:val="24"/>
                <w:szCs w:val="24"/>
              </w:rPr>
              <w:t>․</w:t>
            </w:r>
            <w:r>
              <w:rPr>
                <w:sz w:val="24"/>
                <w:szCs w:val="24"/>
              </w:rPr>
              <w:t xml:space="preserve"> դրամ, իսկ 115 մլն</w:t>
            </w:r>
            <w:r>
              <w:rPr>
                <w:rFonts w:ascii="Cambria Math" w:eastAsia="Cambria Math" w:hAnsi="Cambria Math" w:cs="Cambria Math"/>
                <w:sz w:val="24"/>
                <w:szCs w:val="24"/>
              </w:rPr>
              <w:t>․</w:t>
            </w:r>
            <w:r>
              <w:rPr>
                <w:sz w:val="24"/>
                <w:szCs w:val="24"/>
              </w:rPr>
              <w:t xml:space="preserve"> դրամը գերազանցող շրջանառություն ունեցողներինը՝ 257 հազ</w:t>
            </w:r>
            <w:r>
              <w:rPr>
                <w:rFonts w:ascii="Cambria Math" w:eastAsia="Cambria Math" w:hAnsi="Cambria Math" w:cs="Cambria Math"/>
                <w:sz w:val="24"/>
                <w:szCs w:val="24"/>
              </w:rPr>
              <w:t>․</w:t>
            </w:r>
            <w:r>
              <w:rPr>
                <w:sz w:val="24"/>
                <w:szCs w:val="24"/>
              </w:rPr>
              <w:t xml:space="preserve"> դրամ: Ընդ որում՝ խոշոր տնտեսավարողներն ունեն համապատասխան մասնագետներ և կարող են որոշակիորեն կրճատել դատական գործընթացներին առնչվող ծախսերը, իսկ փոքր տնտեսավարողներն, ընդհակառակը, չունեն անհրաժեշտ կարողություններ իրենց ուժերով դատարան դիմելու և ստիպված են յուրաքանչյուր դեպքի համար վճարել փաստաբանին, ինչը մեծացնում է միավոր </w:t>
            </w:r>
            <w:r>
              <w:rPr>
                <w:sz w:val="24"/>
                <w:szCs w:val="24"/>
              </w:rPr>
              <w:lastRenderedPageBreak/>
              <w:t>անհուսալի դեբիտորական պարտքին բաժին ընկնող վարչարարական ծախսը։</w:t>
            </w:r>
          </w:p>
          <w:p w14:paraId="62CF5AB4" w14:textId="77777777" w:rsidR="000A58F9" w:rsidRDefault="000A58F9" w:rsidP="0097176E">
            <w:pPr>
              <w:spacing w:after="0"/>
              <w:jc w:val="both"/>
              <w:rPr>
                <w:sz w:val="24"/>
                <w:szCs w:val="24"/>
              </w:rPr>
            </w:pPr>
            <w:r>
              <w:rPr>
                <w:sz w:val="24"/>
                <w:szCs w:val="24"/>
              </w:rPr>
              <w:t>Բացի այդ, 100 հազ</w:t>
            </w:r>
            <w:r>
              <w:rPr>
                <w:rFonts w:ascii="Cambria Math" w:eastAsia="Cambria Math" w:hAnsi="Cambria Math" w:cs="Cambria Math"/>
                <w:sz w:val="24"/>
                <w:szCs w:val="24"/>
              </w:rPr>
              <w:t>․</w:t>
            </w:r>
            <w:r>
              <w:rPr>
                <w:sz w:val="24"/>
                <w:szCs w:val="24"/>
              </w:rPr>
              <w:t xml:space="preserve"> դրամ շեմը գործում է 2002թ</w:t>
            </w:r>
            <w:r>
              <w:rPr>
                <w:rFonts w:ascii="Cambria Math" w:eastAsia="Cambria Math" w:hAnsi="Cambria Math" w:cs="Cambria Math"/>
                <w:sz w:val="24"/>
                <w:szCs w:val="24"/>
              </w:rPr>
              <w:t>․</w:t>
            </w:r>
            <w:r>
              <w:rPr>
                <w:sz w:val="24"/>
                <w:szCs w:val="24"/>
              </w:rPr>
              <w:t xml:space="preserve"> դեկտեմբերի 31-ից և գործում է մոտ 21 տարի։ Նշված ժամանակահատվածում գնաճի ցուցանիշը կազմել է 113.74%, որով ճշգրտելու դեպքում միայն 100 հազ</w:t>
            </w:r>
            <w:r>
              <w:rPr>
                <w:rFonts w:ascii="Cambria Math" w:eastAsia="Cambria Math" w:hAnsi="Cambria Math" w:cs="Cambria Math"/>
                <w:sz w:val="24"/>
                <w:szCs w:val="24"/>
              </w:rPr>
              <w:t>․</w:t>
            </w:r>
            <w:r>
              <w:rPr>
                <w:sz w:val="24"/>
                <w:szCs w:val="24"/>
              </w:rPr>
              <w:t xml:space="preserve"> դրամը կկազմի 224 հազ</w:t>
            </w:r>
            <w:r>
              <w:rPr>
                <w:rFonts w:ascii="Cambria Math" w:eastAsia="Cambria Math" w:hAnsi="Cambria Math" w:cs="Cambria Math"/>
                <w:sz w:val="24"/>
                <w:szCs w:val="24"/>
              </w:rPr>
              <w:t>․</w:t>
            </w:r>
            <w:r>
              <w:rPr>
                <w:sz w:val="24"/>
                <w:szCs w:val="24"/>
              </w:rPr>
              <w:t xml:space="preserve"> դրամ։</w:t>
            </w:r>
          </w:p>
          <w:p w14:paraId="47D79018" w14:textId="77777777" w:rsidR="000A58F9" w:rsidRDefault="000A58F9" w:rsidP="0097176E">
            <w:pPr>
              <w:jc w:val="both"/>
              <w:rPr>
                <w:sz w:val="24"/>
                <w:szCs w:val="24"/>
              </w:rPr>
            </w:pPr>
            <w:r>
              <w:rPr>
                <w:sz w:val="24"/>
                <w:szCs w:val="24"/>
              </w:rPr>
              <w:t>Հաշվի առնելով վերոգրյալը՝ հայտնում ենք, որ նախագծի հիմնավորմամբ ներկայացված հաշվարկները բավարար չեն 100 հազ</w:t>
            </w:r>
            <w:r>
              <w:rPr>
                <w:rFonts w:ascii="Cambria Math" w:eastAsia="Cambria Math" w:hAnsi="Cambria Math" w:cs="Cambria Math"/>
                <w:sz w:val="24"/>
                <w:szCs w:val="24"/>
              </w:rPr>
              <w:t>․</w:t>
            </w:r>
            <w:r>
              <w:rPr>
                <w:sz w:val="24"/>
                <w:szCs w:val="24"/>
              </w:rPr>
              <w:t xml:space="preserve"> դրամ շեմը 300 հազ</w:t>
            </w:r>
            <w:r>
              <w:rPr>
                <w:rFonts w:ascii="Cambria Math" w:eastAsia="Cambria Math" w:hAnsi="Cambria Math" w:cs="Cambria Math"/>
                <w:sz w:val="24"/>
                <w:szCs w:val="24"/>
              </w:rPr>
              <w:t>․</w:t>
            </w:r>
            <w:r>
              <w:rPr>
                <w:sz w:val="24"/>
                <w:szCs w:val="24"/>
              </w:rPr>
              <w:t xml:space="preserve"> դրամ բարձրացնելու համար։ Այսպես՝ ներկայացված չէ փոքր տնտեսավարողների կողմից դատական գործընթացներին առնչվող (այդ թվում՝ դատարան դիմելու համար յուրաքանչյուր դեպքի համար փաստաբանին վճարվող գումարների)՝ միավոր անհուսալի դեբիտորական պարտքին բաժին ընկնող վարչարարական ծախսի վերաբերյալ որևէ հաշվարկ։ Ինչ վերաբերում է ՓՄՁ  զարգացման խորհրդի քննարկումների ժամանակ հնչեցված՝ դատական գործընթացին առնչվող ծախսը 106 հազ</w:t>
            </w:r>
            <w:r>
              <w:rPr>
                <w:rFonts w:ascii="Cambria Math" w:eastAsia="Cambria Math" w:hAnsi="Cambria Math" w:cs="Cambria Math"/>
                <w:sz w:val="24"/>
                <w:szCs w:val="24"/>
              </w:rPr>
              <w:t>․</w:t>
            </w:r>
            <w:r>
              <w:rPr>
                <w:sz w:val="24"/>
                <w:szCs w:val="24"/>
              </w:rPr>
              <w:t xml:space="preserve"> դրամ կազմելուն, ապա անգամ այդ պարագայում տնտեսավարողները (այդ թվում՝ փոքր և միջին) նշված ծախսը կատարելով հնարավորություն են ստանում 100 հազ</w:t>
            </w:r>
            <w:r>
              <w:rPr>
                <w:rFonts w:ascii="Cambria Math" w:eastAsia="Cambria Math" w:hAnsi="Cambria Math" w:cs="Cambria Math"/>
                <w:sz w:val="24"/>
                <w:szCs w:val="24"/>
              </w:rPr>
              <w:t>․</w:t>
            </w:r>
            <w:r>
              <w:rPr>
                <w:sz w:val="24"/>
                <w:szCs w:val="24"/>
              </w:rPr>
              <w:t xml:space="preserve"> դրամից ավելի դեբիտորական պարտքերը պարտապանից ստանալու համար։ Հարկ ենք համարում նշել, որ մինչև 100 հազ</w:t>
            </w:r>
            <w:r>
              <w:rPr>
                <w:rFonts w:ascii="Cambria Math" w:eastAsia="Cambria Math" w:hAnsi="Cambria Math" w:cs="Cambria Math"/>
                <w:sz w:val="24"/>
                <w:szCs w:val="24"/>
              </w:rPr>
              <w:t>․</w:t>
            </w:r>
            <w:r>
              <w:rPr>
                <w:sz w:val="24"/>
                <w:szCs w:val="24"/>
              </w:rPr>
              <w:t xml:space="preserve"> դրամ ընդհանուր գումարով դեբիտորական պարտքերը անհուսալի ճանաչելու համար դատական ակտի պահանջ ՀՀ հարկային օրենսդրությամբ նախատեսված չէ։ </w:t>
            </w:r>
          </w:p>
          <w:p w14:paraId="33BFC75B" w14:textId="77777777" w:rsidR="000A58F9" w:rsidRDefault="000A58F9" w:rsidP="0097176E">
            <w:pPr>
              <w:spacing w:after="0"/>
              <w:jc w:val="both"/>
              <w:rPr>
                <w:sz w:val="24"/>
                <w:szCs w:val="24"/>
              </w:rPr>
            </w:pPr>
            <w:r>
              <w:rPr>
                <w:sz w:val="24"/>
                <w:szCs w:val="24"/>
              </w:rPr>
              <w:t>Հայտնում ենք նաև, որ վերոնշյալ դրույթը սահմանված էր դեռևս «Շահութահարկի մասին» ՀՀ օրենքի հիման վրա ընդունված՝ ՀՀ կառավարության 31</w:t>
            </w:r>
            <w:r>
              <w:rPr>
                <w:rFonts w:ascii="Cambria Math" w:eastAsia="Cambria Math" w:hAnsi="Cambria Math" w:cs="Cambria Math"/>
                <w:sz w:val="24"/>
                <w:szCs w:val="24"/>
              </w:rPr>
              <w:t>․</w:t>
            </w:r>
            <w:r>
              <w:rPr>
                <w:sz w:val="24"/>
                <w:szCs w:val="24"/>
              </w:rPr>
              <w:t>12</w:t>
            </w:r>
            <w:r>
              <w:rPr>
                <w:rFonts w:ascii="Cambria Math" w:eastAsia="Cambria Math" w:hAnsi="Cambria Math" w:cs="Cambria Math"/>
                <w:sz w:val="24"/>
                <w:szCs w:val="24"/>
              </w:rPr>
              <w:t>․</w:t>
            </w:r>
            <w:r>
              <w:rPr>
                <w:sz w:val="24"/>
                <w:szCs w:val="24"/>
              </w:rPr>
              <w:t>2002թ</w:t>
            </w:r>
            <w:r>
              <w:rPr>
                <w:rFonts w:ascii="Cambria Math" w:eastAsia="Cambria Math" w:hAnsi="Cambria Math" w:cs="Cambria Math"/>
                <w:sz w:val="24"/>
                <w:szCs w:val="24"/>
              </w:rPr>
              <w:t>․</w:t>
            </w:r>
            <w:r>
              <w:rPr>
                <w:sz w:val="24"/>
                <w:szCs w:val="24"/>
              </w:rPr>
              <w:t xml:space="preserve"> N2052-Ն որոշմամբ և նպատակ էր հետապնդում զսպողական դեր </w:t>
            </w:r>
            <w:r>
              <w:rPr>
                <w:sz w:val="24"/>
                <w:szCs w:val="24"/>
              </w:rPr>
              <w:lastRenderedPageBreak/>
              <w:t>կատարել՝ չարաշահումներից խուսափելու համար։ Այդ իսկ պատճառով ընդունելի չէ նաև արբիտրաժային վարույթի ընդունման կամ մինչև 2 մլն</w:t>
            </w:r>
            <w:r>
              <w:rPr>
                <w:rFonts w:ascii="Cambria Math" w:eastAsia="Cambria Math" w:hAnsi="Cambria Math" w:cs="Cambria Math"/>
                <w:sz w:val="24"/>
                <w:szCs w:val="24"/>
              </w:rPr>
              <w:t>․</w:t>
            </w:r>
            <w:r>
              <w:rPr>
                <w:sz w:val="24"/>
                <w:szCs w:val="24"/>
              </w:rPr>
              <w:t xml:space="preserve"> դրամ գումարի բռնագանձման պահանջով նոտարի կողմից արձակված կարգադրության հիման վրա դեբիտորական պարտքերի անհուսալի ճանաչելու վերաբերյալ առաջարկը։ Ավելին՝ արբիտրաժային վարույթի ընդունման կամ մինչև 2 մլն</w:t>
            </w:r>
            <w:r>
              <w:rPr>
                <w:rFonts w:ascii="Cambria Math" w:eastAsia="Cambria Math" w:hAnsi="Cambria Math" w:cs="Cambria Math"/>
                <w:sz w:val="24"/>
                <w:szCs w:val="24"/>
              </w:rPr>
              <w:t>․</w:t>
            </w:r>
            <w:r>
              <w:rPr>
                <w:sz w:val="24"/>
                <w:szCs w:val="24"/>
              </w:rPr>
              <w:t xml:space="preserve"> դրամ գումարի բռնագանձման պահանջով նոտարի կողմից արձակված կարգադրությունը ստանալու համար ևս անհրաժեշտ են համապատասխան ֆինանսական միջոցներ (հաշվարկները բացակայում են) և այս պարագայում անհիմն է դառնում նախագծին կից ներկայացված հիմնավորմամբ բերված այն փաստարկը, որ նախագծի ընդունումը պայմանավորված է դեբիտորական պարտքերը անհուսալի ճանաչելու համար վարչարարական ծախսերի նվազեցման հետ։ </w:t>
            </w:r>
          </w:p>
          <w:p w14:paraId="5F4FB158" w14:textId="77777777" w:rsidR="000A58F9" w:rsidRDefault="000A58F9" w:rsidP="0097176E">
            <w:pPr>
              <w:spacing w:after="0"/>
              <w:jc w:val="both"/>
              <w:rPr>
                <w:sz w:val="24"/>
                <w:szCs w:val="24"/>
              </w:rPr>
            </w:pPr>
            <w:r>
              <w:rPr>
                <w:sz w:val="24"/>
                <w:szCs w:val="24"/>
              </w:rPr>
              <w:t>Բացի այդ, ներկայացված չեն ինչպես շեմի բարձրացման, այնպես էլ արբիտրաժային վարույթի ընդունման կամ մինչև 2 մլն</w:t>
            </w:r>
            <w:r>
              <w:rPr>
                <w:rFonts w:ascii="Cambria Math" w:eastAsia="Cambria Math" w:hAnsi="Cambria Math" w:cs="Cambria Math"/>
                <w:sz w:val="24"/>
                <w:szCs w:val="24"/>
              </w:rPr>
              <w:t>․</w:t>
            </w:r>
            <w:r>
              <w:rPr>
                <w:sz w:val="24"/>
                <w:szCs w:val="24"/>
              </w:rPr>
              <w:t xml:space="preserve"> դրամ գումարի բռնագանձման պահանջով նոտարի կողմից արձակված կարգադրության հիման վրա դեբիտորական պարտքերի անհուսալի ճանաչման  </w:t>
            </w:r>
          </w:p>
          <w:p w14:paraId="0F535B28" w14:textId="77777777" w:rsidR="000A58F9" w:rsidRDefault="000A58F9" w:rsidP="0097176E">
            <w:pPr>
              <w:jc w:val="both"/>
              <w:rPr>
                <w:sz w:val="24"/>
                <w:szCs w:val="24"/>
              </w:rPr>
            </w:pPr>
            <w:r>
              <w:rPr>
                <w:sz w:val="24"/>
                <w:szCs w:val="24"/>
              </w:rPr>
              <w:t>Այդ նկատառումից ելնելով՝ ՀՀ պետական եկամուտների կոմիտեն նախագծի ընդունումը գտնում է ոչ նպատակահարմար։</w:t>
            </w:r>
          </w:p>
        </w:tc>
        <w:tc>
          <w:tcPr>
            <w:tcW w:w="4320" w:type="dxa"/>
            <w:shd w:val="clear" w:color="auto" w:fill="auto"/>
          </w:tcPr>
          <w:p w14:paraId="0BDCCD60" w14:textId="4EF11B6B" w:rsidR="000A58F9" w:rsidRDefault="000A58F9" w:rsidP="0097176E">
            <w:pPr>
              <w:jc w:val="center"/>
              <w:rPr>
                <w:b/>
                <w:sz w:val="24"/>
                <w:szCs w:val="24"/>
              </w:rPr>
            </w:pPr>
            <w:r>
              <w:rPr>
                <w:b/>
                <w:sz w:val="24"/>
                <w:szCs w:val="24"/>
              </w:rPr>
              <w:lastRenderedPageBreak/>
              <w:t>Չի ընդունվել։</w:t>
            </w:r>
          </w:p>
          <w:p w14:paraId="78832E13" w14:textId="77777777" w:rsidR="000A58F9" w:rsidRPr="0097176E" w:rsidRDefault="000A58F9" w:rsidP="0097176E">
            <w:pPr>
              <w:jc w:val="both"/>
              <w:rPr>
                <w:b/>
                <w:bCs/>
                <w:i/>
                <w:iCs/>
                <w:sz w:val="24"/>
                <w:szCs w:val="24"/>
              </w:rPr>
            </w:pPr>
            <w:r w:rsidRPr="0097176E">
              <w:rPr>
                <w:b/>
                <w:bCs/>
                <w:i/>
                <w:iCs/>
                <w:sz w:val="24"/>
                <w:szCs w:val="24"/>
              </w:rPr>
              <w:t>Նշված չափով շեմի սահմանման կարևորությունը ընդունելի է համարվել նաև փոխվարչապետ Տիգրան Խաչատրյանի կողմից՝ 24.07.2024թ</w:t>
            </w:r>
            <w:r w:rsidRPr="0097176E">
              <w:rPr>
                <w:rFonts w:ascii="Cambria Math" w:eastAsia="Cambria Math" w:hAnsi="Cambria Math" w:cs="Cambria Math"/>
                <w:b/>
                <w:bCs/>
                <w:i/>
                <w:iCs/>
                <w:sz w:val="24"/>
                <w:szCs w:val="24"/>
              </w:rPr>
              <w:t>․</w:t>
            </w:r>
            <w:r w:rsidRPr="0097176E">
              <w:rPr>
                <w:b/>
                <w:bCs/>
                <w:i/>
                <w:iCs/>
                <w:sz w:val="24"/>
                <w:szCs w:val="24"/>
              </w:rPr>
              <w:t xml:space="preserve"> վերջինիս գլխավորությամբ կայացած ՓՄՁ զարգացման խորհրդի նիստի շրջանակներում։ Աշխատանքային կարգով համաձայնեցվել է Ֆինանսների նախարարության և Պետական եկամուտների կոմիտեի հետ։ </w:t>
            </w:r>
          </w:p>
          <w:p w14:paraId="615AEEAC" w14:textId="77777777" w:rsidR="000A58F9" w:rsidRDefault="000A58F9" w:rsidP="0097176E">
            <w:pPr>
              <w:jc w:val="both"/>
              <w:rPr>
                <w:b/>
                <w:sz w:val="24"/>
                <w:szCs w:val="24"/>
              </w:rPr>
            </w:pPr>
          </w:p>
          <w:p w14:paraId="30BF8610" w14:textId="77777777" w:rsidR="000A58F9" w:rsidRDefault="000A58F9" w:rsidP="0097176E">
            <w:pPr>
              <w:jc w:val="both"/>
              <w:rPr>
                <w:sz w:val="24"/>
                <w:szCs w:val="24"/>
              </w:rPr>
            </w:pPr>
            <w:r>
              <w:rPr>
                <w:sz w:val="24"/>
                <w:szCs w:val="24"/>
              </w:rPr>
              <w:lastRenderedPageBreak/>
              <w:t xml:space="preserve">Առաջարկվող շեմի առարկության մասով հարկ է նկատի ունենալ, որ հիմնավորմամբ ներկայացված անհուսալի դեբիտորական պարտքերի մեծությունները ներկայացված են թվաբանական միջին արժեքների տեսքով, ինչը ցույց է տալիս, որ դեպքերի մի զգալի մասում անհուսալի դեբիտորական պարտավորությունների մեծությունը </w:t>
            </w:r>
            <w:r>
              <w:rPr>
                <w:b/>
                <w:sz w:val="24"/>
                <w:szCs w:val="24"/>
              </w:rPr>
              <w:t>էապես գերազանցում</w:t>
            </w:r>
            <w:r>
              <w:rPr>
                <w:sz w:val="24"/>
                <w:szCs w:val="24"/>
              </w:rPr>
              <w:t xml:space="preserve"> է՝</w:t>
            </w:r>
            <w:r>
              <w:t xml:space="preserve"> </w:t>
            </w:r>
            <w:r>
              <w:rPr>
                <w:sz w:val="24"/>
                <w:szCs w:val="24"/>
              </w:rPr>
              <w:t>մինչև 115 մլն</w:t>
            </w:r>
            <w:r>
              <w:rPr>
                <w:rFonts w:ascii="Cambria Math" w:eastAsia="Cambria Math" w:hAnsi="Cambria Math" w:cs="Cambria Math"/>
                <w:sz w:val="24"/>
                <w:szCs w:val="24"/>
              </w:rPr>
              <w:t>․</w:t>
            </w:r>
            <w:r>
              <w:rPr>
                <w:sz w:val="24"/>
                <w:szCs w:val="24"/>
              </w:rPr>
              <w:t xml:space="preserve"> դրամ շրջանառություն ունեցողների համար  153 հազ</w:t>
            </w:r>
            <w:r>
              <w:rPr>
                <w:rFonts w:ascii="Cambria Math" w:eastAsia="Cambria Math" w:hAnsi="Cambria Math" w:cs="Cambria Math"/>
                <w:sz w:val="24"/>
                <w:szCs w:val="24"/>
              </w:rPr>
              <w:t>․</w:t>
            </w:r>
            <w:r>
              <w:rPr>
                <w:sz w:val="24"/>
                <w:szCs w:val="24"/>
              </w:rPr>
              <w:t xml:space="preserve"> և 115 մլն</w:t>
            </w:r>
            <w:r>
              <w:rPr>
                <w:rFonts w:ascii="Cambria Math" w:eastAsia="Cambria Math" w:hAnsi="Cambria Math" w:cs="Cambria Math"/>
                <w:sz w:val="24"/>
                <w:szCs w:val="24"/>
              </w:rPr>
              <w:t>․</w:t>
            </w:r>
            <w:r>
              <w:rPr>
                <w:sz w:val="24"/>
                <w:szCs w:val="24"/>
              </w:rPr>
              <w:t xml:space="preserve"> դրամը գերազանցող շրջանառություն ունեցողների համար՝ 257 հազ</w:t>
            </w:r>
            <w:r>
              <w:rPr>
                <w:rFonts w:ascii="Cambria Math" w:eastAsia="Cambria Math" w:hAnsi="Cambria Math" w:cs="Cambria Math"/>
                <w:sz w:val="24"/>
                <w:szCs w:val="24"/>
              </w:rPr>
              <w:t>․</w:t>
            </w:r>
            <w:r>
              <w:rPr>
                <w:sz w:val="24"/>
                <w:szCs w:val="24"/>
              </w:rPr>
              <w:t xml:space="preserve"> դրամ մեծությունները։</w:t>
            </w:r>
          </w:p>
          <w:p w14:paraId="3E86D167" w14:textId="77777777" w:rsidR="000A58F9" w:rsidRDefault="000A58F9" w:rsidP="0097176E">
            <w:pPr>
              <w:pBdr>
                <w:top w:val="nil"/>
                <w:left w:val="nil"/>
                <w:bottom w:val="nil"/>
                <w:right w:val="nil"/>
                <w:between w:val="nil"/>
              </w:pBdr>
              <w:spacing w:after="160"/>
              <w:jc w:val="both"/>
              <w:rPr>
                <w:color w:val="000000"/>
                <w:sz w:val="24"/>
                <w:szCs w:val="24"/>
              </w:rPr>
            </w:pPr>
            <w:r>
              <w:rPr>
                <w:color w:val="000000"/>
                <w:sz w:val="24"/>
                <w:szCs w:val="24"/>
              </w:rPr>
              <w:t xml:space="preserve">ՊԵԿ-ի պատասխանում արձագանք չկա նախագծի հիմնավորման մեջ բերված այլ տվյալների, որոնք ցույց են տալիս 12000 բիզնեսի հաշվարկային փաստաթղթերով արտացոլված գործարքների մեծությունները մեկ տարվա կտրվածքով։ Այսպես, մինչև 115 միլիոն դրամ տարեկան շրջանառություն ունեցող տնտեսավարողների՝ բիզնեսը բիզնեսի (B2B) հետ հարաբերություններում </w:t>
            </w:r>
            <w:r>
              <w:rPr>
                <w:b/>
                <w:color w:val="000000"/>
                <w:sz w:val="24"/>
                <w:szCs w:val="24"/>
              </w:rPr>
              <w:t>մեկ գործարքի միջին կշռված մեծությունը</w:t>
            </w:r>
            <w:r>
              <w:rPr>
                <w:color w:val="000000"/>
                <w:sz w:val="24"/>
                <w:szCs w:val="24"/>
              </w:rPr>
              <w:t xml:space="preserve"> կազմում է 488.860 դրամ, իսկ բիզնեսը սպառողի (B2C) հետ հարաբերություններում՝ 550.261 դրամ։</w:t>
            </w:r>
          </w:p>
          <w:p w14:paraId="551C4218" w14:textId="77777777" w:rsidR="000A58F9" w:rsidRDefault="000A58F9" w:rsidP="0097176E">
            <w:pPr>
              <w:spacing w:after="160"/>
              <w:jc w:val="both"/>
              <w:rPr>
                <w:color w:val="000000"/>
                <w:sz w:val="24"/>
                <w:szCs w:val="24"/>
              </w:rPr>
            </w:pPr>
            <w:r>
              <w:rPr>
                <w:color w:val="000000"/>
                <w:sz w:val="24"/>
                <w:szCs w:val="24"/>
              </w:rPr>
              <w:lastRenderedPageBreak/>
              <w:t>Նույն ցուցանիշը 115 միլիոն դրամից ավելի շրջանառություն ունեցողների համար կազմել է համապատասխանաբար 635.312 և 1.730.000 դրամ։</w:t>
            </w:r>
          </w:p>
          <w:p w14:paraId="38207F37" w14:textId="77777777" w:rsidR="000A58F9" w:rsidRDefault="000A58F9" w:rsidP="0097176E">
            <w:pPr>
              <w:spacing w:after="160"/>
              <w:jc w:val="both"/>
              <w:rPr>
                <w:sz w:val="24"/>
                <w:szCs w:val="24"/>
              </w:rPr>
            </w:pPr>
            <w:r>
              <w:rPr>
                <w:color w:val="000000"/>
                <w:sz w:val="24"/>
                <w:szCs w:val="24"/>
              </w:rPr>
              <w:t>Այս վիճակագրությունը չի վերաբերում փաստացի անհուսալի դեբիտորական պարտքերին, սակայն ցույց է տալիս դրանց պոտենցիալ հնարավոր մեծությունը։</w:t>
            </w:r>
          </w:p>
          <w:p w14:paraId="51BD3B6B" w14:textId="77777777" w:rsidR="000A58F9" w:rsidRDefault="000A58F9" w:rsidP="0097176E">
            <w:pPr>
              <w:jc w:val="both"/>
              <w:rPr>
                <w:sz w:val="24"/>
                <w:szCs w:val="24"/>
              </w:rPr>
            </w:pPr>
            <w:r w:rsidRPr="0097176E">
              <w:rPr>
                <w:b/>
                <w:i/>
                <w:iCs/>
                <w:sz w:val="24"/>
                <w:szCs w:val="24"/>
              </w:rPr>
              <w:t>Ինֆլյացիայի հետևանքով շեմի բարձրացման անհրաժեշտության վերաբերյալ</w:t>
            </w:r>
            <w:r>
              <w:rPr>
                <w:sz w:val="24"/>
                <w:szCs w:val="24"/>
              </w:rPr>
              <w:t xml:space="preserve"> ՊԵԿ-ն, ըստ էության, դիրքորոշում չի հայտնում։ Առաջարկվող 300.000 դրամ շեմն, իհարկե, ինֆլյացիայով ճշգրտված մեծությունից ավել է 76.000 դրամով՝ հաշվի առնելով միջնաժամկետ հատվածում շեմն անփոփոխ թողնելու տեսլականը։ Շեմի մեծությունը կարող էր նաև քննարկվել, եթե լինեին դրա վերաբերյալ հակափաստարկներ։ Փոխարենը ՊԵԿ-ը նշում է, որ ինֆլյացիայով ճշգրտված շեմը 300.000 դրամից փոքր է, ուստի հիմնավորումն անբավարար է։</w:t>
            </w:r>
          </w:p>
          <w:p w14:paraId="639D5AED" w14:textId="77777777" w:rsidR="000A58F9" w:rsidRDefault="000A58F9" w:rsidP="0097176E">
            <w:pPr>
              <w:jc w:val="both"/>
              <w:rPr>
                <w:sz w:val="24"/>
                <w:szCs w:val="24"/>
              </w:rPr>
            </w:pPr>
            <w:r>
              <w:rPr>
                <w:sz w:val="24"/>
                <w:szCs w:val="24"/>
              </w:rPr>
              <w:t xml:space="preserve">Նույնը վերաբերում է դատական ծախսերին, որոնք առաջանում են 100-300 հազար դրամ գումարով դեբիտորական պարտքերն անհուսալի ճանաչելուն։ Օրինակ՝ 300.000 դրամ գումարի բռնագանձման հայցով դատարան դիմելը և վճիռ ունենալը գործարարի </w:t>
            </w:r>
            <w:r>
              <w:rPr>
                <w:sz w:val="24"/>
                <w:szCs w:val="24"/>
              </w:rPr>
              <w:lastRenderedPageBreak/>
              <w:t xml:space="preserve">համար արժենալու է </w:t>
            </w:r>
            <w:r>
              <w:rPr>
                <w:b/>
                <w:sz w:val="24"/>
                <w:szCs w:val="24"/>
              </w:rPr>
              <w:t xml:space="preserve">առնվազն </w:t>
            </w:r>
            <w:r>
              <w:rPr>
                <w:sz w:val="24"/>
                <w:szCs w:val="24"/>
              </w:rPr>
              <w:t>109.000 դրամ այն պարագայում, երբ դրա արդյունքում շահութահարկի հարկման բազայի նվազեցման արդյունքում պակաս է վճարելու ընդամենը 54.000 դրամ։</w:t>
            </w:r>
          </w:p>
          <w:p w14:paraId="26B614E2" w14:textId="77777777" w:rsidR="000A58F9" w:rsidRDefault="000A58F9" w:rsidP="0097176E">
            <w:pPr>
              <w:jc w:val="both"/>
              <w:rPr>
                <w:sz w:val="24"/>
                <w:szCs w:val="24"/>
              </w:rPr>
            </w:pPr>
            <w:r>
              <w:rPr>
                <w:sz w:val="24"/>
                <w:szCs w:val="24"/>
              </w:rPr>
              <w:t>Որպես դատական ծախսերի հիմնավորում նշված է ՀՀ փաստաբանների պալատի խորհրդի որոշմամբ հաստատված փաստաբանական գործունեության վճարների միջին գնացուցակով սահմանված մեծությունները (բռնագանձման ենթակա գումարի 20%-ը, բայց ոչ պակաս 100.000 դրամը) և դատարան դիմելու պետական տուրքը՝ բռնագանձման ենթակա գումարի 3%-ը։</w:t>
            </w:r>
          </w:p>
          <w:p w14:paraId="324BF353" w14:textId="77777777" w:rsidR="000A58F9" w:rsidRDefault="000A58F9" w:rsidP="0097176E">
            <w:pPr>
              <w:jc w:val="both"/>
              <w:rPr>
                <w:sz w:val="24"/>
                <w:szCs w:val="24"/>
              </w:rPr>
            </w:pPr>
            <w:r>
              <w:rPr>
                <w:sz w:val="24"/>
                <w:szCs w:val="24"/>
              </w:rPr>
              <w:t xml:space="preserve">Ընդունելի չէ նաև ՊԵԿ-ի դիրքորոշումը արտադատական մեխանիզմների կիրառությունը սահմանափակող նորմերի վերացման վերաբերյալ՝ որպես հիմնավորում բերելով հնարավոր չարաշահումները։ Թե ինչպես պետք է արբիտրաժային դատարանները և նոտարներն իրականացնեն գումարի բռնագանձման հայցերով </w:t>
            </w:r>
            <w:bookmarkStart w:id="1" w:name="_GoBack"/>
            <w:r>
              <w:rPr>
                <w:sz w:val="24"/>
                <w:szCs w:val="24"/>
              </w:rPr>
              <w:t>չարաշ</w:t>
            </w:r>
            <w:bookmarkEnd w:id="1"/>
            <w:r>
              <w:rPr>
                <w:sz w:val="24"/>
                <w:szCs w:val="24"/>
              </w:rPr>
              <w:t xml:space="preserve">ահումներ, չի նշվում։ Այս առումով հարկ է ևս մեկ անգամ շեշտել ՀՀ կառավարության հանձնառությունը արտադատական մեխանիզմների զարգացման ուղղությամբ և այդ տրամաբանությամբ նոտարներին մինչև 2 մլն հայցերի դեպքում </w:t>
            </w:r>
            <w:r>
              <w:rPr>
                <w:sz w:val="24"/>
                <w:szCs w:val="24"/>
              </w:rPr>
              <w:lastRenderedPageBreak/>
              <w:t>իրավասությունների վերապահման փաստը։ Միաժամանակ ակնհայտ է, որ այդ ինստիտուտը չի կայանալու, քանի դեռ անհրաժեշտ է նոտարին դիմելուց հետո դիմել նաև դատարան՝ դեբիտորական պարտքն անհուսալի ճանաչելու նպատակով։</w:t>
            </w:r>
          </w:p>
          <w:p w14:paraId="26D867FE" w14:textId="204255FB" w:rsidR="000A58F9" w:rsidRDefault="000A58F9" w:rsidP="0097176E">
            <w:pPr>
              <w:jc w:val="both"/>
              <w:rPr>
                <w:b/>
                <w:sz w:val="24"/>
                <w:szCs w:val="24"/>
              </w:rPr>
            </w:pPr>
            <w:r>
              <w:rPr>
                <w:sz w:val="24"/>
                <w:szCs w:val="24"/>
              </w:rPr>
              <w:t>Ընդգծենք նաև, որ առաջարկված բոլոր փոփոխությունները քննարկվել և հավանության են արժանացել փոխվարչապետ Տիգրան Խաչատրյանի կողմից՝ 19.06.2024թ</w:t>
            </w:r>
            <w:r>
              <w:rPr>
                <w:rFonts w:ascii="Cambria Math" w:eastAsia="Cambria Math" w:hAnsi="Cambria Math" w:cs="Cambria Math"/>
                <w:sz w:val="24"/>
                <w:szCs w:val="24"/>
              </w:rPr>
              <w:t xml:space="preserve">․, </w:t>
            </w:r>
            <w:r w:rsidRPr="0012052C">
              <w:rPr>
                <w:rFonts w:eastAsia="Cambria Math" w:cs="Cambria Math"/>
                <w:sz w:val="24"/>
                <w:szCs w:val="24"/>
              </w:rPr>
              <w:t>24.07.2024թ</w:t>
            </w:r>
            <w:r w:rsidRPr="0012052C">
              <w:rPr>
                <w:rFonts w:ascii="MS Mincho" w:eastAsia="MS Mincho" w:hAnsi="MS Mincho" w:cs="MS Mincho" w:hint="eastAsia"/>
                <w:sz w:val="24"/>
                <w:szCs w:val="24"/>
              </w:rPr>
              <w:t>․</w:t>
            </w:r>
            <w:r>
              <w:rPr>
                <w:sz w:val="24"/>
                <w:szCs w:val="24"/>
              </w:rPr>
              <w:t xml:space="preserve"> վերջինիս գլխավորությամբ կայացած ՓՄՁ զարգացման խորհրդի նիստերի շրջանակներում։</w:t>
            </w:r>
          </w:p>
        </w:tc>
      </w:tr>
      <w:tr w:rsidR="00D231EB" w:rsidRPr="00D231EB" w14:paraId="7DF8C809" w14:textId="77777777" w:rsidTr="00D231EB">
        <w:trPr>
          <w:trHeight w:val="287"/>
        </w:trPr>
        <w:tc>
          <w:tcPr>
            <w:tcW w:w="450" w:type="dxa"/>
            <w:vMerge w:val="restart"/>
            <w:shd w:val="clear" w:color="auto" w:fill="D9D9D9" w:themeFill="background1" w:themeFillShade="D9"/>
          </w:tcPr>
          <w:p w14:paraId="34A3804E" w14:textId="512F073E" w:rsidR="00D231EB" w:rsidRPr="00D231EB" w:rsidRDefault="00D231EB" w:rsidP="0097176E">
            <w:pPr>
              <w:spacing w:after="0" w:line="240" w:lineRule="auto"/>
              <w:jc w:val="center"/>
              <w:rPr>
                <w:b/>
                <w:bCs/>
                <w:sz w:val="24"/>
                <w:szCs w:val="24"/>
                <w:lang w:val="en-US"/>
              </w:rPr>
            </w:pPr>
            <w:bookmarkStart w:id="2" w:name="_Hlk175574459"/>
            <w:r w:rsidRPr="00D231EB">
              <w:rPr>
                <w:b/>
                <w:bCs/>
                <w:sz w:val="24"/>
                <w:szCs w:val="24"/>
                <w:lang w:val="en-US"/>
              </w:rPr>
              <w:lastRenderedPageBreak/>
              <w:t>3.</w:t>
            </w:r>
          </w:p>
        </w:tc>
        <w:tc>
          <w:tcPr>
            <w:tcW w:w="5850" w:type="dxa"/>
            <w:vMerge w:val="restart"/>
            <w:shd w:val="clear" w:color="auto" w:fill="D9D9D9" w:themeFill="background1" w:themeFillShade="D9"/>
          </w:tcPr>
          <w:p w14:paraId="7F7E017B" w14:textId="185F198C" w:rsidR="00D231EB" w:rsidRPr="004C2E68" w:rsidRDefault="00D231EB" w:rsidP="0097176E">
            <w:pPr>
              <w:spacing w:after="0" w:line="240" w:lineRule="auto"/>
              <w:jc w:val="center"/>
              <w:rPr>
                <w:b/>
                <w:bCs/>
                <w:sz w:val="24"/>
                <w:szCs w:val="24"/>
                <w:lang w:val="ru-RU"/>
              </w:rPr>
            </w:pPr>
            <w:r w:rsidRPr="00D231EB">
              <w:rPr>
                <w:b/>
                <w:bCs/>
                <w:sz w:val="24"/>
                <w:szCs w:val="24"/>
              </w:rPr>
              <w:t xml:space="preserve">ՀՀ Պետական եկամուտների կոմիտե </w:t>
            </w:r>
          </w:p>
        </w:tc>
        <w:tc>
          <w:tcPr>
            <w:tcW w:w="4320" w:type="dxa"/>
            <w:shd w:val="clear" w:color="auto" w:fill="D9D9D9" w:themeFill="background1" w:themeFillShade="D9"/>
          </w:tcPr>
          <w:p w14:paraId="200BC106" w14:textId="29757175" w:rsidR="00D231EB" w:rsidRPr="00D231EB" w:rsidRDefault="00D231EB" w:rsidP="0097176E">
            <w:pPr>
              <w:spacing w:after="0" w:line="240" w:lineRule="auto"/>
              <w:jc w:val="center"/>
              <w:rPr>
                <w:rFonts w:ascii="MS Mincho" w:eastAsia="MS Mincho" w:hAnsi="MS Mincho" w:cs="MS Mincho"/>
                <w:b/>
                <w:bCs/>
                <w:sz w:val="24"/>
                <w:szCs w:val="24"/>
              </w:rPr>
            </w:pPr>
            <w:r w:rsidRPr="00D231EB">
              <w:rPr>
                <w:b/>
                <w:bCs/>
                <w:sz w:val="24"/>
                <w:szCs w:val="24"/>
                <w:lang w:val="ru-RU"/>
              </w:rPr>
              <w:t>22.07</w:t>
            </w:r>
            <w:r w:rsidRPr="00D231EB">
              <w:rPr>
                <w:rFonts w:ascii="MS Mincho" w:eastAsia="MS Mincho" w:hAnsi="MS Mincho" w:cs="MS Mincho"/>
                <w:b/>
                <w:bCs/>
                <w:sz w:val="24"/>
                <w:szCs w:val="24"/>
              </w:rPr>
              <w:t>․</w:t>
            </w:r>
            <w:r w:rsidRPr="00D231EB">
              <w:rPr>
                <w:b/>
                <w:bCs/>
                <w:sz w:val="24"/>
                <w:szCs w:val="24"/>
                <w:lang w:val="ru-RU"/>
              </w:rPr>
              <w:t xml:space="preserve">2024 </w:t>
            </w:r>
            <w:r w:rsidRPr="00D231EB">
              <w:rPr>
                <w:b/>
                <w:bCs/>
                <w:sz w:val="24"/>
                <w:szCs w:val="24"/>
              </w:rPr>
              <w:t>թ</w:t>
            </w:r>
            <w:r w:rsidRPr="00D231EB">
              <w:rPr>
                <w:rFonts w:ascii="MS Mincho" w:eastAsia="MS Mincho" w:hAnsi="MS Mincho" w:cs="MS Mincho"/>
                <w:b/>
                <w:bCs/>
                <w:sz w:val="24"/>
                <w:szCs w:val="24"/>
              </w:rPr>
              <w:t>․</w:t>
            </w:r>
          </w:p>
        </w:tc>
      </w:tr>
      <w:tr w:rsidR="00D231EB" w14:paraId="0145BAA8" w14:textId="77777777" w:rsidTr="00D231EB">
        <w:tc>
          <w:tcPr>
            <w:tcW w:w="450" w:type="dxa"/>
            <w:vMerge/>
            <w:shd w:val="clear" w:color="auto" w:fill="D9D9D9" w:themeFill="background1" w:themeFillShade="D9"/>
          </w:tcPr>
          <w:p w14:paraId="411B7C7E" w14:textId="77777777" w:rsidR="00D231EB" w:rsidRDefault="00D231EB" w:rsidP="0097176E">
            <w:pPr>
              <w:spacing w:after="0" w:line="240" w:lineRule="auto"/>
              <w:jc w:val="center"/>
              <w:rPr>
                <w:sz w:val="24"/>
                <w:szCs w:val="24"/>
                <w:lang w:val="en-US"/>
              </w:rPr>
            </w:pPr>
          </w:p>
        </w:tc>
        <w:tc>
          <w:tcPr>
            <w:tcW w:w="5850" w:type="dxa"/>
            <w:vMerge/>
            <w:shd w:val="clear" w:color="auto" w:fill="D9D9D9" w:themeFill="background1" w:themeFillShade="D9"/>
          </w:tcPr>
          <w:p w14:paraId="5683BC4C" w14:textId="77777777" w:rsidR="00D231EB" w:rsidRDefault="00D231EB" w:rsidP="0097176E">
            <w:pPr>
              <w:spacing w:after="0" w:line="240" w:lineRule="auto"/>
              <w:jc w:val="center"/>
              <w:rPr>
                <w:sz w:val="24"/>
                <w:szCs w:val="24"/>
              </w:rPr>
            </w:pPr>
          </w:p>
        </w:tc>
        <w:tc>
          <w:tcPr>
            <w:tcW w:w="4320" w:type="dxa"/>
            <w:shd w:val="clear" w:color="auto" w:fill="D9D9D9" w:themeFill="background1" w:themeFillShade="D9"/>
          </w:tcPr>
          <w:p w14:paraId="16DB973D" w14:textId="4F56DD6A" w:rsidR="00D231EB" w:rsidRPr="00D231EB" w:rsidRDefault="00D231EB" w:rsidP="0097176E">
            <w:pPr>
              <w:spacing w:after="0" w:line="240" w:lineRule="auto"/>
              <w:jc w:val="center"/>
              <w:rPr>
                <w:b/>
                <w:sz w:val="24"/>
                <w:szCs w:val="24"/>
              </w:rPr>
            </w:pPr>
            <w:r w:rsidRPr="00D231EB">
              <w:rPr>
                <w:b/>
                <w:sz w:val="24"/>
                <w:szCs w:val="24"/>
              </w:rPr>
              <w:t>01/3-3/44288-2024</w:t>
            </w:r>
          </w:p>
        </w:tc>
      </w:tr>
      <w:bookmarkEnd w:id="2"/>
      <w:tr w:rsidR="000A58F9" w14:paraId="3DACE075" w14:textId="77777777" w:rsidTr="00D231EB">
        <w:tc>
          <w:tcPr>
            <w:tcW w:w="450" w:type="dxa"/>
            <w:tcBorders>
              <w:bottom w:val="single" w:sz="4" w:space="0" w:color="auto"/>
            </w:tcBorders>
            <w:shd w:val="clear" w:color="auto" w:fill="FFFFFF" w:themeFill="background1"/>
          </w:tcPr>
          <w:p w14:paraId="465FB525" w14:textId="77777777" w:rsidR="000A58F9" w:rsidRDefault="000A58F9" w:rsidP="0097176E">
            <w:pPr>
              <w:jc w:val="center"/>
              <w:rPr>
                <w:sz w:val="24"/>
                <w:szCs w:val="24"/>
                <w:lang w:val="en-US"/>
              </w:rPr>
            </w:pPr>
          </w:p>
        </w:tc>
        <w:tc>
          <w:tcPr>
            <w:tcW w:w="5850" w:type="dxa"/>
            <w:tcBorders>
              <w:bottom w:val="single" w:sz="4" w:space="0" w:color="auto"/>
            </w:tcBorders>
            <w:shd w:val="clear" w:color="auto" w:fill="FFFFFF" w:themeFill="background1"/>
          </w:tcPr>
          <w:p w14:paraId="60B531E5" w14:textId="6A8DE730" w:rsidR="000A58F9" w:rsidRPr="00901C99" w:rsidRDefault="000A58F9" w:rsidP="0097176E">
            <w:pPr>
              <w:jc w:val="both"/>
              <w:rPr>
                <w:sz w:val="24"/>
                <w:szCs w:val="24"/>
              </w:rPr>
            </w:pPr>
            <w:r>
              <w:rPr>
                <w:sz w:val="24"/>
                <w:szCs w:val="24"/>
              </w:rPr>
              <w:t xml:space="preserve">ՀՀ ՊԵտական եկամուտների կոմիտեն քննարկել է փոխվարչապետ Տիգրան Խաչատրյանի նախագահությամբ սույն թվականի հունիսի </w:t>
            </w:r>
            <w:r>
              <w:rPr>
                <w:sz w:val="24"/>
                <w:szCs w:val="24"/>
                <w:lang w:val="en-US"/>
              </w:rPr>
              <w:t>19-</w:t>
            </w:r>
            <w:r>
              <w:rPr>
                <w:sz w:val="24"/>
                <w:szCs w:val="24"/>
              </w:rPr>
              <w:t xml:space="preserve">ին կայացած ՓՄՁ Զարգացման խորհրդի արդյունքներով լրամշակված՝ «Հայաստանի Հանրապետության հարկային օրենսգրքում փոփոխություն կատարելու մասին» ՀՀ օրենքի նախագիծը, որի վերաբերյալ հայտնում ենք, որ առաջարկություններ չկան։ </w:t>
            </w:r>
          </w:p>
        </w:tc>
        <w:tc>
          <w:tcPr>
            <w:tcW w:w="4320" w:type="dxa"/>
            <w:tcBorders>
              <w:bottom w:val="single" w:sz="4" w:space="0" w:color="auto"/>
            </w:tcBorders>
            <w:shd w:val="clear" w:color="auto" w:fill="FFFFFF" w:themeFill="background1"/>
          </w:tcPr>
          <w:p w14:paraId="2247F5C9" w14:textId="7B1F3ACF" w:rsidR="000A58F9" w:rsidRDefault="000A58F9" w:rsidP="0097176E">
            <w:pPr>
              <w:jc w:val="center"/>
              <w:rPr>
                <w:b/>
                <w:sz w:val="24"/>
                <w:szCs w:val="24"/>
              </w:rPr>
            </w:pPr>
            <w:r>
              <w:rPr>
                <w:b/>
                <w:sz w:val="24"/>
                <w:szCs w:val="24"/>
              </w:rPr>
              <w:t>Ընդունվել է։</w:t>
            </w:r>
          </w:p>
        </w:tc>
      </w:tr>
      <w:tr w:rsidR="00D231EB" w:rsidRPr="00D231EB" w14:paraId="457643A8" w14:textId="77777777" w:rsidTr="00D231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7"/>
        </w:trPr>
        <w:tc>
          <w:tcPr>
            <w:tcW w:w="45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BFCE55" w14:textId="670B4BAD" w:rsidR="00D231EB" w:rsidRPr="00D231EB" w:rsidRDefault="00D231EB" w:rsidP="0097176E">
            <w:pPr>
              <w:spacing w:after="0" w:line="240" w:lineRule="auto"/>
              <w:jc w:val="center"/>
              <w:rPr>
                <w:b/>
                <w:bCs/>
                <w:sz w:val="24"/>
                <w:szCs w:val="24"/>
                <w:lang w:val="en-US"/>
              </w:rPr>
            </w:pPr>
            <w:r>
              <w:rPr>
                <w:b/>
                <w:bCs/>
                <w:sz w:val="24"/>
                <w:szCs w:val="24"/>
                <w:lang w:val="en-US"/>
              </w:rPr>
              <w:t>4</w:t>
            </w:r>
            <w:r w:rsidRPr="00D231EB">
              <w:rPr>
                <w:b/>
                <w:bCs/>
                <w:sz w:val="24"/>
                <w:szCs w:val="24"/>
                <w:lang w:val="en-US"/>
              </w:rPr>
              <w:t>.</w:t>
            </w:r>
          </w:p>
        </w:tc>
        <w:tc>
          <w:tcPr>
            <w:tcW w:w="585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5B709E" w14:textId="715FEDC6" w:rsidR="00D231EB" w:rsidRPr="00D231EB" w:rsidRDefault="00D231EB" w:rsidP="0097176E">
            <w:pPr>
              <w:spacing w:after="0" w:line="240" w:lineRule="auto"/>
              <w:jc w:val="center"/>
              <w:rPr>
                <w:b/>
                <w:bCs/>
                <w:sz w:val="24"/>
                <w:szCs w:val="24"/>
                <w:lang w:val="en-US"/>
              </w:rPr>
            </w:pPr>
            <w:r w:rsidRPr="00D231EB">
              <w:rPr>
                <w:b/>
                <w:bCs/>
                <w:sz w:val="24"/>
                <w:szCs w:val="24"/>
              </w:rPr>
              <w:t xml:space="preserve">ՀՀ </w:t>
            </w:r>
            <w:r>
              <w:rPr>
                <w:b/>
                <w:bCs/>
                <w:sz w:val="24"/>
                <w:szCs w:val="24"/>
              </w:rPr>
              <w:t>արդարադատության նախարարություն</w:t>
            </w:r>
            <w:r w:rsidRPr="00D231EB">
              <w:rPr>
                <w:b/>
                <w:bCs/>
                <w:sz w:val="24"/>
                <w:szCs w:val="24"/>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FC19CA" w14:textId="77777777" w:rsidR="00D231EB" w:rsidRPr="00D231EB" w:rsidRDefault="00D231EB" w:rsidP="0097176E">
            <w:pPr>
              <w:spacing w:after="0" w:line="240" w:lineRule="auto"/>
              <w:jc w:val="center"/>
              <w:rPr>
                <w:rFonts w:ascii="MS Mincho" w:eastAsia="MS Mincho" w:hAnsi="MS Mincho" w:cs="MS Mincho"/>
                <w:b/>
                <w:bCs/>
                <w:sz w:val="24"/>
                <w:szCs w:val="24"/>
              </w:rPr>
            </w:pPr>
            <w:r w:rsidRPr="00D231EB">
              <w:rPr>
                <w:b/>
                <w:bCs/>
                <w:sz w:val="24"/>
                <w:szCs w:val="24"/>
                <w:lang w:val="ru-RU"/>
              </w:rPr>
              <w:t>22.07</w:t>
            </w:r>
            <w:r w:rsidRPr="00D231EB">
              <w:rPr>
                <w:rFonts w:ascii="MS Mincho" w:eastAsia="MS Mincho" w:hAnsi="MS Mincho" w:cs="MS Mincho"/>
                <w:b/>
                <w:bCs/>
                <w:sz w:val="24"/>
                <w:szCs w:val="24"/>
              </w:rPr>
              <w:t>․</w:t>
            </w:r>
            <w:r w:rsidRPr="00D231EB">
              <w:rPr>
                <w:b/>
                <w:bCs/>
                <w:sz w:val="24"/>
                <w:szCs w:val="24"/>
                <w:lang w:val="ru-RU"/>
              </w:rPr>
              <w:t xml:space="preserve">2024 </w:t>
            </w:r>
            <w:r w:rsidRPr="00D231EB">
              <w:rPr>
                <w:b/>
                <w:bCs/>
                <w:sz w:val="24"/>
                <w:szCs w:val="24"/>
              </w:rPr>
              <w:t>թ</w:t>
            </w:r>
            <w:r w:rsidRPr="00D231EB">
              <w:rPr>
                <w:rFonts w:ascii="MS Mincho" w:eastAsia="MS Mincho" w:hAnsi="MS Mincho" w:cs="MS Mincho"/>
                <w:b/>
                <w:bCs/>
                <w:sz w:val="24"/>
                <w:szCs w:val="24"/>
              </w:rPr>
              <w:t>․</w:t>
            </w:r>
          </w:p>
        </w:tc>
      </w:tr>
      <w:tr w:rsidR="00D231EB" w14:paraId="35E52E66" w14:textId="77777777" w:rsidTr="00D231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45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E65BC" w14:textId="77777777" w:rsidR="00D231EB" w:rsidRDefault="00D231EB" w:rsidP="0097176E">
            <w:pPr>
              <w:spacing w:after="0" w:line="240" w:lineRule="auto"/>
              <w:jc w:val="center"/>
              <w:rPr>
                <w:sz w:val="24"/>
                <w:szCs w:val="24"/>
                <w:lang w:val="en-US"/>
              </w:rPr>
            </w:pPr>
          </w:p>
        </w:tc>
        <w:tc>
          <w:tcPr>
            <w:tcW w:w="585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61D81A" w14:textId="77777777" w:rsidR="00D231EB" w:rsidRDefault="00D231EB" w:rsidP="0097176E">
            <w:pPr>
              <w:spacing w:after="0" w:line="240" w:lineRule="auto"/>
              <w:jc w:val="center"/>
              <w:rPr>
                <w:sz w:val="24"/>
                <w:szCs w:val="24"/>
              </w:rPr>
            </w:pPr>
          </w:p>
        </w:tc>
        <w:tc>
          <w:tcPr>
            <w:tcW w:w="43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AC527B" w14:textId="144480DF" w:rsidR="00D231EB" w:rsidRPr="00D231EB" w:rsidRDefault="004C2E68" w:rsidP="0097176E">
            <w:pPr>
              <w:spacing w:after="0" w:line="240" w:lineRule="auto"/>
              <w:jc w:val="center"/>
              <w:rPr>
                <w:b/>
                <w:sz w:val="24"/>
                <w:szCs w:val="24"/>
              </w:rPr>
            </w:pPr>
            <w:r w:rsidRPr="004C2E68">
              <w:rPr>
                <w:b/>
                <w:sz w:val="24"/>
                <w:szCs w:val="24"/>
              </w:rPr>
              <w:t>№/28582-2024</w:t>
            </w:r>
          </w:p>
        </w:tc>
      </w:tr>
      <w:tr w:rsidR="0097176E" w14:paraId="00FE5638" w14:textId="77777777" w:rsidTr="009717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450" w:type="dxa"/>
            <w:tcBorders>
              <w:top w:val="single" w:sz="4" w:space="0" w:color="auto"/>
              <w:left w:val="single" w:sz="4" w:space="0" w:color="auto"/>
              <w:bottom w:val="single" w:sz="4" w:space="0" w:color="auto"/>
              <w:right w:val="single" w:sz="4" w:space="0" w:color="auto"/>
            </w:tcBorders>
            <w:shd w:val="clear" w:color="auto" w:fill="auto"/>
          </w:tcPr>
          <w:p w14:paraId="7521186B" w14:textId="77777777" w:rsidR="0097176E" w:rsidRDefault="0097176E" w:rsidP="0097176E">
            <w:pPr>
              <w:jc w:val="center"/>
              <w:rPr>
                <w:sz w:val="24"/>
                <w:szCs w:val="24"/>
                <w:lang w:val="en-US"/>
              </w:rPr>
            </w:pPr>
          </w:p>
        </w:tc>
        <w:tc>
          <w:tcPr>
            <w:tcW w:w="5850" w:type="dxa"/>
            <w:tcBorders>
              <w:top w:val="single" w:sz="4" w:space="0" w:color="auto"/>
              <w:left w:val="single" w:sz="4" w:space="0" w:color="auto"/>
              <w:bottom w:val="single" w:sz="4" w:space="0" w:color="auto"/>
              <w:right w:val="single" w:sz="4" w:space="0" w:color="auto"/>
            </w:tcBorders>
            <w:shd w:val="clear" w:color="auto" w:fill="auto"/>
          </w:tcPr>
          <w:p w14:paraId="11B2A966" w14:textId="12254111" w:rsidR="0097176E" w:rsidRDefault="0097176E" w:rsidP="0097176E">
            <w:pPr>
              <w:jc w:val="both"/>
              <w:rPr>
                <w:sz w:val="24"/>
                <w:szCs w:val="24"/>
              </w:rPr>
            </w:pPr>
            <w:r w:rsidRPr="0097176E">
              <w:rPr>
                <w:sz w:val="24"/>
                <w:szCs w:val="24"/>
              </w:rPr>
              <w:t>«Հայաստանի Հանրապետության հարկային օրենսգրքում փոփոխություն կատարելու մասին» Հայաստանի Հանրապետության օրենքի նախագծի վերաբերյալ մեր իրավասությունների շրջանակում առարկություններ չունենք:</w:t>
            </w:r>
          </w:p>
        </w:tc>
        <w:tc>
          <w:tcPr>
            <w:tcW w:w="4320" w:type="dxa"/>
            <w:tcBorders>
              <w:top w:val="single" w:sz="4" w:space="0" w:color="auto"/>
              <w:left w:val="single" w:sz="4" w:space="0" w:color="auto"/>
              <w:bottom w:val="single" w:sz="4" w:space="0" w:color="auto"/>
              <w:right w:val="single" w:sz="4" w:space="0" w:color="auto"/>
            </w:tcBorders>
            <w:shd w:val="clear" w:color="auto" w:fill="auto"/>
          </w:tcPr>
          <w:p w14:paraId="0E197085" w14:textId="248C8D71" w:rsidR="0097176E" w:rsidRPr="0097176E" w:rsidRDefault="0097176E" w:rsidP="0097176E">
            <w:pPr>
              <w:jc w:val="center"/>
              <w:rPr>
                <w:b/>
                <w:sz w:val="24"/>
                <w:szCs w:val="24"/>
              </w:rPr>
            </w:pPr>
            <w:r>
              <w:rPr>
                <w:b/>
                <w:sz w:val="24"/>
                <w:szCs w:val="24"/>
              </w:rPr>
              <w:t>Ընդունվել է։</w:t>
            </w:r>
          </w:p>
        </w:tc>
      </w:tr>
    </w:tbl>
    <w:p w14:paraId="239720E1" w14:textId="77777777" w:rsidR="00714471" w:rsidRDefault="00714471" w:rsidP="0097176E"/>
    <w:sectPr w:rsidR="00714471" w:rsidSect="0097176E">
      <w:headerReference w:type="default" r:id="rId8"/>
      <w:pgSz w:w="12240" w:h="15840"/>
      <w:pgMar w:top="720" w:right="850" w:bottom="900"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839B43" w14:textId="77777777" w:rsidR="00FE5003" w:rsidRDefault="00FE5003">
      <w:pPr>
        <w:spacing w:after="0" w:line="240" w:lineRule="auto"/>
      </w:pPr>
      <w:r>
        <w:separator/>
      </w:r>
    </w:p>
  </w:endnote>
  <w:endnote w:type="continuationSeparator" w:id="0">
    <w:p w14:paraId="2D03F6CE" w14:textId="77777777" w:rsidR="00FE5003" w:rsidRDefault="00FE5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F409FD" w14:textId="77777777" w:rsidR="00FE5003" w:rsidRDefault="00FE5003">
      <w:pPr>
        <w:spacing w:after="0" w:line="240" w:lineRule="auto"/>
      </w:pPr>
      <w:r>
        <w:separator/>
      </w:r>
    </w:p>
  </w:footnote>
  <w:footnote w:type="continuationSeparator" w:id="0">
    <w:p w14:paraId="54AC5E50" w14:textId="77777777" w:rsidR="00FE5003" w:rsidRDefault="00FE50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1E8CD7" w14:textId="77777777" w:rsidR="00714471" w:rsidRDefault="0000205F">
    <w:pPr>
      <w:pBdr>
        <w:top w:val="nil"/>
        <w:left w:val="nil"/>
        <w:bottom w:val="nil"/>
        <w:right w:val="nil"/>
        <w:between w:val="nil"/>
      </w:pBdr>
      <w:tabs>
        <w:tab w:val="center" w:pos="4844"/>
        <w:tab w:val="right" w:pos="9689"/>
      </w:tabs>
      <w:spacing w:after="0" w:line="240" w:lineRule="auto"/>
      <w:jc w:val="right"/>
      <w:rPr>
        <w:rFonts w:ascii="Calibri" w:eastAsia="Calibri" w:hAnsi="Calibri" w:cs="Calibri"/>
        <w:color w:val="000000"/>
      </w:rPr>
    </w:pPr>
    <w:r>
      <w:rPr>
        <w:rFonts w:ascii="Calibri" w:eastAsia="Calibri" w:hAnsi="Calibri" w:cs="Calibri"/>
        <w:color w:val="000000"/>
      </w:rPr>
      <w:t>ՆԱԽԱԳԻԾ</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471"/>
    <w:rsid w:val="0000205F"/>
    <w:rsid w:val="000A58F9"/>
    <w:rsid w:val="000C6923"/>
    <w:rsid w:val="000D69D4"/>
    <w:rsid w:val="001103B7"/>
    <w:rsid w:val="0012052C"/>
    <w:rsid w:val="0021421B"/>
    <w:rsid w:val="002955D8"/>
    <w:rsid w:val="003C7DA4"/>
    <w:rsid w:val="004C2E68"/>
    <w:rsid w:val="0051029C"/>
    <w:rsid w:val="00714471"/>
    <w:rsid w:val="007608B7"/>
    <w:rsid w:val="00901C99"/>
    <w:rsid w:val="0097176E"/>
    <w:rsid w:val="009942CE"/>
    <w:rsid w:val="00A22248"/>
    <w:rsid w:val="00D231EB"/>
    <w:rsid w:val="00DE30C2"/>
    <w:rsid w:val="00E52124"/>
    <w:rsid w:val="00FE5003"/>
    <w:rsid w:val="00FE50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9175A"/>
  <w15:docId w15:val="{7BE83B66-8ED3-4C61-B329-E4BC011F7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GHEA Grapalat" w:hAnsi="GHEA Grapalat" w:cs="GHEA Grapalat"/>
        <w:sz w:val="22"/>
        <w:szCs w:val="22"/>
        <w:lang w:val="hy-AM" w:eastAsia="en-US"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31EB"/>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customStyle="1" w:styleId="vhc">
    <w:name w:val="vhc"/>
    <w:basedOn w:val="Normal"/>
    <w:rsid w:val="005172B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5172B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5172BD"/>
    <w:rPr>
      <w:b/>
      <w:bCs/>
    </w:rPr>
  </w:style>
  <w:style w:type="character" w:styleId="CommentReference">
    <w:name w:val="annotation reference"/>
    <w:basedOn w:val="DefaultParagraphFont"/>
    <w:uiPriority w:val="99"/>
    <w:semiHidden/>
    <w:unhideWhenUsed/>
    <w:rsid w:val="005172BD"/>
    <w:rPr>
      <w:sz w:val="16"/>
      <w:szCs w:val="16"/>
    </w:rPr>
  </w:style>
  <w:style w:type="paragraph" w:styleId="CommentText">
    <w:name w:val="annotation text"/>
    <w:basedOn w:val="Normal"/>
    <w:link w:val="CommentTextChar"/>
    <w:uiPriority w:val="99"/>
    <w:semiHidden/>
    <w:unhideWhenUsed/>
    <w:rsid w:val="005172BD"/>
    <w:pPr>
      <w:spacing w:line="240" w:lineRule="auto"/>
    </w:pPr>
    <w:rPr>
      <w:sz w:val="20"/>
      <w:szCs w:val="20"/>
    </w:rPr>
  </w:style>
  <w:style w:type="character" w:customStyle="1" w:styleId="CommentTextChar">
    <w:name w:val="Comment Text Char"/>
    <w:basedOn w:val="DefaultParagraphFont"/>
    <w:link w:val="CommentText"/>
    <w:uiPriority w:val="99"/>
    <w:semiHidden/>
    <w:rsid w:val="005172BD"/>
    <w:rPr>
      <w:sz w:val="20"/>
      <w:szCs w:val="20"/>
    </w:rPr>
  </w:style>
  <w:style w:type="paragraph" w:styleId="CommentSubject">
    <w:name w:val="annotation subject"/>
    <w:basedOn w:val="CommentText"/>
    <w:next w:val="CommentText"/>
    <w:link w:val="CommentSubjectChar"/>
    <w:uiPriority w:val="99"/>
    <w:semiHidden/>
    <w:unhideWhenUsed/>
    <w:rsid w:val="005172BD"/>
    <w:rPr>
      <w:b/>
      <w:bCs/>
    </w:rPr>
  </w:style>
  <w:style w:type="character" w:customStyle="1" w:styleId="CommentSubjectChar">
    <w:name w:val="Comment Subject Char"/>
    <w:basedOn w:val="CommentTextChar"/>
    <w:link w:val="CommentSubject"/>
    <w:uiPriority w:val="99"/>
    <w:semiHidden/>
    <w:rsid w:val="005172BD"/>
    <w:rPr>
      <w:b/>
      <w:bCs/>
      <w:sz w:val="20"/>
      <w:szCs w:val="20"/>
    </w:rPr>
  </w:style>
  <w:style w:type="paragraph" w:styleId="Header">
    <w:name w:val="header"/>
    <w:basedOn w:val="Normal"/>
    <w:link w:val="HeaderChar"/>
    <w:uiPriority w:val="99"/>
    <w:unhideWhenUsed/>
    <w:rsid w:val="00A5492D"/>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basedOn w:val="DefaultParagraphFont"/>
    <w:link w:val="Header"/>
    <w:uiPriority w:val="99"/>
    <w:rsid w:val="00A5492D"/>
  </w:style>
  <w:style w:type="paragraph" w:styleId="Footer">
    <w:name w:val="footer"/>
    <w:basedOn w:val="Normal"/>
    <w:link w:val="FooterChar"/>
    <w:uiPriority w:val="99"/>
    <w:unhideWhenUsed/>
    <w:rsid w:val="00A5492D"/>
    <w:pPr>
      <w:tabs>
        <w:tab w:val="center" w:pos="4844"/>
        <w:tab w:val="right" w:pos="9689"/>
      </w:tabs>
      <w:spacing w:after="0" w:line="240" w:lineRule="auto"/>
    </w:pPr>
  </w:style>
  <w:style w:type="character" w:customStyle="1" w:styleId="FooterChar">
    <w:name w:val="Footer Char"/>
    <w:basedOn w:val="DefaultParagraphFont"/>
    <w:link w:val="Footer"/>
    <w:uiPriority w:val="99"/>
    <w:rsid w:val="00A5492D"/>
  </w:style>
  <w:style w:type="character" w:styleId="Hyperlink">
    <w:name w:val="Hyperlink"/>
    <w:basedOn w:val="DefaultParagraphFont"/>
    <w:uiPriority w:val="99"/>
    <w:semiHidden/>
    <w:unhideWhenUsed/>
    <w:rsid w:val="00014BE5"/>
    <w:rPr>
      <w:color w:val="0563C1" w:themeColor="hyperlink"/>
      <w:u w:val="single"/>
    </w:rPr>
  </w:style>
  <w:style w:type="paragraph" w:styleId="FootnoteText">
    <w:name w:val="footnote text"/>
    <w:basedOn w:val="Normal"/>
    <w:link w:val="FootnoteTextChar"/>
    <w:uiPriority w:val="99"/>
    <w:semiHidden/>
    <w:unhideWhenUsed/>
    <w:rsid w:val="00014BE5"/>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014BE5"/>
    <w:rPr>
      <w:sz w:val="20"/>
      <w:szCs w:val="20"/>
    </w:rPr>
  </w:style>
  <w:style w:type="paragraph" w:styleId="ListParagraph">
    <w:name w:val="List Paragraph"/>
    <w:basedOn w:val="Normal"/>
    <w:uiPriority w:val="34"/>
    <w:qFormat/>
    <w:rsid w:val="00014BE5"/>
    <w:pPr>
      <w:spacing w:after="160" w:line="256" w:lineRule="auto"/>
      <w:ind w:left="720"/>
      <w:contextualSpacing/>
    </w:pPr>
    <w:rPr>
      <w:rFonts w:asciiTheme="minorHAnsi" w:eastAsiaTheme="minorHAnsi" w:hAnsiTheme="minorHAnsi" w:cstheme="minorBidi"/>
      <w:lang w:val="en-US"/>
    </w:rPr>
  </w:style>
  <w:style w:type="character" w:styleId="FootnoteReference">
    <w:name w:val="footnote reference"/>
    <w:basedOn w:val="DefaultParagraphFont"/>
    <w:uiPriority w:val="99"/>
    <w:semiHidden/>
    <w:unhideWhenUsed/>
    <w:rsid w:val="00014BE5"/>
    <w:rPr>
      <w:vertAlign w:val="superscript"/>
    </w:rPr>
  </w:style>
  <w:style w:type="paragraph" w:styleId="BalloonText">
    <w:name w:val="Balloon Text"/>
    <w:basedOn w:val="Normal"/>
    <w:link w:val="BalloonTextChar"/>
    <w:uiPriority w:val="99"/>
    <w:semiHidden/>
    <w:unhideWhenUsed/>
    <w:rsid w:val="004771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7160"/>
    <w:rPr>
      <w:rFonts w:ascii="Segoe UI" w:hAnsi="Segoe UI" w:cs="Segoe UI"/>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91WvS+3wY8hGaYpdtzo6rx5Tzg==">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09D5E47-35B1-4005-B185-4970AA188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2079</Words>
  <Characters>11853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dc:creator>
  <cp:lastModifiedBy>Parkuhy G. Ghazaryan</cp:lastModifiedBy>
  <cp:revision>2</cp:revision>
  <cp:lastPrinted>2024-08-29T10:54:00Z</cp:lastPrinted>
  <dcterms:created xsi:type="dcterms:W3CDTF">2024-08-29T12:17:00Z</dcterms:created>
  <dcterms:modified xsi:type="dcterms:W3CDTF">2024-08-29T12:17:00Z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14d49c677da83cdf5848d3ad9a6b8227635b99d3a04c665b97cc6dadb019f640</vt:lpwstr>
  </property>
</Properties>
</file>