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61ECB" w:rsidRPr="00C46ACD" w:rsidRDefault="00661ECB" w:rsidP="00947F1E">
      <w:pPr>
        <w:spacing w:after="0" w:line="276" w:lineRule="auto"/>
        <w:ind w:firstLine="360"/>
        <w:jc w:val="center"/>
        <w:rPr>
          <w:rFonts w:ascii="GHEA Grapalat" w:eastAsia="GHEA Grapalat" w:hAnsi="GHEA Grapalat" w:cs="GHEA Grapalat"/>
          <w:sz w:val="24"/>
          <w:szCs w:val="24"/>
        </w:rPr>
      </w:pPr>
      <w:r w:rsidRPr="00C46ACD">
        <w:rPr>
          <w:rFonts w:ascii="GHEA Grapalat" w:eastAsia="GHEA Grapalat" w:hAnsi="GHEA Grapalat" w:cs="GHEA Grapalat"/>
          <w:b/>
          <w:color w:val="000000"/>
          <w:sz w:val="24"/>
          <w:szCs w:val="24"/>
        </w:rPr>
        <w:t>ՀԻՄՆԱՎՈՐՈՒՄ</w:t>
      </w:r>
    </w:p>
    <w:p w:rsidR="00661ECB" w:rsidRPr="00C46ACD" w:rsidRDefault="00661ECB" w:rsidP="00947F1E">
      <w:pPr>
        <w:shd w:val="clear" w:color="auto" w:fill="FFFFFF"/>
        <w:spacing w:after="0" w:line="276" w:lineRule="auto"/>
        <w:ind w:right="150" w:firstLine="360"/>
        <w:jc w:val="center"/>
        <w:rPr>
          <w:rFonts w:ascii="GHEA Grapalat" w:eastAsia="GHEA Grapalat" w:hAnsi="GHEA Grapalat" w:cs="GHEA Grapalat"/>
          <w:sz w:val="24"/>
          <w:szCs w:val="24"/>
        </w:rPr>
      </w:pPr>
      <w:r w:rsidRPr="00C46ACD">
        <w:rPr>
          <w:rFonts w:ascii="GHEA Grapalat" w:eastAsia="GHEA Grapalat" w:hAnsi="GHEA Grapalat" w:cs="GHEA Grapalat"/>
          <w:b/>
          <w:color w:val="000000"/>
          <w:sz w:val="24"/>
          <w:szCs w:val="24"/>
        </w:rPr>
        <w:t>«ՀԱՅԱՍՏԱՆԻ ՀԱՆՐԱՊԵՏՈՒԹՅԱՆ ՀԱՐԿԱՅԻՆ ՕՐԵՆՍԳՐՔՈՒՄ ՓՈՓՈԽՈՒԹՅՈՒՆ ԿԱՏԱՐԵԼՈՒ ՄԱՍԻՆ»  ՕՐԵՆՔԻ ՆԱԽԱԳԾԻ ՎԵՐԱԲԵՐՅԱԼ</w:t>
      </w:r>
    </w:p>
    <w:p w:rsidR="00661ECB" w:rsidRPr="00C46ACD" w:rsidRDefault="00661ECB" w:rsidP="00B363B5">
      <w:pPr>
        <w:spacing w:after="0" w:line="276" w:lineRule="auto"/>
        <w:ind w:firstLine="360"/>
        <w:rPr>
          <w:rFonts w:ascii="GHEA Grapalat" w:eastAsia="GHEA Grapalat" w:hAnsi="GHEA Grapalat" w:cs="GHEA Grapalat"/>
          <w:sz w:val="24"/>
          <w:szCs w:val="24"/>
        </w:rPr>
      </w:pPr>
      <w:r w:rsidRPr="00C46ACD">
        <w:rPr>
          <w:rFonts w:ascii="GHEA Grapalat" w:eastAsia="GHEA Grapalat" w:hAnsi="GHEA Grapalat" w:cs="GHEA Grapalat"/>
          <w:sz w:val="24"/>
          <w:szCs w:val="24"/>
        </w:rPr>
        <w:br/>
      </w:r>
    </w:p>
    <w:p w:rsidR="00661ECB" w:rsidRPr="00C46ACD" w:rsidRDefault="00661ECB" w:rsidP="00947F1E">
      <w:pPr>
        <w:numPr>
          <w:ilvl w:val="0"/>
          <w:numId w:val="1"/>
        </w:numPr>
        <w:spacing w:line="276" w:lineRule="auto"/>
        <w:ind w:left="0" w:firstLine="360"/>
        <w:jc w:val="both"/>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ԱՌԿԱ ԻՐԱՎԻՃԱԿԸ ԵՎ ԿԱՐԳԱՎՈՐՄԱՆ ԵՆԹԱԿԱ ԽՆԴԻՐՆԵՐԸ</w:t>
      </w:r>
    </w:p>
    <w:p w:rsidR="00661ECB" w:rsidRPr="00C46ACD" w:rsidRDefault="00661ECB" w:rsidP="00B363B5">
      <w:pPr>
        <w:spacing w:after="0" w:line="276" w:lineRule="auto"/>
        <w:ind w:firstLine="360"/>
        <w:jc w:val="both"/>
        <w:rPr>
          <w:rFonts w:ascii="GHEA Grapalat" w:eastAsia="GHEA Grapalat" w:hAnsi="GHEA Grapalat" w:cs="GHEA Grapalat"/>
          <w:b/>
          <w:sz w:val="24"/>
          <w:szCs w:val="24"/>
        </w:rPr>
      </w:pPr>
      <w:r w:rsidRPr="00C46ACD">
        <w:rPr>
          <w:rFonts w:ascii="GHEA Grapalat" w:eastAsia="GHEA Grapalat" w:hAnsi="GHEA Grapalat" w:cs="GHEA Grapalat"/>
          <w:sz w:val="24"/>
          <w:szCs w:val="24"/>
        </w:rPr>
        <w:t xml:space="preserve">Հարկային օրենսգրքի 123-րդ հոդվածի 2-րդ կետի «ա.» ենթակետի համաձայն՝ շահութահարկ վճարողի հարկման բազայի որոշման նպատակով </w:t>
      </w:r>
      <w:r w:rsidRPr="00C46ACD">
        <w:rPr>
          <w:rFonts w:ascii="GHEA Grapalat" w:eastAsia="GHEA Grapalat" w:hAnsi="GHEA Grapalat" w:cs="GHEA Grapalat"/>
          <w:b/>
          <w:sz w:val="24"/>
          <w:szCs w:val="24"/>
        </w:rPr>
        <w:t>համախառն եկամտից նվազեցվում են անհուսալի դեբիտորական պարտքերի դուրսգրման համար պահուստին կատարվող մասհանումները</w:t>
      </w:r>
      <w:r w:rsidRPr="00C46ACD">
        <w:rPr>
          <w:rFonts w:ascii="GHEA Grapalat" w:eastAsia="GHEA Grapalat" w:hAnsi="GHEA Grapalat" w:cs="GHEA Grapalat"/>
          <w:sz w:val="24"/>
          <w:szCs w:val="24"/>
        </w:rPr>
        <w:t xml:space="preserve">։ Միաժամանակ, նույն հոդվածը սահմանում է, որ </w:t>
      </w:r>
      <w:r w:rsidRPr="00C46ACD">
        <w:rPr>
          <w:rFonts w:ascii="GHEA Grapalat" w:eastAsia="GHEA Grapalat" w:hAnsi="GHEA Grapalat" w:cs="GHEA Grapalat"/>
          <w:b/>
          <w:sz w:val="24"/>
          <w:szCs w:val="24"/>
        </w:rPr>
        <w:t>100 հազար դրամը գերազանցող ընդհանուր գումարով դեբիտորական պարտքը համարվում է անհուսալի՝ դեբիտորական պարտքի գումարը բռնագանձելու պահանջը բավարարելու կամ մերժելու վերաբերյալ դատական ակտի՝ օրինական ուժի մեջ մտնելու օրվանից։</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t>Հատկանշական է, որ պաշտոնական վիճակագրության համաձայն 2022 թվականին ՀՀ առաջին ատյանի ընդհանուր իրավասության դատարանների կողմից վարույթ է ընդունվել 172</w:t>
      </w:r>
      <w:r w:rsidRPr="00C46ACD">
        <w:rPr>
          <w:rFonts w:ascii="Cambria Math" w:eastAsia="Cambria Math" w:hAnsi="Cambria Math" w:cs="Cambria Math"/>
          <w:sz w:val="24"/>
          <w:szCs w:val="24"/>
        </w:rPr>
        <w:t>․</w:t>
      </w:r>
      <w:r w:rsidRPr="00C46ACD">
        <w:rPr>
          <w:rFonts w:ascii="GHEA Grapalat" w:eastAsia="GHEA Grapalat" w:hAnsi="GHEA Grapalat" w:cs="GHEA Grapalat"/>
          <w:sz w:val="24"/>
          <w:szCs w:val="24"/>
        </w:rPr>
        <w:t>476 քաղաքացիական գործ, որոնցից 159</w:t>
      </w:r>
      <w:r w:rsidRPr="00C46ACD">
        <w:rPr>
          <w:rFonts w:ascii="Cambria Math" w:eastAsia="Cambria Math" w:hAnsi="Cambria Math" w:cs="Cambria Math"/>
          <w:sz w:val="24"/>
          <w:szCs w:val="24"/>
        </w:rPr>
        <w:t>․</w:t>
      </w:r>
      <w:r w:rsidRPr="00C46ACD">
        <w:rPr>
          <w:rFonts w:ascii="GHEA Grapalat" w:eastAsia="GHEA Grapalat" w:hAnsi="GHEA Grapalat" w:cs="GHEA Grapalat"/>
          <w:sz w:val="24"/>
          <w:szCs w:val="24"/>
        </w:rPr>
        <w:t>683-ը գումարի պահանջով, ինչը կազմել է վարույթ ընդունված գործերի ընդհանուր թվի գրեթե 93%-ը:</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t xml:space="preserve">Խոշոր տնտեսավարողներն ունեն համապատասխան մասնագետներ և կարող են որոշակիորեն կրճատել դատական գործընթացներին առնչվող ծախսերը, սակայն վերջիններիս ունեցած փոքր արժեքով դեբիտորական պարտքերի մեծ թիվը չեղարկում է այդ առավելությունը։ Ինչպես ցույց են տալիս խոշոր </w:t>
      </w:r>
      <w:r>
        <w:rPr>
          <w:rFonts w:ascii="GHEA Grapalat" w:eastAsia="GHEA Grapalat" w:hAnsi="GHEA Grapalat" w:cs="GHEA Grapalat"/>
          <w:sz w:val="24"/>
          <w:szCs w:val="24"/>
        </w:rPr>
        <w:t>հաշվապահական</w:t>
      </w:r>
      <w:r w:rsidRPr="00C46ACD">
        <w:rPr>
          <w:rFonts w:ascii="GHEA Grapalat" w:eastAsia="GHEA Grapalat" w:hAnsi="GHEA Grapalat" w:cs="GHEA Grapalat"/>
          <w:sz w:val="24"/>
          <w:szCs w:val="24"/>
        </w:rPr>
        <w:t xml:space="preserve"> և աուդիտորական ընկերությունների հետ ունեցած քննարկումները՝ մեծ ընկերությունները հաճախ վճարում են անհուսալի դեբիտորական պարտքերի գումարների մասով առաջացած շահութահարկի գումարները՝ դրանց «անհուսալի լինելն ապացուցելու» և ծախս ճանաչելու հետ կապված վարչարարական գործընթացներից զերծ մնալու նպատակով։</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t>Փոքր տնտեսավարողներն, ընդհակառակը, չունեն անհրաժեշտ կարողություններ իրենց ուժերով դատարան դիմելու և ստիպված են յուրաքանչյուր դեպքի համար վճարել փաստաբանին, ինչը մեծացնում է միավոր անհուսալի դեբիտորական պարտքին բաժին ընկնող վարչարարական ծախսը։ Հաշվի առնելով կառավարության որդեգրած քաղաքականությունը՝ հարկման հատուկ համակարգերի հաշվին ընդհանուր համակարգից օգտվողների շրջանակի ընդլայնման ուղղությամբ՝ խնդիրն առաջիկայում ավելի է սրվելու, քանի որ էապես մեծանալու է շահութահարկ վճարող փոքր տնտեսավարողների թիվը։</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lastRenderedPageBreak/>
        <w:t xml:space="preserve">ՀՀ կառավարության 2022 թվականի հուլիսի 21-ի N 1133 - Լ որոշմամբ </w:t>
      </w:r>
      <w:r>
        <w:rPr>
          <w:rFonts w:ascii="GHEA Grapalat" w:eastAsia="GHEA Grapalat" w:hAnsi="GHEA Grapalat" w:cs="GHEA Grapalat"/>
          <w:sz w:val="24"/>
          <w:szCs w:val="24"/>
        </w:rPr>
        <w:t>հաստատված</w:t>
      </w:r>
      <w:r w:rsidRPr="00C46ACD">
        <w:rPr>
          <w:rFonts w:ascii="GHEA Grapalat" w:eastAsia="GHEA Grapalat" w:hAnsi="GHEA Grapalat" w:cs="GHEA Grapalat"/>
          <w:sz w:val="24"/>
          <w:szCs w:val="24"/>
        </w:rPr>
        <w:t xml:space="preserve">  Հայաստանի Հանրապետության դատական և իրավական բարեփոխումների 2022-2026 թվականների ռազմավարությունը սահմանում է, որ արդարադատության արդյունավետության և մատչելիության ապահովման տեսանկյունից շարունակում է արդիական մնալ վեճերի լուծման այլընտրանքային եղանակների զարգացումը:</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t xml:space="preserve">Այս նպատակից ելնելով ՀՀ օրենսդրությամբ ներկայումս ներդրվել են մի շարք իրավակարգավորումներ, որոնք սահմանել են արտադատական կարգով վեճերի լուծման և գումարի բռնագանձման պահանջի լուծման ընթացակարգեր, որոնք արտացոլված չեն ՀՀ հարկային օրենսգրքի՝ դեբիտորական պարտքերն անհուսալի ճանաչելու առկա մեխանիզմում: Մասնավորապես, «Առևտրային արբիտրաժի մասին» ՀՀ օրենքի հիման վրա արբիտրաժային համաձայնություն կնքելու դեպքում կողմերի միջև առկա կամ հնարավոր բոլոր կամ որոշակի վեճերը կարող են </w:t>
      </w:r>
      <w:r>
        <w:rPr>
          <w:rFonts w:ascii="GHEA Grapalat" w:eastAsia="GHEA Grapalat" w:hAnsi="GHEA Grapalat" w:cs="GHEA Grapalat"/>
          <w:sz w:val="24"/>
          <w:szCs w:val="24"/>
        </w:rPr>
        <w:t>հանձնվել</w:t>
      </w:r>
      <w:r w:rsidRPr="00C46ACD">
        <w:rPr>
          <w:rFonts w:ascii="GHEA Grapalat" w:eastAsia="GHEA Grapalat" w:hAnsi="GHEA Grapalat" w:cs="GHEA Grapalat"/>
          <w:sz w:val="24"/>
          <w:szCs w:val="24"/>
        </w:rPr>
        <w:t xml:space="preserve"> արբիտրաժի լուծմանը: Միաժամանակ, նույն օրենքի 35-րդ հոդվածը սահմանում է նաև, որ որոշակի դեպքերում Մշտապես գործող արբիտրաժային հաստատությունը էլեկտրոնային հաղորդագրության միջոցով արբիտրաժային տրիբունալի վճիռը հարկադիր կատարման համար ներկայացնում է Հարկադիր կատարումն ապահովող ծառայությանը:</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bookmarkStart w:id="0" w:name="_heading=h.gjdgxs" w:colFirst="0" w:colLast="0"/>
      <w:bookmarkEnd w:id="0"/>
      <w:r w:rsidRPr="00C46ACD">
        <w:rPr>
          <w:rFonts w:ascii="GHEA Grapalat" w:eastAsia="GHEA Grapalat" w:hAnsi="GHEA Grapalat" w:cs="GHEA Grapalat"/>
          <w:sz w:val="24"/>
          <w:szCs w:val="24"/>
        </w:rPr>
        <w:t>Միևնույն ժամանակ «Նոտարիատի մասին» ՀՀ օրենքում լրացվել է 18.3-րդ գլուխ, որով սահմանվել է նոտարի կողմից մինչև 2 (երկու) միլիոն դրամ գումարի բռնագանձման պահանջով կարգադրություն արձակվելու ընթացակարգ:</w:t>
      </w:r>
    </w:p>
    <w:p w:rsidR="00661ECB"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t>Այս ընթացակարգերի կիրառման հետևանքները</w:t>
      </w:r>
      <w:r>
        <w:rPr>
          <w:rFonts w:ascii="GHEA Grapalat" w:eastAsia="GHEA Grapalat" w:hAnsi="GHEA Grapalat" w:cs="GHEA Grapalat"/>
          <w:sz w:val="24"/>
          <w:szCs w:val="24"/>
        </w:rPr>
        <w:t>, սակայն</w:t>
      </w:r>
      <w:r w:rsidRPr="00C46ACD">
        <w:rPr>
          <w:rFonts w:ascii="GHEA Grapalat" w:eastAsia="GHEA Grapalat" w:hAnsi="GHEA Grapalat" w:cs="GHEA Grapalat"/>
          <w:sz w:val="24"/>
          <w:szCs w:val="24"/>
        </w:rPr>
        <w:t xml:space="preserve"> չեն ամրագրվել ՀՀ հարկային օրենսգրքի վերոնշյալ դրույթում, </w:t>
      </w:r>
      <w:r>
        <w:rPr>
          <w:rFonts w:ascii="GHEA Grapalat" w:eastAsia="GHEA Grapalat" w:hAnsi="GHEA Grapalat" w:cs="GHEA Grapalat"/>
          <w:sz w:val="24"/>
          <w:szCs w:val="24"/>
        </w:rPr>
        <w:t>այսինքն` այդ</w:t>
      </w:r>
      <w:r w:rsidRPr="00C46ACD">
        <w:rPr>
          <w:rFonts w:ascii="GHEA Grapalat" w:eastAsia="GHEA Grapalat" w:hAnsi="GHEA Grapalat" w:cs="GHEA Grapalat"/>
          <w:sz w:val="24"/>
          <w:szCs w:val="24"/>
        </w:rPr>
        <w:t xml:space="preserve"> կարգադրությունը հիմք չէ դեբիտորական պարտքն անհուսալի ճանաչելու համար:</w:t>
      </w:r>
    </w:p>
    <w:p w:rsidR="00661ECB" w:rsidRPr="002470AC" w:rsidRDefault="00661ECB" w:rsidP="00B363B5">
      <w:pPr>
        <w:pBdr>
          <w:top w:val="nil"/>
          <w:left w:val="nil"/>
          <w:bottom w:val="nil"/>
          <w:right w:val="nil"/>
          <w:between w:val="nil"/>
        </w:pBdr>
        <w:spacing w:after="0" w:line="276" w:lineRule="auto"/>
        <w:ind w:firstLine="360"/>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Նշված խնդիրները</w:t>
      </w:r>
      <w:r w:rsidRPr="002470AC">
        <w:rPr>
          <w:rFonts w:ascii="GHEA Grapalat" w:eastAsia="GHEA Grapalat" w:hAnsi="GHEA Grapalat" w:cs="GHEA Grapalat"/>
          <w:b/>
          <w:bCs/>
          <w:color w:val="000000"/>
          <w:sz w:val="24"/>
          <w:szCs w:val="24"/>
        </w:rPr>
        <w:t xml:space="preserve"> քննարկվել </w:t>
      </w:r>
      <w:r>
        <w:rPr>
          <w:rFonts w:ascii="GHEA Grapalat" w:eastAsia="GHEA Grapalat" w:hAnsi="GHEA Grapalat" w:cs="GHEA Grapalat"/>
          <w:b/>
          <w:bCs/>
          <w:color w:val="000000"/>
          <w:sz w:val="24"/>
          <w:szCs w:val="24"/>
        </w:rPr>
        <w:t>են</w:t>
      </w:r>
      <w:r w:rsidRPr="002470AC">
        <w:rPr>
          <w:rFonts w:ascii="GHEA Grapalat" w:eastAsia="GHEA Grapalat" w:hAnsi="GHEA Grapalat" w:cs="GHEA Grapalat"/>
          <w:b/>
          <w:bCs/>
          <w:color w:val="000000"/>
          <w:sz w:val="24"/>
          <w:szCs w:val="24"/>
        </w:rPr>
        <w:t xml:space="preserve"> ՀՀ Փոխվարչապետ Տիգրան Խաչատրյանի նախագահությամբ </w:t>
      </w:r>
      <w:r w:rsidRPr="00005BFA">
        <w:rPr>
          <w:rFonts w:ascii="GHEA Grapalat" w:eastAsia="GHEA Grapalat" w:hAnsi="GHEA Grapalat" w:cs="GHEA Grapalat"/>
          <w:b/>
          <w:bCs/>
          <w:color w:val="000000"/>
          <w:sz w:val="24"/>
          <w:szCs w:val="24"/>
        </w:rPr>
        <w:t xml:space="preserve">19.06.2024 </w:t>
      </w:r>
      <w:r w:rsidRPr="002470AC">
        <w:rPr>
          <w:rFonts w:ascii="GHEA Grapalat" w:eastAsia="GHEA Grapalat" w:hAnsi="GHEA Grapalat" w:cs="GHEA Grapalat"/>
          <w:b/>
          <w:bCs/>
          <w:color w:val="000000"/>
          <w:sz w:val="24"/>
          <w:szCs w:val="24"/>
        </w:rPr>
        <w:t xml:space="preserve">թ. կայացած ՓՄՁ զարգացման խորհրդի </w:t>
      </w:r>
      <w:r>
        <w:rPr>
          <w:rFonts w:ascii="GHEA Grapalat" w:eastAsia="GHEA Grapalat" w:hAnsi="GHEA Grapalat" w:cs="GHEA Grapalat"/>
          <w:b/>
          <w:bCs/>
          <w:color w:val="000000"/>
          <w:sz w:val="24"/>
          <w:szCs w:val="24"/>
        </w:rPr>
        <w:t>նիստ</w:t>
      </w:r>
      <w:r w:rsidRPr="002470AC">
        <w:rPr>
          <w:rFonts w:ascii="GHEA Grapalat" w:eastAsia="GHEA Grapalat" w:hAnsi="GHEA Grapalat" w:cs="GHEA Grapalat"/>
          <w:b/>
          <w:bCs/>
          <w:color w:val="000000"/>
          <w:sz w:val="24"/>
          <w:szCs w:val="24"/>
        </w:rPr>
        <w:t>ում</w:t>
      </w:r>
      <w:r>
        <w:rPr>
          <w:rFonts w:ascii="GHEA Grapalat" w:eastAsia="GHEA Grapalat" w:hAnsi="GHEA Grapalat" w:cs="GHEA Grapalat"/>
          <w:b/>
          <w:bCs/>
          <w:color w:val="000000"/>
          <w:sz w:val="24"/>
          <w:szCs w:val="24"/>
        </w:rPr>
        <w:t xml:space="preserve">, որտեղ մասնավոր հատվածի ներկայացուցիչների կողմից մատնանշվել է խնդրի արդիականությունը: Փոխվարչապետ Տիգրան Խաչատրյանի կողմից նիստի ընթացքում կարևորվել է հարցի հրատապ լուծումը: </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t>Միջազգային պրակտիկայում տարածված են դեբիտորական պարտքերը շահութահարկով հարկման նպատակով անհուսալի ճանաչելու տարբեր մոդելներ՝ պարտքը վերադարձնելուն ուղղված արժանահավատ գործողությունների ներկայացումից (Լեհաստան, ԱՄՆ, Ավստրալիա, Գերմանիա և այլն) մինչև պարզեցված ընթացակարգով ծախսագրման որոշակի շեմի՝ հասույթի նկատմամբ տոկոսի սահմանում (Հնդկաստան, Ճապոնիա)։</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t xml:space="preserve"> Ընդունված են նաև անհուսալի ճանաչված դեբիտորական պարտավորությունների մասով վճարված ԱԱՀ գումարների վերադարձ կամ հաշվանցում նախատեսող </w:t>
      </w:r>
      <w:r w:rsidRPr="00C46ACD">
        <w:rPr>
          <w:rFonts w:ascii="GHEA Grapalat" w:eastAsia="GHEA Grapalat" w:hAnsi="GHEA Grapalat" w:cs="GHEA Grapalat"/>
          <w:sz w:val="24"/>
          <w:szCs w:val="24"/>
        </w:rPr>
        <w:lastRenderedPageBreak/>
        <w:t xml:space="preserve">կարգավորումները (Ավստրալիա, </w:t>
      </w:r>
      <w:r>
        <w:rPr>
          <w:rFonts w:ascii="GHEA Grapalat" w:eastAsia="GHEA Grapalat" w:hAnsi="GHEA Grapalat" w:cs="GHEA Grapalat"/>
          <w:sz w:val="24"/>
          <w:szCs w:val="24"/>
        </w:rPr>
        <w:t>Ավստրիա</w:t>
      </w:r>
      <w:r w:rsidRPr="00C46ACD">
        <w:rPr>
          <w:rFonts w:ascii="GHEA Grapalat" w:eastAsia="GHEA Grapalat" w:hAnsi="GHEA Grapalat" w:cs="GHEA Grapalat"/>
          <w:sz w:val="24"/>
          <w:szCs w:val="24"/>
        </w:rPr>
        <w:t>, Բելգիա, Բահրեյն, Բրազիլիա, Կանադա, Չինաստան, Խորվաթիա, Կիպրոս, Էստոնիա, Ֆինլանդիա, Ֆրանսիա, Գերմանիա, Իռլանդիա, Հունգարիա, Իտալիա, Ճապոնիա, Լյուքսեմբուրգ, Լեհաստան, և այլն)</w:t>
      </w:r>
      <w:r w:rsidRPr="00C46ACD">
        <w:rPr>
          <w:rFonts w:ascii="GHEA Grapalat" w:eastAsia="GHEA Grapalat" w:hAnsi="GHEA Grapalat" w:cs="GHEA Grapalat"/>
          <w:sz w:val="24"/>
          <w:szCs w:val="24"/>
          <w:vertAlign w:val="superscript"/>
        </w:rPr>
        <w:footnoteReference w:id="1"/>
      </w:r>
      <w:r w:rsidRPr="00C46ACD">
        <w:rPr>
          <w:rFonts w:ascii="GHEA Grapalat" w:eastAsia="GHEA Grapalat" w:hAnsi="GHEA Grapalat" w:cs="GHEA Grapalat"/>
          <w:sz w:val="24"/>
          <w:szCs w:val="24"/>
        </w:rPr>
        <w:t>։</w:t>
      </w:r>
    </w:p>
    <w:p w:rsidR="00661ECB" w:rsidRPr="00C46ACD" w:rsidRDefault="00661ECB" w:rsidP="00B363B5">
      <w:pPr>
        <w:spacing w:after="0" w:line="276" w:lineRule="auto"/>
        <w:rPr>
          <w:rFonts w:ascii="GHEA Grapalat" w:eastAsia="GHEA Grapalat" w:hAnsi="GHEA Grapalat" w:cs="GHEA Grapalat"/>
          <w:sz w:val="24"/>
          <w:szCs w:val="24"/>
        </w:rPr>
      </w:pPr>
    </w:p>
    <w:p w:rsidR="00661ECB" w:rsidRPr="00B363B5" w:rsidRDefault="00661ECB" w:rsidP="00947F1E">
      <w:pPr>
        <w:pStyle w:val="ListParagraph"/>
        <w:numPr>
          <w:ilvl w:val="0"/>
          <w:numId w:val="1"/>
        </w:numPr>
        <w:spacing w:line="276" w:lineRule="auto"/>
        <w:jc w:val="both"/>
        <w:rPr>
          <w:rFonts w:ascii="GHEA Grapalat" w:eastAsia="GHEA Grapalat" w:hAnsi="GHEA Grapalat" w:cs="GHEA Grapalat"/>
          <w:sz w:val="24"/>
          <w:szCs w:val="24"/>
        </w:rPr>
      </w:pPr>
      <w:r w:rsidRPr="00B363B5">
        <w:rPr>
          <w:rFonts w:ascii="GHEA Grapalat" w:eastAsia="GHEA Grapalat" w:hAnsi="GHEA Grapalat" w:cs="GHEA Grapalat"/>
          <w:b/>
          <w:color w:val="000000"/>
          <w:sz w:val="24"/>
          <w:szCs w:val="24"/>
        </w:rPr>
        <w:t>ԿԱՐԳԱՎՈՐՄԱՆ ՆՊԱՏԱԿՆԵՐԸ</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color w:val="000000"/>
          <w:sz w:val="24"/>
          <w:szCs w:val="24"/>
        </w:rPr>
        <w:t>Նախագծի նպատակը շահութահարկի գծով ծախս ճանաչելու համար 100.000 դրամը գերազանցող դեբիտորական պարտքերն  անհուսալի ճանաչելու հետ կապված վարչարարության պարզեցումն է։</w:t>
      </w:r>
    </w:p>
    <w:p w:rsidR="00661ECB" w:rsidRPr="00C46ACD" w:rsidRDefault="00661ECB" w:rsidP="00B363B5">
      <w:pPr>
        <w:spacing w:after="0" w:line="276" w:lineRule="auto"/>
        <w:ind w:firstLine="360"/>
        <w:rPr>
          <w:rFonts w:ascii="GHEA Grapalat" w:eastAsia="GHEA Grapalat" w:hAnsi="GHEA Grapalat" w:cs="GHEA Grapalat"/>
          <w:sz w:val="24"/>
          <w:szCs w:val="24"/>
        </w:rPr>
      </w:pPr>
    </w:p>
    <w:p w:rsidR="00661ECB" w:rsidRPr="00C46ACD" w:rsidRDefault="00661ECB" w:rsidP="00947F1E">
      <w:pPr>
        <w:spacing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b/>
          <w:color w:val="000000"/>
          <w:sz w:val="24"/>
          <w:szCs w:val="24"/>
        </w:rPr>
        <w:t>3</w:t>
      </w:r>
      <w:r w:rsidRPr="00C46ACD">
        <w:rPr>
          <w:rFonts w:ascii="Cambria Math" w:eastAsia="Cambria Math" w:hAnsi="Cambria Math" w:cs="Cambria Math"/>
          <w:b/>
          <w:color w:val="000000"/>
          <w:sz w:val="24"/>
          <w:szCs w:val="24"/>
        </w:rPr>
        <w:t>․</w:t>
      </w:r>
      <w:r w:rsidR="00B363B5">
        <w:rPr>
          <w:rFonts w:ascii="Cambria Math" w:eastAsia="Cambria Math" w:hAnsi="Cambria Math" w:cs="Cambria Math"/>
          <w:b/>
          <w:color w:val="000000"/>
          <w:sz w:val="24"/>
          <w:szCs w:val="24"/>
        </w:rPr>
        <w:t xml:space="preserve">    </w:t>
      </w:r>
      <w:r w:rsidRPr="00C46ACD">
        <w:rPr>
          <w:rFonts w:ascii="GHEA Grapalat" w:eastAsia="GHEA Grapalat" w:hAnsi="GHEA Grapalat" w:cs="GHEA Grapalat"/>
          <w:b/>
          <w:sz w:val="24"/>
          <w:szCs w:val="24"/>
        </w:rPr>
        <w:t>ԱՌԱՋԱՐԿՎՈՂ ԿԱՐԳԱՎՈՐՈՒՄՆԵՐԸ</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t>Նախագծով առաջարկվում է՝</w:t>
      </w:r>
    </w:p>
    <w:p w:rsidR="00661ECB" w:rsidRPr="00C46ACD" w:rsidRDefault="00661ECB" w:rsidP="00B363B5">
      <w:pPr>
        <w:numPr>
          <w:ilvl w:val="0"/>
          <w:numId w:val="6"/>
        </w:numPr>
        <w:pBdr>
          <w:top w:val="nil"/>
          <w:left w:val="nil"/>
          <w:bottom w:val="nil"/>
          <w:right w:val="nil"/>
          <w:between w:val="nil"/>
        </w:pBdr>
        <w:spacing w:after="0" w:line="276" w:lineRule="auto"/>
        <w:ind w:left="0" w:firstLine="360"/>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Բարձրացնել</w:t>
      </w:r>
      <w:r w:rsidRPr="00C46ACD">
        <w:rPr>
          <w:rFonts w:ascii="GHEA Grapalat" w:eastAsia="GHEA Grapalat" w:hAnsi="GHEA Grapalat" w:cs="GHEA Grapalat"/>
          <w:b/>
          <w:color w:val="000000"/>
          <w:sz w:val="24"/>
          <w:szCs w:val="24"/>
        </w:rPr>
        <w:t xml:space="preserve"> 100.000 դրամ շեմը՝ սահմանելով 300.000 դրամ, </w:t>
      </w:r>
    </w:p>
    <w:p w:rsidR="00661ECB" w:rsidRPr="00C46ACD" w:rsidRDefault="00661ECB" w:rsidP="00B363B5">
      <w:pPr>
        <w:numPr>
          <w:ilvl w:val="0"/>
          <w:numId w:val="6"/>
        </w:numPr>
        <w:pBdr>
          <w:top w:val="nil"/>
          <w:left w:val="nil"/>
          <w:bottom w:val="nil"/>
          <w:right w:val="nil"/>
          <w:between w:val="nil"/>
        </w:pBdr>
        <w:spacing w:after="0" w:line="276" w:lineRule="auto"/>
        <w:ind w:left="0" w:firstLine="360"/>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Նախատեսել</w:t>
      </w:r>
      <w:r w:rsidRPr="00C46ACD">
        <w:rPr>
          <w:rFonts w:ascii="GHEA Grapalat" w:eastAsia="GHEA Grapalat" w:hAnsi="GHEA Grapalat" w:cs="GHEA Grapalat"/>
          <w:b/>
          <w:color w:val="000000"/>
          <w:sz w:val="24"/>
          <w:szCs w:val="24"/>
        </w:rPr>
        <w:t>, որ 300 հազար դրամը գերազանցող ընդհանուր գումարով դեբիտորական պարտքը համարվում է անհուսալի</w:t>
      </w:r>
      <w:r w:rsidRPr="00C77D96">
        <w:rPr>
          <w:rFonts w:ascii="GHEA Grapalat" w:eastAsia="GHEA Grapalat" w:hAnsi="GHEA Grapalat" w:cs="GHEA Grapalat"/>
          <w:b/>
          <w:color w:val="000000"/>
          <w:sz w:val="24"/>
          <w:szCs w:val="24"/>
        </w:rPr>
        <w:t>` դեբիտորական պարտքի գումարը բռնագանձելու պահանջը բավարարելու կամ մերժելու վերաբերյալ դատական ակտի (վճռի, որոշման կամ կարգադրության, բացառությամբ դեբիտորական պարտքի գումարը ներելու կամ այն որևէ հիմքով չպահանջելու վերաբերյալ կայացված վճռի, որոշման կամ կարգադրության) օրինական ուժի մեջ մտնելու օրվանից կամ դատարանի կողմից արձակված վճարման կարգադրության` օրինական ուժի մեջ մտած վճռի ուժ ստանալու օրվանից կամ դեբիտորական պարտքի գումարի բռնագանձման պահանջով նոտարի կողմից արձակված կարգադրության կողմերի համար պարտադիր դառնալու օրվանից կամ դեբիտորական պարտքի բռնագանձման պահանջը քննած արբիտրաժային տրիբունալի կողմից վճիռ (բացառությամբ դեբիտորական պարտքի գումարը ներելու կամ այն որևէ հիմքով չպահանջելու վերաբերյալ կայացված վճռի) կայացնելու օրվանից</w:t>
      </w:r>
      <w:r w:rsidRPr="00C46ACD">
        <w:rPr>
          <w:rFonts w:ascii="GHEA Grapalat" w:eastAsia="GHEA Grapalat" w:hAnsi="GHEA Grapalat" w:cs="GHEA Grapalat"/>
          <w:b/>
          <w:color w:val="000000"/>
          <w:sz w:val="24"/>
          <w:szCs w:val="24"/>
        </w:rPr>
        <w:t>:</w:t>
      </w:r>
    </w:p>
    <w:p w:rsidR="00661ECB" w:rsidRPr="00C46ACD" w:rsidRDefault="00661ECB" w:rsidP="00B363B5">
      <w:pPr>
        <w:spacing w:after="0" w:line="276" w:lineRule="auto"/>
        <w:jc w:val="both"/>
        <w:rPr>
          <w:rFonts w:ascii="GHEA Grapalat" w:eastAsia="GHEA Grapalat" w:hAnsi="GHEA Grapalat" w:cs="GHEA Grapalat"/>
          <w:sz w:val="24"/>
          <w:szCs w:val="24"/>
        </w:rPr>
      </w:pPr>
    </w:p>
    <w:p w:rsidR="00661ECB" w:rsidRPr="00947F1E" w:rsidRDefault="00661ECB" w:rsidP="00947F1E">
      <w:pPr>
        <w:spacing w:after="0" w:line="276" w:lineRule="auto"/>
        <w:ind w:firstLine="360"/>
        <w:jc w:val="both"/>
        <w:rPr>
          <w:rFonts w:ascii="GHEA Grapalat" w:eastAsia="GHEA Grapalat" w:hAnsi="GHEA Grapalat" w:cs="GHEA Grapalat"/>
          <w:b/>
          <w:bCs/>
          <w:sz w:val="24"/>
          <w:szCs w:val="24"/>
        </w:rPr>
      </w:pPr>
      <w:r w:rsidRPr="00947F1E">
        <w:rPr>
          <w:rFonts w:ascii="GHEA Grapalat" w:eastAsia="GHEA Grapalat" w:hAnsi="GHEA Grapalat" w:cs="GHEA Grapalat"/>
          <w:b/>
          <w:bCs/>
          <w:sz w:val="24"/>
          <w:szCs w:val="24"/>
        </w:rPr>
        <w:t>Շեմի բարձրացումը հիմնավորվում է հետևյալ փաստարկներով՝</w:t>
      </w:r>
    </w:p>
    <w:p w:rsidR="00661ECB" w:rsidRPr="00C46ACD" w:rsidRDefault="00661ECB" w:rsidP="00B363B5">
      <w:pPr>
        <w:pBdr>
          <w:top w:val="nil"/>
          <w:left w:val="nil"/>
          <w:bottom w:val="nil"/>
          <w:right w:val="nil"/>
          <w:between w:val="nil"/>
        </w:pBdr>
        <w:tabs>
          <w:tab w:val="left" w:pos="270"/>
        </w:tabs>
        <w:spacing w:after="0" w:line="276" w:lineRule="auto"/>
        <w:jc w:val="both"/>
        <w:rPr>
          <w:rFonts w:ascii="GHEA Grapalat" w:eastAsia="GHEA Grapalat" w:hAnsi="GHEA Grapalat" w:cs="GHEA Grapalat"/>
          <w:color w:val="000000"/>
          <w:sz w:val="24"/>
          <w:szCs w:val="24"/>
        </w:rPr>
      </w:pPr>
      <w:r w:rsidRPr="00C46ACD">
        <w:rPr>
          <w:rFonts w:ascii="GHEA Grapalat" w:eastAsia="GHEA Grapalat" w:hAnsi="GHEA Grapalat" w:cs="GHEA Grapalat"/>
          <w:color w:val="000000"/>
          <w:sz w:val="24"/>
          <w:szCs w:val="24"/>
        </w:rPr>
        <w:t xml:space="preserve">1. Փոխվարչապետ Տիգրան Խաչատրյանին գլխավորությամբ գործող ՓՄՁ խորհրդի աշխատանքների շրջանակում խորհրդի քարտուղարություն հանդիսացող Հայաստանի ներդրումային խորհրդի փորձագիտական թիմը հարցում է անցկացրել ավելի քան 12.000 փոքր և միջին տնտեսավարողների շրջանում: Վերջինիս մեկ տարվա ընթացքում իրականացրած գործարքների ուսումնասիրությունը ցույց է տալիս, որ մինչև 115 միլիոն դրամ տարեկան շրջանառություն ունեցող տնտեսավարողների՝ բիզնեսը բիզնեսի (B2B) հետ հարաբերություններում </w:t>
      </w:r>
      <w:r w:rsidRPr="00C46ACD">
        <w:rPr>
          <w:rFonts w:ascii="GHEA Grapalat" w:eastAsia="GHEA Grapalat" w:hAnsi="GHEA Grapalat" w:cs="GHEA Grapalat"/>
          <w:b/>
          <w:color w:val="000000"/>
          <w:sz w:val="24"/>
          <w:szCs w:val="24"/>
        </w:rPr>
        <w:t>մեկ գործարքի միջին կշռված մեծությունը</w:t>
      </w:r>
      <w:r w:rsidRPr="00C46ACD">
        <w:rPr>
          <w:rFonts w:ascii="GHEA Grapalat" w:eastAsia="GHEA Grapalat" w:hAnsi="GHEA Grapalat" w:cs="GHEA Grapalat"/>
          <w:color w:val="000000"/>
          <w:sz w:val="24"/>
          <w:szCs w:val="24"/>
        </w:rPr>
        <w:t xml:space="preserve"> կազմում է 488.860 դրամ, իսկ բիզնեսը սպառողի (B2C) հետ հարաբերություններում՝ 550.261 դրամ։</w:t>
      </w:r>
    </w:p>
    <w:p w:rsidR="00661ECB" w:rsidRPr="00C46ACD" w:rsidRDefault="00661ECB" w:rsidP="00B363B5">
      <w:pPr>
        <w:spacing w:after="0" w:line="276" w:lineRule="auto"/>
        <w:jc w:val="both"/>
        <w:rPr>
          <w:rFonts w:ascii="GHEA Grapalat" w:eastAsia="GHEA Grapalat" w:hAnsi="GHEA Grapalat" w:cs="GHEA Grapalat"/>
          <w:color w:val="000000"/>
          <w:sz w:val="24"/>
          <w:szCs w:val="24"/>
        </w:rPr>
      </w:pPr>
      <w:r w:rsidRPr="00C46ACD">
        <w:rPr>
          <w:rFonts w:ascii="GHEA Grapalat" w:eastAsia="GHEA Grapalat" w:hAnsi="GHEA Grapalat" w:cs="GHEA Grapalat"/>
          <w:color w:val="000000"/>
          <w:sz w:val="24"/>
          <w:szCs w:val="24"/>
        </w:rPr>
        <w:t>Նույն ցուցանիշը 115 միլիոն դրամից ավելի շրջանառություն ունեցողների համար կազմել է համապատասխանաբար 635.312 և 1.730.000 դրամ (տե՛ս, Աղյուսակ 1)։</w:t>
      </w:r>
    </w:p>
    <w:p w:rsidR="00661ECB" w:rsidRPr="00C46ACD" w:rsidRDefault="00661ECB" w:rsidP="00B363B5">
      <w:pPr>
        <w:spacing w:after="0" w:line="276" w:lineRule="auto"/>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t>Իրականացվել է նաև 132 փոքր և միջին տնտեսավարողների ավելի խորքային դաշտային ուսումնասիրություն: 2022թ</w:t>
      </w:r>
      <w:r w:rsidRPr="00C46ACD">
        <w:rPr>
          <w:rFonts w:ascii="Cambria Math" w:eastAsia="Cambria Math" w:hAnsi="Cambria Math" w:cs="Cambria Math"/>
          <w:sz w:val="24"/>
          <w:szCs w:val="24"/>
        </w:rPr>
        <w:t>․</w:t>
      </w:r>
      <w:r w:rsidRPr="00C46ACD">
        <w:rPr>
          <w:rFonts w:ascii="GHEA Grapalat" w:eastAsia="GHEA Grapalat" w:hAnsi="GHEA Grapalat" w:cs="GHEA Grapalat"/>
          <w:sz w:val="24"/>
          <w:szCs w:val="24"/>
        </w:rPr>
        <w:t xml:space="preserve"> սեպտեմբերի դրությամբ </w:t>
      </w:r>
      <w:r w:rsidRPr="00C46ACD">
        <w:rPr>
          <w:rFonts w:ascii="GHEA Grapalat" w:eastAsia="GHEA Grapalat" w:hAnsi="GHEA Grapalat" w:cs="GHEA Grapalat"/>
          <w:b/>
          <w:sz w:val="24"/>
          <w:szCs w:val="24"/>
        </w:rPr>
        <w:t>փաստացի անհուսալի դեբիտորական պարտքերի</w:t>
      </w:r>
      <w:r w:rsidRPr="00C46ACD">
        <w:rPr>
          <w:rFonts w:ascii="GHEA Grapalat" w:eastAsia="GHEA Grapalat" w:hAnsi="GHEA Grapalat" w:cs="GHEA Grapalat"/>
          <w:sz w:val="24"/>
          <w:szCs w:val="24"/>
        </w:rPr>
        <w:t xml:space="preserve"> (կետանցման օրվանից ավելի քան 365 օրից ավել չմարված դեբիտորական պարտքերի) </w:t>
      </w:r>
      <w:r w:rsidRPr="00C46ACD">
        <w:rPr>
          <w:rFonts w:ascii="GHEA Grapalat" w:eastAsia="GHEA Grapalat" w:hAnsi="GHEA Grapalat" w:cs="GHEA Grapalat"/>
          <w:b/>
          <w:sz w:val="24"/>
          <w:szCs w:val="24"/>
        </w:rPr>
        <w:t xml:space="preserve">վերլուծությունը </w:t>
      </w:r>
      <w:r w:rsidRPr="00C46ACD">
        <w:rPr>
          <w:rFonts w:ascii="GHEA Grapalat" w:eastAsia="GHEA Grapalat" w:hAnsi="GHEA Grapalat" w:cs="GHEA Grapalat"/>
          <w:sz w:val="24"/>
          <w:szCs w:val="24"/>
        </w:rPr>
        <w:t xml:space="preserve">պարզել է, որ տարեկան մինչև 115 միլիոն դրամ շրջանառություն ունեցողների՝ 100 հազար դրամը գերազանցող անհուսալի դեբիտորական պարտավորությունների միջին մեծությունը՝ մեկ հաշվարկային փաստաթղթի հաշվով կազմել է 153.000 դրամ, իսկ 115 միլիոն դրամը գերազանցող շրջանառություն </w:t>
      </w:r>
      <w:r>
        <w:rPr>
          <w:rFonts w:ascii="GHEA Grapalat" w:eastAsia="GHEA Grapalat" w:hAnsi="GHEA Grapalat" w:cs="GHEA Grapalat"/>
          <w:sz w:val="24"/>
          <w:szCs w:val="24"/>
        </w:rPr>
        <w:t>ունեցողների</w:t>
      </w:r>
      <w:r w:rsidRPr="00C46ACD">
        <w:rPr>
          <w:rFonts w:ascii="GHEA Grapalat" w:eastAsia="GHEA Grapalat" w:hAnsi="GHEA Grapalat" w:cs="GHEA Grapalat"/>
          <w:sz w:val="24"/>
          <w:szCs w:val="24"/>
        </w:rPr>
        <w:t xml:space="preserve">՝ 257.000 դրամ </w:t>
      </w:r>
      <w:r w:rsidRPr="00C46ACD">
        <w:rPr>
          <w:rFonts w:ascii="GHEA Grapalat" w:eastAsia="GHEA Grapalat" w:hAnsi="GHEA Grapalat" w:cs="GHEA Grapalat"/>
          <w:color w:val="000000"/>
          <w:sz w:val="24"/>
          <w:szCs w:val="24"/>
        </w:rPr>
        <w:t>(տե՛ս, Աղյուսակ 2)</w:t>
      </w:r>
      <w:r w:rsidRPr="00C46ACD">
        <w:rPr>
          <w:rFonts w:ascii="GHEA Grapalat" w:eastAsia="GHEA Grapalat" w:hAnsi="GHEA Grapalat" w:cs="GHEA Grapalat"/>
          <w:sz w:val="24"/>
          <w:szCs w:val="24"/>
        </w:rPr>
        <w:t>:</w:t>
      </w:r>
    </w:p>
    <w:p w:rsidR="00661ECB" w:rsidRPr="00C46ACD" w:rsidRDefault="00661ECB" w:rsidP="00B363B5">
      <w:pPr>
        <w:numPr>
          <w:ilvl w:val="0"/>
          <w:numId w:val="3"/>
        </w:numPr>
        <w:pBdr>
          <w:top w:val="nil"/>
          <w:left w:val="nil"/>
          <w:bottom w:val="nil"/>
          <w:right w:val="nil"/>
          <w:between w:val="nil"/>
        </w:pBdr>
        <w:tabs>
          <w:tab w:val="left" w:pos="360"/>
        </w:tabs>
        <w:spacing w:after="0" w:line="276" w:lineRule="auto"/>
        <w:ind w:left="0" w:firstLine="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Գործող</w:t>
      </w:r>
      <w:r w:rsidRPr="00C46ACD">
        <w:rPr>
          <w:rFonts w:ascii="GHEA Grapalat" w:eastAsia="GHEA Grapalat" w:hAnsi="GHEA Grapalat" w:cs="GHEA Grapalat"/>
          <w:color w:val="000000"/>
          <w:sz w:val="24"/>
          <w:szCs w:val="24"/>
        </w:rPr>
        <w:t xml:space="preserve">  կարգավորումն ուժի մեջ է մտել 2002 թվականից դեկտեմբերի 31-ից և գործում է մոտ 21 տարի։ Նշված ժամանակահատվածում գնաճի ցուցանիշը կազմել է 113.74%, որով ճշգրտելու դեպքում միայն 100.000 դրամը կկազմեր 224.000 դրամ։</w:t>
      </w:r>
    </w:p>
    <w:p w:rsidR="00661ECB" w:rsidRPr="00C46ACD" w:rsidRDefault="00661ECB" w:rsidP="00B363B5">
      <w:pPr>
        <w:pBdr>
          <w:top w:val="nil"/>
          <w:left w:val="nil"/>
          <w:bottom w:val="nil"/>
          <w:right w:val="nil"/>
          <w:between w:val="nil"/>
        </w:pBdr>
        <w:tabs>
          <w:tab w:val="left" w:pos="360"/>
        </w:tabs>
        <w:spacing w:after="0" w:line="276" w:lineRule="auto"/>
        <w:jc w:val="right"/>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Աղյուսակ 1</w:t>
      </w:r>
    </w:p>
    <w:tbl>
      <w:tblPr>
        <w:tblW w:w="981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9"/>
        <w:gridCol w:w="2061"/>
        <w:gridCol w:w="3019"/>
        <w:gridCol w:w="1751"/>
      </w:tblGrid>
      <w:tr w:rsidR="00661ECB" w:rsidRPr="00C46ACD" w:rsidTr="00947F1E">
        <w:trPr>
          <w:trHeight w:val="504"/>
        </w:trPr>
        <w:tc>
          <w:tcPr>
            <w:tcW w:w="9810" w:type="dxa"/>
            <w:gridSpan w:val="4"/>
            <w:vMerge w:val="restart"/>
            <w:shd w:val="clear" w:color="auto" w:fill="9CC2E5" w:themeFill="accent5" w:themeFillTint="99"/>
          </w:tcPr>
          <w:p w:rsidR="00661ECB" w:rsidRPr="00C46ACD" w:rsidRDefault="00661ECB" w:rsidP="00B363B5">
            <w:pPr>
              <w:keepNext/>
              <w:keepLines/>
              <w:spacing w:after="0" w:line="276" w:lineRule="auto"/>
              <w:jc w:val="center"/>
              <w:rPr>
                <w:rFonts w:ascii="GHEA Grapalat" w:eastAsia="GHEA Grapalat" w:hAnsi="GHEA Grapalat" w:cs="GHEA Grapalat"/>
                <w:b/>
                <w:sz w:val="24"/>
                <w:szCs w:val="24"/>
              </w:rPr>
            </w:pPr>
            <w:r w:rsidRPr="00C46ACD">
              <w:rPr>
                <w:rFonts w:ascii="GHEA Grapalat" w:eastAsia="GHEA Grapalat" w:hAnsi="GHEA Grapalat" w:cs="GHEA Grapalat"/>
                <w:b/>
                <w:sz w:val="24"/>
                <w:szCs w:val="24"/>
              </w:rPr>
              <w:t>Տարեկան մինչև 115 մլն</w:t>
            </w:r>
            <w:r w:rsidRPr="00C46ACD">
              <w:rPr>
                <w:rFonts w:ascii="GHEA Grapalat" w:eastAsia="GHEA Grapalat" w:hAnsi="GHEA Grapalat" w:cs="GHEA Grapalat"/>
                <w:sz w:val="24"/>
                <w:szCs w:val="24"/>
              </w:rPr>
              <w:t xml:space="preserve"> </w:t>
            </w:r>
            <w:r w:rsidRPr="00C46ACD">
              <w:rPr>
                <w:rFonts w:ascii="GHEA Grapalat" w:eastAsia="GHEA Grapalat" w:hAnsi="GHEA Grapalat" w:cs="GHEA Grapalat"/>
                <w:b/>
                <w:sz w:val="24"/>
                <w:szCs w:val="24"/>
              </w:rPr>
              <w:t>դրամ շրջանառություն</w:t>
            </w:r>
          </w:p>
        </w:tc>
      </w:tr>
      <w:tr w:rsidR="00661ECB" w:rsidRPr="00C46ACD" w:rsidTr="00947F1E">
        <w:trPr>
          <w:trHeight w:val="367"/>
        </w:trPr>
        <w:tc>
          <w:tcPr>
            <w:tcW w:w="9810" w:type="dxa"/>
            <w:gridSpan w:val="4"/>
            <w:vMerge/>
            <w:shd w:val="clear" w:color="auto" w:fill="9CC2E5" w:themeFill="accent5" w:themeFillTint="99"/>
          </w:tcPr>
          <w:p w:rsidR="00661ECB" w:rsidRPr="00C46ACD" w:rsidRDefault="00661ECB" w:rsidP="00B363B5">
            <w:pPr>
              <w:widowControl w:val="0"/>
              <w:pBdr>
                <w:top w:val="nil"/>
                <w:left w:val="nil"/>
                <w:bottom w:val="nil"/>
                <w:right w:val="nil"/>
                <w:between w:val="nil"/>
              </w:pBdr>
              <w:spacing w:after="0" w:line="276" w:lineRule="auto"/>
              <w:rPr>
                <w:rFonts w:ascii="GHEA Grapalat" w:eastAsia="GHEA Grapalat" w:hAnsi="GHEA Grapalat" w:cs="GHEA Grapalat"/>
                <w:b/>
                <w:sz w:val="24"/>
                <w:szCs w:val="24"/>
              </w:rPr>
            </w:pPr>
          </w:p>
        </w:tc>
      </w:tr>
      <w:tr w:rsidR="00661ECB" w:rsidRPr="00C46ACD" w:rsidTr="00B363B5">
        <w:trPr>
          <w:trHeight w:val="504"/>
        </w:trPr>
        <w:tc>
          <w:tcPr>
            <w:tcW w:w="5040" w:type="dxa"/>
            <w:gridSpan w:val="2"/>
            <w:vMerge w:val="restart"/>
          </w:tcPr>
          <w:p w:rsidR="00661ECB" w:rsidRPr="00C46ACD" w:rsidRDefault="00661ECB" w:rsidP="00B363B5">
            <w:pPr>
              <w:spacing w:after="0" w:line="276" w:lineRule="auto"/>
              <w:jc w:val="center"/>
              <w:rPr>
                <w:rFonts w:ascii="GHEA Grapalat" w:eastAsia="GHEA Grapalat" w:hAnsi="GHEA Grapalat" w:cs="GHEA Grapalat"/>
                <w:b/>
                <w:sz w:val="24"/>
                <w:szCs w:val="24"/>
              </w:rPr>
            </w:pPr>
            <w:r w:rsidRPr="00C46ACD">
              <w:rPr>
                <w:rFonts w:ascii="GHEA Grapalat" w:eastAsia="GHEA Grapalat" w:hAnsi="GHEA Grapalat" w:cs="GHEA Grapalat"/>
                <w:b/>
                <w:sz w:val="24"/>
                <w:szCs w:val="24"/>
              </w:rPr>
              <w:t>Գործարարների միջև հարաբերություններում (B2B)</w:t>
            </w:r>
          </w:p>
        </w:tc>
        <w:tc>
          <w:tcPr>
            <w:tcW w:w="4770" w:type="dxa"/>
            <w:gridSpan w:val="2"/>
            <w:vMerge w:val="restart"/>
          </w:tcPr>
          <w:p w:rsidR="00661ECB" w:rsidRPr="00C46ACD" w:rsidRDefault="00661ECB" w:rsidP="00B363B5">
            <w:pPr>
              <w:spacing w:after="0" w:line="276" w:lineRule="auto"/>
              <w:jc w:val="center"/>
              <w:rPr>
                <w:rFonts w:ascii="GHEA Grapalat" w:eastAsia="GHEA Grapalat" w:hAnsi="GHEA Grapalat" w:cs="GHEA Grapalat"/>
                <w:b/>
                <w:sz w:val="24"/>
                <w:szCs w:val="24"/>
              </w:rPr>
            </w:pPr>
            <w:r w:rsidRPr="00C46ACD">
              <w:rPr>
                <w:rFonts w:ascii="GHEA Grapalat" w:eastAsia="GHEA Grapalat" w:hAnsi="GHEA Grapalat" w:cs="GHEA Grapalat"/>
                <w:b/>
                <w:sz w:val="24"/>
                <w:szCs w:val="24"/>
              </w:rPr>
              <w:t>Գործարար-սպառող հարաբերություններում (B2C)</w:t>
            </w:r>
          </w:p>
        </w:tc>
      </w:tr>
      <w:tr w:rsidR="00661ECB" w:rsidRPr="00C46ACD" w:rsidTr="00B363B5">
        <w:trPr>
          <w:trHeight w:val="527"/>
        </w:trPr>
        <w:tc>
          <w:tcPr>
            <w:tcW w:w="5040" w:type="dxa"/>
            <w:gridSpan w:val="2"/>
            <w:vMerge/>
          </w:tcPr>
          <w:p w:rsidR="00661ECB" w:rsidRPr="00C46ACD" w:rsidRDefault="00661ECB" w:rsidP="00B363B5">
            <w:pPr>
              <w:widowControl w:val="0"/>
              <w:pBdr>
                <w:top w:val="nil"/>
                <w:left w:val="nil"/>
                <w:bottom w:val="nil"/>
                <w:right w:val="nil"/>
                <w:between w:val="nil"/>
              </w:pBdr>
              <w:spacing w:after="0" w:line="276" w:lineRule="auto"/>
              <w:rPr>
                <w:rFonts w:ascii="GHEA Grapalat" w:eastAsia="GHEA Grapalat" w:hAnsi="GHEA Grapalat" w:cs="GHEA Grapalat"/>
                <w:b/>
                <w:sz w:val="24"/>
                <w:szCs w:val="24"/>
              </w:rPr>
            </w:pPr>
          </w:p>
        </w:tc>
        <w:tc>
          <w:tcPr>
            <w:tcW w:w="4770" w:type="dxa"/>
            <w:gridSpan w:val="2"/>
            <w:vMerge/>
          </w:tcPr>
          <w:p w:rsidR="00661ECB" w:rsidRPr="00C46ACD" w:rsidRDefault="00661ECB" w:rsidP="00B363B5">
            <w:pPr>
              <w:widowControl w:val="0"/>
              <w:pBdr>
                <w:top w:val="nil"/>
                <w:left w:val="nil"/>
                <w:bottom w:val="nil"/>
                <w:right w:val="nil"/>
                <w:between w:val="nil"/>
              </w:pBdr>
              <w:spacing w:after="0" w:line="276" w:lineRule="auto"/>
              <w:rPr>
                <w:rFonts w:ascii="GHEA Grapalat" w:eastAsia="GHEA Grapalat" w:hAnsi="GHEA Grapalat" w:cs="GHEA Grapalat"/>
                <w:b/>
                <w:sz w:val="24"/>
                <w:szCs w:val="24"/>
              </w:rPr>
            </w:pPr>
          </w:p>
        </w:tc>
      </w:tr>
      <w:tr w:rsidR="00661ECB" w:rsidRPr="00C46ACD" w:rsidTr="00B363B5">
        <w:trPr>
          <w:trHeight w:val="30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100 000 ՀՀ դրամը գերազանցող գործարքների քանակ</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18 315</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100 000 ՀՀ դրամը գերազանցող գործարքների քանակ</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 xml:space="preserve">25 548 </w:t>
            </w:r>
          </w:p>
        </w:tc>
      </w:tr>
      <w:tr w:rsidR="00661ECB" w:rsidRPr="00C46ACD" w:rsidTr="00B363B5">
        <w:trPr>
          <w:trHeight w:val="33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 xml:space="preserve">100 000 ՀՀ դրամը գերազանցող </w:t>
            </w:r>
            <w:r w:rsidRPr="00C46ACD">
              <w:rPr>
                <w:rFonts w:ascii="GHEA Grapalat" w:eastAsia="GHEA Grapalat" w:hAnsi="GHEA Grapalat" w:cs="GHEA Grapalat"/>
                <w:sz w:val="24"/>
                <w:szCs w:val="24"/>
              </w:rPr>
              <w:lastRenderedPageBreak/>
              <w:t>գործարքների հանրագումար</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lastRenderedPageBreak/>
              <w:t>18 105 109 060</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 xml:space="preserve">100 000 ՀՀ դրամը գերազանցող </w:t>
            </w:r>
            <w:r w:rsidRPr="00C46ACD">
              <w:rPr>
                <w:rFonts w:ascii="GHEA Grapalat" w:eastAsia="GHEA Grapalat" w:hAnsi="GHEA Grapalat" w:cs="GHEA Grapalat"/>
                <w:sz w:val="24"/>
                <w:szCs w:val="24"/>
              </w:rPr>
              <w:lastRenderedPageBreak/>
              <w:t>գործարքների հանրագումար</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lastRenderedPageBreak/>
              <w:t>28 795 725 793</w:t>
            </w:r>
          </w:p>
        </w:tc>
      </w:tr>
      <w:tr w:rsidR="00661ECB" w:rsidRPr="00C46ACD" w:rsidTr="00B363B5">
        <w:trPr>
          <w:trHeight w:val="33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Բիզնեսների քանակ</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2 644</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Բիզնեսների քանակ</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4 565</w:t>
            </w:r>
          </w:p>
        </w:tc>
      </w:tr>
      <w:tr w:rsidR="00661ECB" w:rsidRPr="00C46ACD" w:rsidTr="00B363B5">
        <w:trPr>
          <w:trHeight w:val="33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Մեկ գործարքի միջին արժեքը</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988 540</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Մեկ գործարքի միջին արժեքը</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1 127 122</w:t>
            </w:r>
          </w:p>
        </w:tc>
      </w:tr>
      <w:tr w:rsidR="00661ECB" w:rsidRPr="00C46ACD" w:rsidTr="00B363B5">
        <w:trPr>
          <w:trHeight w:val="30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p>
        </w:tc>
      </w:tr>
      <w:tr w:rsidR="00661ECB" w:rsidRPr="00C46ACD" w:rsidTr="00B363B5">
        <w:trPr>
          <w:trHeight w:val="33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Մինչև 100 000 ՀՀ դրամը գործարքների քանակ</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135 220</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Մինչև 100 000 ՀՀ դրամը գործարքների քանակ</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13 741</w:t>
            </w:r>
          </w:p>
        </w:tc>
      </w:tr>
      <w:tr w:rsidR="00661ECB" w:rsidRPr="00C46ACD" w:rsidTr="00B363B5">
        <w:trPr>
          <w:trHeight w:val="33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Մինչև 100 000 ՀՀ դրամը գործարքների հանրագումար</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1 496 860 903</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Մինչև 100 000 ՀՀ դրամը գործարքների հանրագումար</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384 100 392</w:t>
            </w:r>
          </w:p>
        </w:tc>
      </w:tr>
      <w:tr w:rsidR="00661ECB" w:rsidRPr="00C46ACD" w:rsidTr="00B363B5">
        <w:trPr>
          <w:trHeight w:val="33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Բիզնեսների քանակ</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3 152</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Բիզնեսների քանակ</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2 822</w:t>
            </w:r>
          </w:p>
        </w:tc>
      </w:tr>
      <w:tr w:rsidR="00661ECB" w:rsidRPr="00C46ACD" w:rsidTr="00B363B5">
        <w:trPr>
          <w:trHeight w:val="33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Մեկ գործարքի միջին արժեքը</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11.070</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Մեկ գործարքի միջին արժեքը</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27.952</w:t>
            </w:r>
          </w:p>
        </w:tc>
      </w:tr>
      <w:tr w:rsidR="00661ECB" w:rsidRPr="00C46ACD" w:rsidTr="00B363B5">
        <w:trPr>
          <w:trHeight w:val="30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p>
        </w:tc>
      </w:tr>
      <w:tr w:rsidR="00661ECB" w:rsidRPr="00C46ACD" w:rsidTr="00947F1E">
        <w:trPr>
          <w:trHeight w:val="300"/>
        </w:trPr>
        <w:tc>
          <w:tcPr>
            <w:tcW w:w="2979" w:type="dxa"/>
            <w:shd w:val="clear" w:color="auto" w:fill="9CC2E5" w:themeFill="accent5" w:themeFillTint="99"/>
          </w:tcPr>
          <w:p w:rsidR="00661ECB" w:rsidRPr="00C46ACD" w:rsidRDefault="00661ECB" w:rsidP="00B363B5">
            <w:pPr>
              <w:spacing w:after="0" w:line="276" w:lineRule="auto"/>
              <w:rPr>
                <w:rFonts w:ascii="GHEA Grapalat" w:eastAsia="GHEA Grapalat" w:hAnsi="GHEA Grapalat" w:cs="GHEA Grapalat"/>
                <w:b/>
                <w:sz w:val="24"/>
                <w:szCs w:val="24"/>
              </w:rPr>
            </w:pPr>
            <w:r w:rsidRPr="00C46ACD">
              <w:rPr>
                <w:rFonts w:ascii="GHEA Grapalat" w:eastAsia="GHEA Grapalat" w:hAnsi="GHEA Grapalat" w:cs="GHEA Grapalat"/>
                <w:b/>
                <w:sz w:val="24"/>
                <w:szCs w:val="24"/>
              </w:rPr>
              <w:t>Բոլոր գործարքների միջին կշռված մեծությունը</w:t>
            </w:r>
          </w:p>
        </w:tc>
        <w:tc>
          <w:tcPr>
            <w:tcW w:w="2061" w:type="dxa"/>
            <w:shd w:val="clear" w:color="auto" w:fill="9CC2E5" w:themeFill="accent5" w:themeFillTint="99"/>
          </w:tcPr>
          <w:p w:rsidR="00661ECB" w:rsidRPr="00C46ACD" w:rsidRDefault="00661ECB" w:rsidP="00B363B5">
            <w:pPr>
              <w:spacing w:after="0" w:line="276" w:lineRule="auto"/>
              <w:rPr>
                <w:rFonts w:ascii="GHEA Grapalat" w:eastAsia="GHEA Grapalat" w:hAnsi="GHEA Grapalat" w:cs="GHEA Grapalat"/>
                <w:b/>
                <w:sz w:val="24"/>
                <w:szCs w:val="24"/>
              </w:rPr>
            </w:pPr>
            <w:r w:rsidRPr="00C46ACD">
              <w:rPr>
                <w:rFonts w:ascii="GHEA Grapalat" w:eastAsia="GHEA Grapalat" w:hAnsi="GHEA Grapalat" w:cs="GHEA Grapalat"/>
                <w:b/>
                <w:sz w:val="24"/>
                <w:szCs w:val="24"/>
              </w:rPr>
              <w:t>488 860</w:t>
            </w:r>
          </w:p>
        </w:tc>
        <w:tc>
          <w:tcPr>
            <w:tcW w:w="3019" w:type="dxa"/>
            <w:shd w:val="clear" w:color="auto" w:fill="9CC2E5" w:themeFill="accent5" w:themeFillTint="99"/>
          </w:tcPr>
          <w:p w:rsidR="00661ECB" w:rsidRPr="00C46ACD" w:rsidRDefault="00661ECB" w:rsidP="00B363B5">
            <w:pPr>
              <w:spacing w:after="0" w:line="276" w:lineRule="auto"/>
              <w:rPr>
                <w:rFonts w:ascii="GHEA Grapalat" w:eastAsia="GHEA Grapalat" w:hAnsi="GHEA Grapalat" w:cs="GHEA Grapalat"/>
                <w:b/>
                <w:sz w:val="24"/>
                <w:szCs w:val="24"/>
              </w:rPr>
            </w:pPr>
            <w:r w:rsidRPr="00C46ACD">
              <w:rPr>
                <w:rFonts w:ascii="GHEA Grapalat" w:eastAsia="GHEA Grapalat" w:hAnsi="GHEA Grapalat" w:cs="GHEA Grapalat"/>
                <w:b/>
                <w:sz w:val="24"/>
                <w:szCs w:val="24"/>
              </w:rPr>
              <w:t>Բոլոր գործարքների միջին կշռված մեծությունը</w:t>
            </w:r>
          </w:p>
        </w:tc>
        <w:tc>
          <w:tcPr>
            <w:tcW w:w="1751" w:type="dxa"/>
            <w:shd w:val="clear" w:color="auto" w:fill="9CC2E5" w:themeFill="accent5" w:themeFillTint="99"/>
          </w:tcPr>
          <w:p w:rsidR="00661ECB" w:rsidRPr="00C46ACD" w:rsidRDefault="00661ECB" w:rsidP="00B363B5">
            <w:pPr>
              <w:spacing w:after="0" w:line="276" w:lineRule="auto"/>
              <w:rPr>
                <w:rFonts w:ascii="GHEA Grapalat" w:eastAsia="GHEA Grapalat" w:hAnsi="GHEA Grapalat" w:cs="GHEA Grapalat"/>
                <w:b/>
                <w:sz w:val="24"/>
                <w:szCs w:val="24"/>
              </w:rPr>
            </w:pPr>
            <w:r w:rsidRPr="00C46ACD">
              <w:rPr>
                <w:rFonts w:ascii="GHEA Grapalat" w:eastAsia="GHEA Grapalat" w:hAnsi="GHEA Grapalat" w:cs="GHEA Grapalat"/>
                <w:b/>
                <w:sz w:val="24"/>
                <w:szCs w:val="24"/>
              </w:rPr>
              <w:t>550 261</w:t>
            </w:r>
          </w:p>
        </w:tc>
      </w:tr>
      <w:tr w:rsidR="00661ECB" w:rsidRPr="00C46ACD" w:rsidTr="00B363B5">
        <w:trPr>
          <w:trHeight w:val="260"/>
        </w:trPr>
        <w:tc>
          <w:tcPr>
            <w:tcW w:w="2979" w:type="dxa"/>
          </w:tcPr>
          <w:p w:rsidR="00661ECB" w:rsidRPr="00C46ACD" w:rsidRDefault="00661ECB" w:rsidP="00B363B5">
            <w:pPr>
              <w:spacing w:after="0" w:line="276" w:lineRule="auto"/>
              <w:rPr>
                <w:rFonts w:ascii="GHEA Grapalat" w:eastAsia="GHEA Grapalat" w:hAnsi="GHEA Grapalat" w:cs="GHEA Grapalat"/>
                <w:b/>
                <w:sz w:val="24"/>
                <w:szCs w:val="24"/>
              </w:rPr>
            </w:pP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p>
        </w:tc>
      </w:tr>
      <w:tr w:rsidR="00661ECB" w:rsidRPr="00C46ACD" w:rsidTr="00947F1E">
        <w:trPr>
          <w:trHeight w:val="504"/>
        </w:trPr>
        <w:tc>
          <w:tcPr>
            <w:tcW w:w="9810" w:type="dxa"/>
            <w:gridSpan w:val="4"/>
            <w:vMerge w:val="restart"/>
            <w:shd w:val="clear" w:color="auto" w:fill="9CC2E5" w:themeFill="accent5" w:themeFillTint="99"/>
          </w:tcPr>
          <w:p w:rsidR="00661ECB" w:rsidRPr="00C46ACD" w:rsidRDefault="00661ECB" w:rsidP="00B363B5">
            <w:pPr>
              <w:spacing w:after="0" w:line="276" w:lineRule="auto"/>
              <w:jc w:val="center"/>
              <w:rPr>
                <w:rFonts w:ascii="GHEA Grapalat" w:eastAsia="GHEA Grapalat" w:hAnsi="GHEA Grapalat" w:cs="GHEA Grapalat"/>
                <w:b/>
                <w:sz w:val="24"/>
                <w:szCs w:val="24"/>
              </w:rPr>
            </w:pPr>
            <w:r w:rsidRPr="00C46ACD">
              <w:rPr>
                <w:rFonts w:ascii="GHEA Grapalat" w:eastAsia="GHEA Grapalat" w:hAnsi="GHEA Grapalat" w:cs="GHEA Grapalat"/>
                <w:b/>
                <w:sz w:val="24"/>
                <w:szCs w:val="24"/>
              </w:rPr>
              <w:t>Տարեկան 115 մլն դրամից ավել շրջանառություն</w:t>
            </w:r>
          </w:p>
        </w:tc>
      </w:tr>
      <w:tr w:rsidR="00661ECB" w:rsidRPr="00C46ACD" w:rsidTr="00947F1E">
        <w:trPr>
          <w:trHeight w:val="527"/>
        </w:trPr>
        <w:tc>
          <w:tcPr>
            <w:tcW w:w="9810" w:type="dxa"/>
            <w:gridSpan w:val="4"/>
            <w:vMerge/>
            <w:shd w:val="clear" w:color="auto" w:fill="9CC2E5" w:themeFill="accent5" w:themeFillTint="99"/>
          </w:tcPr>
          <w:p w:rsidR="00661ECB" w:rsidRPr="00C46ACD" w:rsidRDefault="00661ECB" w:rsidP="00B363B5">
            <w:pPr>
              <w:widowControl w:val="0"/>
              <w:pBdr>
                <w:top w:val="nil"/>
                <w:left w:val="nil"/>
                <w:bottom w:val="nil"/>
                <w:right w:val="nil"/>
                <w:between w:val="nil"/>
              </w:pBdr>
              <w:spacing w:after="0" w:line="276" w:lineRule="auto"/>
              <w:rPr>
                <w:rFonts w:ascii="GHEA Grapalat" w:eastAsia="GHEA Grapalat" w:hAnsi="GHEA Grapalat" w:cs="GHEA Grapalat"/>
                <w:b/>
                <w:sz w:val="24"/>
                <w:szCs w:val="24"/>
              </w:rPr>
            </w:pPr>
          </w:p>
        </w:tc>
      </w:tr>
      <w:tr w:rsidR="00661ECB" w:rsidRPr="00C46ACD" w:rsidTr="00B363B5">
        <w:trPr>
          <w:trHeight w:val="504"/>
        </w:trPr>
        <w:tc>
          <w:tcPr>
            <w:tcW w:w="5040" w:type="dxa"/>
            <w:gridSpan w:val="2"/>
            <w:vMerge w:val="restart"/>
          </w:tcPr>
          <w:p w:rsidR="00661ECB" w:rsidRPr="00C46ACD" w:rsidRDefault="00661ECB" w:rsidP="00B363B5">
            <w:pPr>
              <w:spacing w:after="0" w:line="276" w:lineRule="auto"/>
              <w:rPr>
                <w:rFonts w:ascii="GHEA Grapalat" w:eastAsia="GHEA Grapalat" w:hAnsi="GHEA Grapalat" w:cs="GHEA Grapalat"/>
                <w:b/>
                <w:sz w:val="24"/>
                <w:szCs w:val="24"/>
              </w:rPr>
            </w:pPr>
            <w:r w:rsidRPr="00C46ACD">
              <w:rPr>
                <w:rFonts w:ascii="GHEA Grapalat" w:eastAsia="GHEA Grapalat" w:hAnsi="GHEA Grapalat" w:cs="GHEA Grapalat"/>
                <w:b/>
                <w:sz w:val="24"/>
                <w:szCs w:val="24"/>
              </w:rPr>
              <w:t>Գործարարների միջև հարաբերություններում (B2B)</w:t>
            </w:r>
          </w:p>
        </w:tc>
        <w:tc>
          <w:tcPr>
            <w:tcW w:w="4770" w:type="dxa"/>
            <w:gridSpan w:val="2"/>
            <w:vMerge w:val="restart"/>
          </w:tcPr>
          <w:p w:rsidR="00661ECB" w:rsidRPr="00C46ACD" w:rsidRDefault="00661ECB" w:rsidP="00B363B5">
            <w:pPr>
              <w:spacing w:after="0" w:line="276" w:lineRule="auto"/>
              <w:jc w:val="center"/>
              <w:rPr>
                <w:rFonts w:ascii="GHEA Grapalat" w:eastAsia="GHEA Grapalat" w:hAnsi="GHEA Grapalat" w:cs="GHEA Grapalat"/>
                <w:b/>
                <w:sz w:val="24"/>
                <w:szCs w:val="24"/>
              </w:rPr>
            </w:pPr>
            <w:r w:rsidRPr="00C46ACD">
              <w:rPr>
                <w:rFonts w:ascii="GHEA Grapalat" w:eastAsia="GHEA Grapalat" w:hAnsi="GHEA Grapalat" w:cs="GHEA Grapalat"/>
                <w:b/>
                <w:sz w:val="24"/>
                <w:szCs w:val="24"/>
              </w:rPr>
              <w:t>Գործարար-սպառող հարաբերություններում (B2C)</w:t>
            </w:r>
          </w:p>
        </w:tc>
      </w:tr>
      <w:tr w:rsidR="00661ECB" w:rsidRPr="00C46ACD" w:rsidTr="00B363B5">
        <w:trPr>
          <w:trHeight w:val="527"/>
        </w:trPr>
        <w:tc>
          <w:tcPr>
            <w:tcW w:w="5040" w:type="dxa"/>
            <w:gridSpan w:val="2"/>
            <w:vMerge/>
          </w:tcPr>
          <w:p w:rsidR="00661ECB" w:rsidRPr="00C46ACD" w:rsidRDefault="00661ECB" w:rsidP="00B363B5">
            <w:pPr>
              <w:widowControl w:val="0"/>
              <w:pBdr>
                <w:top w:val="nil"/>
                <w:left w:val="nil"/>
                <w:bottom w:val="nil"/>
                <w:right w:val="nil"/>
                <w:between w:val="nil"/>
              </w:pBdr>
              <w:spacing w:after="0" w:line="276" w:lineRule="auto"/>
              <w:rPr>
                <w:rFonts w:ascii="GHEA Grapalat" w:eastAsia="GHEA Grapalat" w:hAnsi="GHEA Grapalat" w:cs="GHEA Grapalat"/>
                <w:b/>
                <w:sz w:val="24"/>
                <w:szCs w:val="24"/>
              </w:rPr>
            </w:pPr>
          </w:p>
        </w:tc>
        <w:tc>
          <w:tcPr>
            <w:tcW w:w="4770" w:type="dxa"/>
            <w:gridSpan w:val="2"/>
            <w:vMerge/>
          </w:tcPr>
          <w:p w:rsidR="00661ECB" w:rsidRPr="00C46ACD" w:rsidRDefault="00661ECB" w:rsidP="00B363B5">
            <w:pPr>
              <w:widowControl w:val="0"/>
              <w:pBdr>
                <w:top w:val="nil"/>
                <w:left w:val="nil"/>
                <w:bottom w:val="nil"/>
                <w:right w:val="nil"/>
                <w:between w:val="nil"/>
              </w:pBdr>
              <w:spacing w:after="0" w:line="276" w:lineRule="auto"/>
              <w:rPr>
                <w:rFonts w:ascii="GHEA Grapalat" w:eastAsia="GHEA Grapalat" w:hAnsi="GHEA Grapalat" w:cs="GHEA Grapalat"/>
                <w:b/>
                <w:sz w:val="24"/>
                <w:szCs w:val="24"/>
              </w:rPr>
            </w:pPr>
          </w:p>
        </w:tc>
      </w:tr>
      <w:tr w:rsidR="00661ECB" w:rsidRPr="00C46ACD" w:rsidTr="00B363B5">
        <w:trPr>
          <w:trHeight w:val="30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100 000 ՀՀ դրամը գերազանցող գործարքների քանակ</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13 445</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100 000 ՀՀ դրամը գերազանցող գործարքների քանակ</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6 137</w:t>
            </w:r>
          </w:p>
        </w:tc>
      </w:tr>
      <w:tr w:rsidR="00661ECB" w:rsidRPr="00C46ACD" w:rsidTr="00B363B5">
        <w:trPr>
          <w:trHeight w:val="30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100 000 ՀՀ դրամը գերազանցող գործարքների հանրագումար</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17 301 637 834</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100 000 ՀՀ դրամը գերազանցող գործարքների հանրագումար</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21 386 898 931</w:t>
            </w:r>
          </w:p>
        </w:tc>
      </w:tr>
      <w:tr w:rsidR="00661ECB" w:rsidRPr="00C46ACD" w:rsidTr="00B363B5">
        <w:trPr>
          <w:trHeight w:val="30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Բիզնեսների քանակ</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144</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Բիզնեսների քանակ</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91</w:t>
            </w:r>
          </w:p>
        </w:tc>
      </w:tr>
      <w:tr w:rsidR="00661ECB" w:rsidRPr="00C46ACD" w:rsidTr="00B363B5">
        <w:trPr>
          <w:trHeight w:val="300"/>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lastRenderedPageBreak/>
              <w:t>Մեկ գործարքի միջին արժեքը</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1 286 845</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Մեկ գործարքի միջին արժեքը</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3 484 911</w:t>
            </w:r>
          </w:p>
        </w:tc>
      </w:tr>
      <w:tr w:rsidR="00661ECB" w:rsidRPr="00C46ACD" w:rsidTr="00B363B5">
        <w:trPr>
          <w:trHeight w:val="315"/>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Մինչև 100 000 ՀՀ դրամը գործարքների քանակ</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61 677</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Մինչև 100 000 ՀՀ դրամը գործարքների քանակ</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1 049</w:t>
            </w:r>
          </w:p>
        </w:tc>
      </w:tr>
      <w:tr w:rsidR="00661ECB" w:rsidRPr="00C46ACD" w:rsidTr="00B363B5">
        <w:trPr>
          <w:trHeight w:val="315"/>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Մինչև 100 000 ՀՀ դրամը գործարքների հանրագումար</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1 026 696 385</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Մինչև 100 000 ՀՀ դրամը գործարքների հանրագումար</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26 513 726</w:t>
            </w:r>
          </w:p>
        </w:tc>
      </w:tr>
      <w:tr w:rsidR="00661ECB" w:rsidRPr="00C46ACD" w:rsidTr="00B363B5">
        <w:trPr>
          <w:trHeight w:val="315"/>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Բիզնեսների քանակ</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144</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Բիզնեսների քանակ</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60</w:t>
            </w:r>
          </w:p>
        </w:tc>
      </w:tr>
      <w:tr w:rsidR="00661ECB" w:rsidRPr="00C46ACD" w:rsidTr="00B363B5">
        <w:trPr>
          <w:trHeight w:val="315"/>
        </w:trPr>
        <w:tc>
          <w:tcPr>
            <w:tcW w:w="297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Մեկ գործարքի միջին արժեքը</w:t>
            </w:r>
          </w:p>
        </w:tc>
        <w:tc>
          <w:tcPr>
            <w:tcW w:w="206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16 646</w:t>
            </w:r>
          </w:p>
        </w:tc>
        <w:tc>
          <w:tcPr>
            <w:tcW w:w="3019"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Մեկ գործարքի միջին արժեքը</w:t>
            </w:r>
          </w:p>
        </w:tc>
        <w:tc>
          <w:tcPr>
            <w:tcW w:w="1751" w:type="dxa"/>
          </w:tcPr>
          <w:p w:rsidR="00661ECB" w:rsidRPr="00C46ACD" w:rsidRDefault="00661ECB" w:rsidP="00B363B5">
            <w:pPr>
              <w:spacing w:after="0" w:line="276" w:lineRule="auto"/>
              <w:rPr>
                <w:rFonts w:ascii="GHEA Grapalat" w:eastAsia="GHEA Grapalat" w:hAnsi="GHEA Grapalat" w:cs="GHEA Grapalat"/>
                <w:sz w:val="24"/>
                <w:szCs w:val="24"/>
              </w:rPr>
            </w:pPr>
            <w:r w:rsidRPr="00C46ACD">
              <w:rPr>
                <w:rFonts w:ascii="GHEA Grapalat" w:eastAsia="GHEA Grapalat" w:hAnsi="GHEA Grapalat" w:cs="GHEA Grapalat"/>
                <w:sz w:val="24"/>
                <w:szCs w:val="24"/>
              </w:rPr>
              <w:t>25 275</w:t>
            </w:r>
          </w:p>
        </w:tc>
      </w:tr>
      <w:tr w:rsidR="00661ECB" w:rsidRPr="00C46ACD" w:rsidTr="00947F1E">
        <w:trPr>
          <w:trHeight w:val="315"/>
        </w:trPr>
        <w:tc>
          <w:tcPr>
            <w:tcW w:w="2979" w:type="dxa"/>
            <w:shd w:val="clear" w:color="auto" w:fill="9CC2E5" w:themeFill="accent5" w:themeFillTint="99"/>
          </w:tcPr>
          <w:p w:rsidR="00661ECB" w:rsidRPr="00C46ACD" w:rsidRDefault="00661ECB" w:rsidP="00B363B5">
            <w:pPr>
              <w:spacing w:after="0" w:line="276" w:lineRule="auto"/>
              <w:rPr>
                <w:rFonts w:ascii="GHEA Grapalat" w:eastAsia="GHEA Grapalat" w:hAnsi="GHEA Grapalat" w:cs="GHEA Grapalat"/>
                <w:b/>
                <w:sz w:val="24"/>
                <w:szCs w:val="24"/>
              </w:rPr>
            </w:pPr>
            <w:r w:rsidRPr="00C46ACD">
              <w:rPr>
                <w:rFonts w:ascii="GHEA Grapalat" w:eastAsia="GHEA Grapalat" w:hAnsi="GHEA Grapalat" w:cs="GHEA Grapalat"/>
                <w:b/>
                <w:sz w:val="24"/>
                <w:szCs w:val="24"/>
              </w:rPr>
              <w:t>Բոլոր գործարքների միջին կշռված մեծությունը</w:t>
            </w:r>
          </w:p>
        </w:tc>
        <w:tc>
          <w:tcPr>
            <w:tcW w:w="2061" w:type="dxa"/>
            <w:shd w:val="clear" w:color="auto" w:fill="9CC2E5" w:themeFill="accent5" w:themeFillTint="99"/>
          </w:tcPr>
          <w:p w:rsidR="00661ECB" w:rsidRPr="00C46ACD" w:rsidRDefault="00661ECB" w:rsidP="00B363B5">
            <w:pPr>
              <w:spacing w:after="0" w:line="276" w:lineRule="auto"/>
              <w:rPr>
                <w:rFonts w:ascii="GHEA Grapalat" w:eastAsia="GHEA Grapalat" w:hAnsi="GHEA Grapalat" w:cs="GHEA Grapalat"/>
                <w:b/>
                <w:sz w:val="24"/>
                <w:szCs w:val="24"/>
              </w:rPr>
            </w:pPr>
            <w:r w:rsidRPr="00C46ACD">
              <w:rPr>
                <w:rFonts w:ascii="GHEA Grapalat" w:eastAsia="GHEA Grapalat" w:hAnsi="GHEA Grapalat" w:cs="GHEA Grapalat"/>
                <w:b/>
                <w:sz w:val="24"/>
                <w:szCs w:val="24"/>
              </w:rPr>
              <w:t>635 312</w:t>
            </w:r>
          </w:p>
        </w:tc>
        <w:tc>
          <w:tcPr>
            <w:tcW w:w="3019" w:type="dxa"/>
            <w:shd w:val="clear" w:color="auto" w:fill="9CC2E5" w:themeFill="accent5" w:themeFillTint="99"/>
          </w:tcPr>
          <w:p w:rsidR="00661ECB" w:rsidRPr="00C46ACD" w:rsidRDefault="00661ECB" w:rsidP="00B363B5">
            <w:pPr>
              <w:spacing w:after="0" w:line="276" w:lineRule="auto"/>
              <w:rPr>
                <w:rFonts w:ascii="GHEA Grapalat" w:eastAsia="GHEA Grapalat" w:hAnsi="GHEA Grapalat" w:cs="GHEA Grapalat"/>
                <w:b/>
                <w:sz w:val="24"/>
                <w:szCs w:val="24"/>
              </w:rPr>
            </w:pPr>
            <w:r w:rsidRPr="00C46ACD">
              <w:rPr>
                <w:rFonts w:ascii="GHEA Grapalat" w:eastAsia="GHEA Grapalat" w:hAnsi="GHEA Grapalat" w:cs="GHEA Grapalat"/>
                <w:b/>
                <w:sz w:val="24"/>
                <w:szCs w:val="24"/>
              </w:rPr>
              <w:t>Բոլոր գործարքների միջին կշռված մեծությունը</w:t>
            </w:r>
          </w:p>
        </w:tc>
        <w:tc>
          <w:tcPr>
            <w:tcW w:w="1751" w:type="dxa"/>
            <w:shd w:val="clear" w:color="auto" w:fill="9CC2E5" w:themeFill="accent5" w:themeFillTint="99"/>
          </w:tcPr>
          <w:p w:rsidR="00661ECB" w:rsidRPr="00C46ACD" w:rsidRDefault="00661ECB" w:rsidP="00B363B5">
            <w:pPr>
              <w:spacing w:after="0" w:line="276" w:lineRule="auto"/>
              <w:rPr>
                <w:rFonts w:ascii="GHEA Grapalat" w:eastAsia="GHEA Grapalat" w:hAnsi="GHEA Grapalat" w:cs="GHEA Grapalat"/>
                <w:b/>
                <w:sz w:val="24"/>
                <w:szCs w:val="24"/>
              </w:rPr>
            </w:pPr>
            <w:r w:rsidRPr="00C46ACD">
              <w:rPr>
                <w:rFonts w:ascii="GHEA Grapalat" w:eastAsia="GHEA Grapalat" w:hAnsi="GHEA Grapalat" w:cs="GHEA Grapalat"/>
                <w:b/>
                <w:sz w:val="24"/>
                <w:szCs w:val="24"/>
              </w:rPr>
              <w:t>1 730 000</w:t>
            </w:r>
          </w:p>
        </w:tc>
      </w:tr>
    </w:tbl>
    <w:p w:rsidR="00661ECB" w:rsidRPr="00C46ACD" w:rsidRDefault="00661ECB" w:rsidP="00B363B5">
      <w:pPr>
        <w:spacing w:after="0" w:line="276" w:lineRule="auto"/>
        <w:rPr>
          <w:rFonts w:ascii="GHEA Grapalat" w:eastAsia="GHEA Grapalat" w:hAnsi="GHEA Grapalat" w:cs="GHEA Grapalat"/>
          <w:sz w:val="24"/>
          <w:szCs w:val="24"/>
        </w:rPr>
      </w:pPr>
    </w:p>
    <w:p w:rsidR="00661ECB" w:rsidRPr="00C46ACD" w:rsidRDefault="00661ECB" w:rsidP="00B363B5">
      <w:pPr>
        <w:tabs>
          <w:tab w:val="left" w:pos="1390"/>
        </w:tabs>
        <w:spacing w:after="0" w:line="276" w:lineRule="auto"/>
        <w:jc w:val="right"/>
        <w:rPr>
          <w:rFonts w:ascii="GHEA Grapalat" w:eastAsia="GHEA Grapalat" w:hAnsi="GHEA Grapalat" w:cs="GHEA Grapalat"/>
          <w:sz w:val="24"/>
          <w:szCs w:val="24"/>
        </w:rPr>
      </w:pPr>
      <w:r w:rsidRPr="00C46ACD">
        <w:rPr>
          <w:rFonts w:ascii="GHEA Grapalat" w:eastAsia="GHEA Grapalat" w:hAnsi="GHEA Grapalat" w:cs="GHEA Grapalat"/>
          <w:sz w:val="24"/>
          <w:szCs w:val="24"/>
        </w:rPr>
        <w:tab/>
      </w:r>
      <w:r w:rsidRPr="00C46ACD">
        <w:rPr>
          <w:rFonts w:ascii="GHEA Grapalat" w:eastAsia="GHEA Grapalat" w:hAnsi="GHEA Grapalat" w:cs="GHEA Grapalat"/>
          <w:b/>
          <w:sz w:val="24"/>
          <w:szCs w:val="24"/>
        </w:rPr>
        <w:t>Աղյուսակ 2</w:t>
      </w:r>
    </w:p>
    <w:tbl>
      <w:tblPr>
        <w:tblW w:w="990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5"/>
        <w:gridCol w:w="1407"/>
        <w:gridCol w:w="1351"/>
        <w:gridCol w:w="1922"/>
        <w:gridCol w:w="1710"/>
        <w:gridCol w:w="1615"/>
      </w:tblGrid>
      <w:tr w:rsidR="00661ECB" w:rsidRPr="00C46ACD" w:rsidTr="00947F1E">
        <w:trPr>
          <w:trHeight w:val="290"/>
        </w:trPr>
        <w:tc>
          <w:tcPr>
            <w:tcW w:w="9900" w:type="dxa"/>
            <w:gridSpan w:val="6"/>
            <w:shd w:val="clear" w:color="auto" w:fill="9CC2E5" w:themeFill="accent5" w:themeFillTint="99"/>
            <w:vAlign w:val="bottom"/>
          </w:tcPr>
          <w:p w:rsidR="00661ECB" w:rsidRPr="00C46ACD" w:rsidRDefault="00661ECB" w:rsidP="00B363B5">
            <w:pPr>
              <w:spacing w:after="0" w:line="276" w:lineRule="auto"/>
              <w:jc w:val="center"/>
              <w:rPr>
                <w:rFonts w:ascii="GHEA Grapalat" w:eastAsia="GHEA Grapalat" w:hAnsi="GHEA Grapalat" w:cs="GHEA Grapalat"/>
                <w:b/>
                <w:color w:val="000000"/>
                <w:sz w:val="24"/>
                <w:szCs w:val="24"/>
              </w:rPr>
            </w:pPr>
            <w:r w:rsidRPr="00C46ACD">
              <w:rPr>
                <w:rFonts w:ascii="GHEA Grapalat" w:eastAsia="GHEA Grapalat" w:hAnsi="GHEA Grapalat" w:cs="GHEA Grapalat"/>
                <w:sz w:val="24"/>
                <w:szCs w:val="24"/>
              </w:rPr>
              <w:t xml:space="preserve"> </w:t>
            </w:r>
            <w:r w:rsidRPr="00C46ACD">
              <w:rPr>
                <w:rFonts w:ascii="GHEA Grapalat" w:eastAsia="GHEA Grapalat" w:hAnsi="GHEA Grapalat" w:cs="GHEA Grapalat"/>
                <w:b/>
                <w:color w:val="000000"/>
                <w:sz w:val="24"/>
                <w:szCs w:val="24"/>
              </w:rPr>
              <w:t>Գործարարների միջև հարաբերություններում (B2B)</w:t>
            </w:r>
          </w:p>
        </w:tc>
      </w:tr>
      <w:tr w:rsidR="00661ECB" w:rsidRPr="00C46ACD" w:rsidTr="00947F1E">
        <w:trPr>
          <w:trHeight w:val="510"/>
        </w:trPr>
        <w:tc>
          <w:tcPr>
            <w:tcW w:w="4653" w:type="dxa"/>
            <w:gridSpan w:val="3"/>
            <w:shd w:val="clear" w:color="auto" w:fill="9CC2E5" w:themeFill="accent5" w:themeFillTint="99"/>
            <w:vAlign w:val="center"/>
          </w:tcPr>
          <w:p w:rsidR="00661ECB" w:rsidRPr="00C46ACD" w:rsidRDefault="00661ECB" w:rsidP="00B363B5">
            <w:pPr>
              <w:spacing w:after="0" w:line="276" w:lineRule="auto"/>
              <w:jc w:val="center"/>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Մինչև 115 մլն շրջանառություն</w:t>
            </w:r>
          </w:p>
        </w:tc>
        <w:tc>
          <w:tcPr>
            <w:tcW w:w="5247" w:type="dxa"/>
            <w:gridSpan w:val="3"/>
            <w:shd w:val="clear" w:color="auto" w:fill="9CC2E5" w:themeFill="accent5" w:themeFillTint="99"/>
            <w:vAlign w:val="center"/>
          </w:tcPr>
          <w:p w:rsidR="00661ECB" w:rsidRPr="00C46ACD" w:rsidRDefault="00661ECB" w:rsidP="00B363B5">
            <w:pPr>
              <w:spacing w:after="0" w:line="276" w:lineRule="auto"/>
              <w:jc w:val="center"/>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115 մլն-ից ավել շրջանառություն</w:t>
            </w:r>
          </w:p>
        </w:tc>
      </w:tr>
      <w:tr w:rsidR="00661ECB" w:rsidRPr="00C46ACD" w:rsidTr="00947F1E">
        <w:trPr>
          <w:trHeight w:val="1151"/>
        </w:trPr>
        <w:tc>
          <w:tcPr>
            <w:tcW w:w="1895" w:type="dxa"/>
            <w:vMerge w:val="restart"/>
            <w:shd w:val="clear" w:color="auto" w:fill="auto"/>
          </w:tcPr>
          <w:p w:rsidR="00661ECB" w:rsidRPr="00C46ACD" w:rsidRDefault="00661ECB" w:rsidP="00B363B5">
            <w:pPr>
              <w:spacing w:after="0" w:line="276" w:lineRule="auto"/>
              <w:jc w:val="center"/>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100 հազար դրամը գերազանցող անհուսալի դեբիտորական պարտավորությունների միջին մեծությունը՝ մեկ հաշվարկային փաստաթղթի հաշվով</w:t>
            </w:r>
          </w:p>
        </w:tc>
        <w:tc>
          <w:tcPr>
            <w:tcW w:w="2758" w:type="dxa"/>
            <w:gridSpan w:val="2"/>
            <w:shd w:val="clear" w:color="auto" w:fill="auto"/>
          </w:tcPr>
          <w:p w:rsidR="00661ECB" w:rsidRPr="00C46ACD" w:rsidRDefault="00661ECB" w:rsidP="00B363B5">
            <w:pPr>
              <w:spacing w:after="0" w:line="276" w:lineRule="auto"/>
              <w:jc w:val="center"/>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100 հազար դրամը գերազանցող անհուսալի դեբիտորական պարտավորությունների տեսակարար կշիռը</w:t>
            </w:r>
          </w:p>
        </w:tc>
        <w:tc>
          <w:tcPr>
            <w:tcW w:w="1922" w:type="dxa"/>
            <w:vMerge w:val="restart"/>
            <w:shd w:val="clear" w:color="auto" w:fill="auto"/>
          </w:tcPr>
          <w:p w:rsidR="00661ECB" w:rsidRPr="00C46ACD" w:rsidRDefault="00661ECB" w:rsidP="00B363B5">
            <w:pPr>
              <w:spacing w:after="0" w:line="276" w:lineRule="auto"/>
              <w:jc w:val="center"/>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100 հազար դրամը գերազանցող անհուսալի դեբիտորական պարտավորությունների միջին մեծությունը՝ մեկ հաշվարկային փաստաթղթի հաշվով</w:t>
            </w:r>
          </w:p>
        </w:tc>
        <w:tc>
          <w:tcPr>
            <w:tcW w:w="3325" w:type="dxa"/>
            <w:gridSpan w:val="2"/>
            <w:shd w:val="clear" w:color="auto" w:fill="auto"/>
          </w:tcPr>
          <w:p w:rsidR="00661ECB" w:rsidRPr="00C46ACD" w:rsidRDefault="00661ECB" w:rsidP="00B363B5">
            <w:pPr>
              <w:spacing w:after="0" w:line="276" w:lineRule="auto"/>
              <w:jc w:val="center"/>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100 հազար դրամը գերազանցող անհուսալի դեբիտորական պարտավորությունների տեսակարար կշիռը</w:t>
            </w:r>
          </w:p>
        </w:tc>
      </w:tr>
      <w:tr w:rsidR="00661ECB" w:rsidRPr="00C46ACD" w:rsidTr="00947F1E">
        <w:trPr>
          <w:trHeight w:val="1000"/>
        </w:trPr>
        <w:tc>
          <w:tcPr>
            <w:tcW w:w="1895" w:type="dxa"/>
            <w:vMerge/>
            <w:shd w:val="clear" w:color="auto" w:fill="auto"/>
          </w:tcPr>
          <w:p w:rsidR="00661ECB" w:rsidRPr="00C46ACD" w:rsidRDefault="00661ECB" w:rsidP="00B363B5">
            <w:pPr>
              <w:widowControl w:val="0"/>
              <w:pBdr>
                <w:top w:val="nil"/>
                <w:left w:val="nil"/>
                <w:bottom w:val="nil"/>
                <w:right w:val="nil"/>
                <w:between w:val="nil"/>
              </w:pBdr>
              <w:spacing w:after="0" w:line="276" w:lineRule="auto"/>
              <w:rPr>
                <w:rFonts w:ascii="GHEA Grapalat" w:eastAsia="GHEA Grapalat" w:hAnsi="GHEA Grapalat" w:cs="GHEA Grapalat"/>
                <w:b/>
                <w:color w:val="000000"/>
                <w:sz w:val="24"/>
                <w:szCs w:val="24"/>
              </w:rPr>
            </w:pPr>
          </w:p>
        </w:tc>
        <w:tc>
          <w:tcPr>
            <w:tcW w:w="1407" w:type="dxa"/>
            <w:shd w:val="clear" w:color="auto" w:fill="auto"/>
          </w:tcPr>
          <w:p w:rsidR="00661ECB" w:rsidRPr="00C46ACD" w:rsidRDefault="00661ECB" w:rsidP="00B363B5">
            <w:pPr>
              <w:spacing w:after="0" w:line="276" w:lineRule="auto"/>
              <w:jc w:val="center"/>
              <w:rPr>
                <w:rFonts w:ascii="GHEA Grapalat" w:eastAsia="GHEA Grapalat" w:hAnsi="GHEA Grapalat" w:cs="GHEA Grapalat"/>
                <w:b/>
                <w:i/>
                <w:color w:val="000000"/>
                <w:sz w:val="24"/>
                <w:szCs w:val="24"/>
              </w:rPr>
            </w:pPr>
            <w:r w:rsidRPr="00C46ACD">
              <w:rPr>
                <w:rFonts w:ascii="GHEA Grapalat" w:eastAsia="GHEA Grapalat" w:hAnsi="GHEA Grapalat" w:cs="GHEA Grapalat"/>
                <w:b/>
                <w:i/>
                <w:color w:val="000000"/>
                <w:sz w:val="24"/>
                <w:szCs w:val="24"/>
              </w:rPr>
              <w:t>արժեքային արտահայտությամբ</w:t>
            </w:r>
          </w:p>
        </w:tc>
        <w:tc>
          <w:tcPr>
            <w:tcW w:w="1351" w:type="dxa"/>
            <w:shd w:val="clear" w:color="auto" w:fill="auto"/>
          </w:tcPr>
          <w:p w:rsidR="00661ECB" w:rsidRPr="00C46ACD" w:rsidRDefault="00661ECB" w:rsidP="00B363B5">
            <w:pPr>
              <w:spacing w:after="0" w:line="276" w:lineRule="auto"/>
              <w:jc w:val="center"/>
              <w:rPr>
                <w:rFonts w:ascii="GHEA Grapalat" w:eastAsia="GHEA Grapalat" w:hAnsi="GHEA Grapalat" w:cs="GHEA Grapalat"/>
                <w:b/>
                <w:i/>
                <w:color w:val="000000"/>
                <w:sz w:val="24"/>
                <w:szCs w:val="24"/>
              </w:rPr>
            </w:pPr>
            <w:r w:rsidRPr="00C46ACD">
              <w:rPr>
                <w:rFonts w:ascii="GHEA Grapalat" w:eastAsia="GHEA Grapalat" w:hAnsi="GHEA Grapalat" w:cs="GHEA Grapalat"/>
                <w:b/>
                <w:i/>
                <w:color w:val="000000"/>
                <w:sz w:val="24"/>
                <w:szCs w:val="24"/>
              </w:rPr>
              <w:t>ըստ պարտավորությունների թվի</w:t>
            </w:r>
          </w:p>
        </w:tc>
        <w:tc>
          <w:tcPr>
            <w:tcW w:w="1922" w:type="dxa"/>
            <w:vMerge/>
            <w:shd w:val="clear" w:color="auto" w:fill="auto"/>
          </w:tcPr>
          <w:p w:rsidR="00661ECB" w:rsidRPr="00C46ACD" w:rsidRDefault="00661ECB" w:rsidP="00B363B5">
            <w:pPr>
              <w:widowControl w:val="0"/>
              <w:pBdr>
                <w:top w:val="nil"/>
                <w:left w:val="nil"/>
                <w:bottom w:val="nil"/>
                <w:right w:val="nil"/>
                <w:between w:val="nil"/>
              </w:pBdr>
              <w:spacing w:after="0" w:line="276" w:lineRule="auto"/>
              <w:rPr>
                <w:rFonts w:ascii="GHEA Grapalat" w:eastAsia="GHEA Grapalat" w:hAnsi="GHEA Grapalat" w:cs="GHEA Grapalat"/>
                <w:b/>
                <w:i/>
                <w:color w:val="000000"/>
                <w:sz w:val="24"/>
                <w:szCs w:val="24"/>
              </w:rPr>
            </w:pPr>
          </w:p>
        </w:tc>
        <w:tc>
          <w:tcPr>
            <w:tcW w:w="1710" w:type="dxa"/>
            <w:shd w:val="clear" w:color="auto" w:fill="auto"/>
          </w:tcPr>
          <w:p w:rsidR="00661ECB" w:rsidRPr="00C46ACD" w:rsidRDefault="00661ECB" w:rsidP="00B363B5">
            <w:pPr>
              <w:spacing w:after="0" w:line="276" w:lineRule="auto"/>
              <w:jc w:val="center"/>
              <w:rPr>
                <w:rFonts w:ascii="GHEA Grapalat" w:eastAsia="GHEA Grapalat" w:hAnsi="GHEA Grapalat" w:cs="GHEA Grapalat"/>
                <w:b/>
                <w:i/>
                <w:color w:val="000000"/>
                <w:sz w:val="24"/>
                <w:szCs w:val="24"/>
              </w:rPr>
            </w:pPr>
            <w:r w:rsidRPr="00C46ACD">
              <w:rPr>
                <w:rFonts w:ascii="GHEA Grapalat" w:eastAsia="GHEA Grapalat" w:hAnsi="GHEA Grapalat" w:cs="GHEA Grapalat"/>
                <w:b/>
                <w:i/>
                <w:color w:val="000000"/>
                <w:sz w:val="24"/>
                <w:szCs w:val="24"/>
              </w:rPr>
              <w:t>արժեքային արտահայտությամբ</w:t>
            </w:r>
          </w:p>
        </w:tc>
        <w:tc>
          <w:tcPr>
            <w:tcW w:w="1615" w:type="dxa"/>
            <w:shd w:val="clear" w:color="auto" w:fill="auto"/>
          </w:tcPr>
          <w:p w:rsidR="00661ECB" w:rsidRPr="00C46ACD" w:rsidRDefault="00661ECB" w:rsidP="00B363B5">
            <w:pPr>
              <w:spacing w:after="0" w:line="276" w:lineRule="auto"/>
              <w:jc w:val="center"/>
              <w:rPr>
                <w:rFonts w:ascii="GHEA Grapalat" w:eastAsia="GHEA Grapalat" w:hAnsi="GHEA Grapalat" w:cs="GHEA Grapalat"/>
                <w:b/>
                <w:i/>
                <w:color w:val="000000"/>
                <w:sz w:val="24"/>
                <w:szCs w:val="24"/>
              </w:rPr>
            </w:pPr>
            <w:r w:rsidRPr="00C46ACD">
              <w:rPr>
                <w:rFonts w:ascii="GHEA Grapalat" w:eastAsia="GHEA Grapalat" w:hAnsi="GHEA Grapalat" w:cs="GHEA Grapalat"/>
                <w:b/>
                <w:i/>
                <w:color w:val="000000"/>
                <w:sz w:val="24"/>
                <w:szCs w:val="24"/>
              </w:rPr>
              <w:t>ըստ պարտավորությունների թվի</w:t>
            </w:r>
          </w:p>
        </w:tc>
      </w:tr>
      <w:tr w:rsidR="00661ECB" w:rsidRPr="00C46ACD" w:rsidTr="00947F1E">
        <w:trPr>
          <w:trHeight w:val="740"/>
        </w:trPr>
        <w:tc>
          <w:tcPr>
            <w:tcW w:w="1895" w:type="dxa"/>
            <w:shd w:val="clear" w:color="auto" w:fill="9CC2E5" w:themeFill="accent5" w:themeFillTint="99"/>
            <w:vAlign w:val="bottom"/>
          </w:tcPr>
          <w:p w:rsidR="00661ECB" w:rsidRPr="00C46ACD" w:rsidRDefault="00661ECB" w:rsidP="00B363B5">
            <w:pPr>
              <w:spacing w:after="0" w:line="276" w:lineRule="auto"/>
              <w:jc w:val="right"/>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153 000</w:t>
            </w:r>
          </w:p>
        </w:tc>
        <w:tc>
          <w:tcPr>
            <w:tcW w:w="1407" w:type="dxa"/>
            <w:shd w:val="clear" w:color="auto" w:fill="9CC2E5" w:themeFill="accent5" w:themeFillTint="99"/>
            <w:vAlign w:val="bottom"/>
          </w:tcPr>
          <w:p w:rsidR="00661ECB" w:rsidRPr="00C46ACD" w:rsidRDefault="00661ECB" w:rsidP="00B363B5">
            <w:pPr>
              <w:spacing w:after="0" w:line="276" w:lineRule="auto"/>
              <w:jc w:val="right"/>
              <w:rPr>
                <w:rFonts w:ascii="GHEA Grapalat" w:eastAsia="GHEA Grapalat" w:hAnsi="GHEA Grapalat" w:cs="GHEA Grapalat"/>
                <w:color w:val="000000"/>
                <w:sz w:val="24"/>
                <w:szCs w:val="24"/>
              </w:rPr>
            </w:pPr>
            <w:r w:rsidRPr="00C46ACD">
              <w:rPr>
                <w:rFonts w:ascii="GHEA Grapalat" w:eastAsia="GHEA Grapalat" w:hAnsi="GHEA Grapalat" w:cs="GHEA Grapalat"/>
                <w:color w:val="000000"/>
                <w:sz w:val="24"/>
                <w:szCs w:val="24"/>
              </w:rPr>
              <w:t>30%</w:t>
            </w:r>
          </w:p>
        </w:tc>
        <w:tc>
          <w:tcPr>
            <w:tcW w:w="1351" w:type="dxa"/>
            <w:shd w:val="clear" w:color="auto" w:fill="9CC2E5" w:themeFill="accent5" w:themeFillTint="99"/>
            <w:vAlign w:val="bottom"/>
          </w:tcPr>
          <w:p w:rsidR="00661ECB" w:rsidRPr="00C46ACD" w:rsidRDefault="00661ECB" w:rsidP="00B363B5">
            <w:pPr>
              <w:spacing w:after="0" w:line="276" w:lineRule="auto"/>
              <w:jc w:val="right"/>
              <w:rPr>
                <w:rFonts w:ascii="GHEA Grapalat" w:eastAsia="GHEA Grapalat" w:hAnsi="GHEA Grapalat" w:cs="GHEA Grapalat"/>
                <w:color w:val="000000"/>
                <w:sz w:val="24"/>
                <w:szCs w:val="24"/>
              </w:rPr>
            </w:pPr>
            <w:r w:rsidRPr="00C46ACD">
              <w:rPr>
                <w:rFonts w:ascii="GHEA Grapalat" w:eastAsia="GHEA Grapalat" w:hAnsi="GHEA Grapalat" w:cs="GHEA Grapalat"/>
                <w:color w:val="000000"/>
                <w:sz w:val="24"/>
                <w:szCs w:val="24"/>
              </w:rPr>
              <w:t>15%</w:t>
            </w:r>
          </w:p>
        </w:tc>
        <w:tc>
          <w:tcPr>
            <w:tcW w:w="1922" w:type="dxa"/>
            <w:shd w:val="clear" w:color="auto" w:fill="9CC2E5" w:themeFill="accent5" w:themeFillTint="99"/>
            <w:vAlign w:val="bottom"/>
          </w:tcPr>
          <w:p w:rsidR="00661ECB" w:rsidRPr="00C46ACD" w:rsidRDefault="00661ECB" w:rsidP="00B363B5">
            <w:pPr>
              <w:spacing w:after="0" w:line="276" w:lineRule="auto"/>
              <w:jc w:val="right"/>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257 000</w:t>
            </w:r>
          </w:p>
        </w:tc>
        <w:tc>
          <w:tcPr>
            <w:tcW w:w="1710" w:type="dxa"/>
            <w:shd w:val="clear" w:color="auto" w:fill="9CC2E5" w:themeFill="accent5" w:themeFillTint="99"/>
            <w:vAlign w:val="bottom"/>
          </w:tcPr>
          <w:p w:rsidR="00661ECB" w:rsidRPr="00C46ACD" w:rsidRDefault="00661ECB" w:rsidP="00B363B5">
            <w:pPr>
              <w:spacing w:after="0" w:line="276" w:lineRule="auto"/>
              <w:jc w:val="right"/>
              <w:rPr>
                <w:rFonts w:ascii="GHEA Grapalat" w:eastAsia="GHEA Grapalat" w:hAnsi="GHEA Grapalat" w:cs="GHEA Grapalat"/>
                <w:color w:val="000000"/>
                <w:sz w:val="24"/>
                <w:szCs w:val="24"/>
              </w:rPr>
            </w:pPr>
            <w:r w:rsidRPr="00C46ACD">
              <w:rPr>
                <w:rFonts w:ascii="GHEA Grapalat" w:eastAsia="GHEA Grapalat" w:hAnsi="GHEA Grapalat" w:cs="GHEA Grapalat"/>
                <w:color w:val="000000"/>
                <w:sz w:val="24"/>
                <w:szCs w:val="24"/>
              </w:rPr>
              <w:t>80%</w:t>
            </w:r>
          </w:p>
        </w:tc>
        <w:tc>
          <w:tcPr>
            <w:tcW w:w="1615" w:type="dxa"/>
            <w:shd w:val="clear" w:color="auto" w:fill="9CC2E5" w:themeFill="accent5" w:themeFillTint="99"/>
            <w:vAlign w:val="bottom"/>
          </w:tcPr>
          <w:p w:rsidR="00661ECB" w:rsidRPr="00C46ACD" w:rsidRDefault="00661ECB" w:rsidP="00B363B5">
            <w:pPr>
              <w:spacing w:after="0" w:line="276" w:lineRule="auto"/>
              <w:jc w:val="right"/>
              <w:rPr>
                <w:rFonts w:ascii="GHEA Grapalat" w:eastAsia="GHEA Grapalat" w:hAnsi="GHEA Grapalat" w:cs="GHEA Grapalat"/>
                <w:color w:val="000000"/>
                <w:sz w:val="24"/>
                <w:szCs w:val="24"/>
              </w:rPr>
            </w:pPr>
            <w:r w:rsidRPr="00C46ACD">
              <w:rPr>
                <w:rFonts w:ascii="GHEA Grapalat" w:eastAsia="GHEA Grapalat" w:hAnsi="GHEA Grapalat" w:cs="GHEA Grapalat"/>
                <w:color w:val="000000"/>
                <w:sz w:val="24"/>
                <w:szCs w:val="24"/>
              </w:rPr>
              <w:t>43%</w:t>
            </w:r>
          </w:p>
        </w:tc>
      </w:tr>
    </w:tbl>
    <w:p w:rsidR="00661ECB" w:rsidRPr="00C46ACD" w:rsidRDefault="00661ECB" w:rsidP="00B363B5">
      <w:pPr>
        <w:pBdr>
          <w:top w:val="nil"/>
          <w:left w:val="nil"/>
          <w:bottom w:val="nil"/>
          <w:right w:val="nil"/>
          <w:between w:val="nil"/>
        </w:pBdr>
        <w:tabs>
          <w:tab w:val="left" w:pos="360"/>
        </w:tabs>
        <w:spacing w:line="276" w:lineRule="auto"/>
        <w:jc w:val="both"/>
        <w:rPr>
          <w:rFonts w:ascii="GHEA Grapalat" w:eastAsia="GHEA Grapalat" w:hAnsi="GHEA Grapalat" w:cs="GHEA Grapalat"/>
          <w:color w:val="000000"/>
          <w:sz w:val="24"/>
          <w:szCs w:val="24"/>
        </w:rPr>
      </w:pPr>
      <w:r w:rsidRPr="00C46ACD">
        <w:rPr>
          <w:rFonts w:ascii="GHEA Grapalat" w:eastAsia="GHEA Grapalat" w:hAnsi="GHEA Grapalat" w:cs="GHEA Grapalat"/>
          <w:color w:val="000000"/>
          <w:sz w:val="24"/>
          <w:szCs w:val="24"/>
        </w:rPr>
        <w:lastRenderedPageBreak/>
        <w:t>Հաշվի առնելով վերը բերված վերլուծությունը, ինչպես նաև միջնաժամկետ հատվածում փոփոխություններ չպլանավորելու և որոշակի կայուն շեմ ունենալու անհրաժեշտությունը՝ առաջարկվել է գործող 100</w:t>
      </w:r>
      <w:r w:rsidRPr="00C46ACD">
        <w:rPr>
          <w:rFonts w:ascii="Cambria Math" w:eastAsia="Cambria Math" w:hAnsi="Cambria Math" w:cs="Cambria Math"/>
          <w:color w:val="000000"/>
          <w:sz w:val="24"/>
          <w:szCs w:val="24"/>
        </w:rPr>
        <w:t>․</w:t>
      </w:r>
      <w:r w:rsidRPr="00C46ACD">
        <w:rPr>
          <w:rFonts w:ascii="GHEA Grapalat" w:eastAsia="GHEA Grapalat" w:hAnsi="GHEA Grapalat" w:cs="GHEA Grapalat"/>
          <w:color w:val="000000"/>
          <w:sz w:val="24"/>
          <w:szCs w:val="24"/>
        </w:rPr>
        <w:t>000 դրամի փոխարեն նախատեսել 300.000 դրամ շեմը։</w:t>
      </w:r>
    </w:p>
    <w:p w:rsidR="00661ECB" w:rsidRPr="00C46ACD" w:rsidRDefault="00661ECB" w:rsidP="00B363B5">
      <w:pPr>
        <w:spacing w:after="0" w:line="276" w:lineRule="auto"/>
        <w:ind w:firstLine="540"/>
        <w:jc w:val="both"/>
        <w:rPr>
          <w:rFonts w:ascii="GHEA Grapalat" w:eastAsia="GHEA Grapalat" w:hAnsi="GHEA Grapalat" w:cs="GHEA Grapalat"/>
          <w:sz w:val="24"/>
          <w:szCs w:val="24"/>
        </w:rPr>
      </w:pPr>
      <w:r w:rsidRPr="00C46ACD">
        <w:rPr>
          <w:rFonts w:ascii="GHEA Grapalat" w:eastAsia="GHEA Grapalat" w:hAnsi="GHEA Grapalat" w:cs="GHEA Grapalat"/>
          <w:b/>
          <w:sz w:val="24"/>
          <w:szCs w:val="24"/>
        </w:rPr>
        <w:t>Առաջարկվող մյուս փոփոխության մասով</w:t>
      </w:r>
      <w:r w:rsidRPr="00C46ACD">
        <w:rPr>
          <w:rFonts w:ascii="GHEA Grapalat" w:eastAsia="GHEA Grapalat" w:hAnsi="GHEA Grapalat" w:cs="GHEA Grapalat"/>
          <w:sz w:val="24"/>
          <w:szCs w:val="24"/>
        </w:rPr>
        <w:t xml:space="preserve"> հարկ է նշել, որ դեբիտորական պարտքերի հնարավոր կորուստների պահուստի (պահուստաֆոնդի) ձևավորման վերաբերյալ ՀՀ կառավարության 05.10.2017թ</w:t>
      </w:r>
      <w:r w:rsidRPr="00C46ACD">
        <w:rPr>
          <w:rFonts w:ascii="Cambria Math" w:eastAsia="Cambria Math" w:hAnsi="Cambria Math" w:cs="Cambria Math"/>
          <w:sz w:val="24"/>
          <w:szCs w:val="24"/>
        </w:rPr>
        <w:t>․</w:t>
      </w:r>
      <w:r w:rsidRPr="00C46ACD">
        <w:rPr>
          <w:rFonts w:ascii="GHEA Grapalat" w:eastAsia="GHEA Grapalat" w:hAnsi="GHEA Grapalat" w:cs="GHEA Grapalat"/>
          <w:sz w:val="24"/>
          <w:szCs w:val="24"/>
        </w:rPr>
        <w:t xml:space="preserve"> 1373-Ն որոշմամբ սահմանված պահուստավորման առավելագույն ժամկետը </w:t>
      </w:r>
      <w:r w:rsidRPr="00C46ACD">
        <w:rPr>
          <w:sz w:val="24"/>
          <w:szCs w:val="24"/>
        </w:rPr>
        <w:t> </w:t>
      </w:r>
      <w:r w:rsidRPr="00C46ACD">
        <w:rPr>
          <w:rFonts w:ascii="GHEA Grapalat" w:eastAsia="GHEA Grapalat" w:hAnsi="GHEA Grapalat" w:cs="GHEA Grapalat"/>
          <w:sz w:val="24"/>
          <w:szCs w:val="24"/>
        </w:rPr>
        <w:t xml:space="preserve">365 օրն է։ Դեբիտորական պարտքն անհուսալի ճանաչելու և ծախսագրելու համար անհրաժեշտ է մինչև այդ ժամկետը ունենալ դատարանի վճիռ, ինչը գործնականում անհնար է։ Նախ, գործարար հարաբերություններում անհրաժեշտ է որոշակի ժամանակ՝ պարտքը գործընկերային կարգով, առանց դատարանի միջամտության, ստանալու համար, որից հետո միայն կարող է որոշում ընդունվել դատարան դիմելու մասին։ Որպես կանոն, «սպասման ժամկետը» մեկ տարի է։ </w:t>
      </w:r>
    </w:p>
    <w:p w:rsidR="00661ECB" w:rsidRPr="00C46ACD" w:rsidRDefault="00661ECB" w:rsidP="00B363B5">
      <w:pPr>
        <w:spacing w:after="0" w:line="276" w:lineRule="auto"/>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t>Մյուս կողմից, հաշվի առնելով դատարանների ծանրաբեռնվածությունը, անհրաժեշտ է ևս զգալի ժամանակահատված՝ վճիռ ունենալու համար։ Սա նշանակում է, որ տնտեսավարողները ստիպված են լինում հարկ վճարել այն գումարից, որը դեռ չեն ստացել</w:t>
      </w:r>
      <w:r w:rsidRPr="001C6D37">
        <w:rPr>
          <w:rFonts w:ascii="GHEA Grapalat" w:eastAsia="GHEA Grapalat" w:hAnsi="GHEA Grapalat" w:cs="GHEA Grapalat"/>
          <w:sz w:val="24"/>
          <w:szCs w:val="24"/>
        </w:rPr>
        <w:t xml:space="preserve"> </w:t>
      </w:r>
      <w:r w:rsidRPr="00C46ACD">
        <w:rPr>
          <w:rFonts w:ascii="GHEA Grapalat" w:eastAsia="GHEA Grapalat" w:hAnsi="GHEA Grapalat" w:cs="GHEA Grapalat"/>
          <w:sz w:val="24"/>
          <w:szCs w:val="24"/>
        </w:rPr>
        <w:t>կամ չեն ստանալու։</w:t>
      </w:r>
    </w:p>
    <w:p w:rsidR="00661ECB" w:rsidRPr="00C46ACD" w:rsidRDefault="00661ECB" w:rsidP="00B363B5">
      <w:pPr>
        <w:spacing w:after="0" w:line="276" w:lineRule="auto"/>
        <w:jc w:val="both"/>
        <w:rPr>
          <w:rFonts w:ascii="GHEA Grapalat" w:eastAsia="GHEA Grapalat" w:hAnsi="GHEA Grapalat" w:cs="GHEA Grapalat"/>
          <w:sz w:val="24"/>
          <w:szCs w:val="24"/>
        </w:rPr>
      </w:pPr>
      <w:r w:rsidRPr="00C46ACD">
        <w:rPr>
          <w:rFonts w:ascii="GHEA Grapalat" w:eastAsia="GHEA Grapalat" w:hAnsi="GHEA Grapalat" w:cs="GHEA Grapalat"/>
          <w:sz w:val="24"/>
          <w:szCs w:val="24"/>
        </w:rPr>
        <w:t xml:space="preserve">Նման անբարենպաստ իրավիճակը կվերանա, եթե </w:t>
      </w:r>
      <w:r>
        <w:rPr>
          <w:rFonts w:ascii="GHEA Grapalat" w:eastAsia="GHEA Grapalat" w:hAnsi="GHEA Grapalat" w:cs="GHEA Grapalat"/>
          <w:sz w:val="24"/>
          <w:szCs w:val="24"/>
        </w:rPr>
        <w:t>արդեն իսկ օրենսդրությամբ սահմանված վեճերի այլընտրանքային լուծման մեխանիզմները լիակատար կիրառում ստանան</w:t>
      </w:r>
      <w:r w:rsidRPr="00C46ACD">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Մասնավորապես հաշվի առնելով</w:t>
      </w:r>
      <w:r w:rsidRPr="00C46ACD">
        <w:rPr>
          <w:rFonts w:ascii="GHEA Grapalat" w:eastAsia="GHEA Grapalat" w:hAnsi="GHEA Grapalat" w:cs="GHEA Grapalat"/>
          <w:sz w:val="24"/>
          <w:szCs w:val="24"/>
        </w:rPr>
        <w:t xml:space="preserve"> «Նոտարիատի մասին» ՀՀ օրենքում իրականացված լրացումները՝ առաջարկվում է նաև նոտարի կողմից մինչև 2 (երկու) միլիոն դրամ գումարի բռնագանձման պահանջով կարգադրություն արձակվելու դեպքում տնտեսավարողներին հնարավորություն տալ այդ գումարը ճանաչելու որպես անհուսալի դեբիտորական պարտք։</w:t>
      </w:r>
      <w:r>
        <w:rPr>
          <w:rFonts w:ascii="GHEA Grapalat" w:eastAsia="GHEA Grapalat" w:hAnsi="GHEA Grapalat" w:cs="GHEA Grapalat"/>
          <w:sz w:val="24"/>
          <w:szCs w:val="24"/>
        </w:rPr>
        <w:t xml:space="preserve"> Նույն կերպ առաջարկվում է «</w:t>
      </w:r>
      <w:r w:rsidRPr="00C46ACD">
        <w:rPr>
          <w:rFonts w:ascii="GHEA Grapalat" w:eastAsia="GHEA Grapalat" w:hAnsi="GHEA Grapalat" w:cs="GHEA Grapalat"/>
          <w:sz w:val="24"/>
          <w:szCs w:val="24"/>
        </w:rPr>
        <w:t>Առևտրային արբիտրաժի մասին» ՀՀ օրենքի հիման վրա</w:t>
      </w:r>
      <w:r>
        <w:rPr>
          <w:rFonts w:ascii="GHEA Grapalat" w:eastAsia="GHEA Grapalat" w:hAnsi="GHEA Grapalat" w:cs="GHEA Grapalat"/>
          <w:sz w:val="24"/>
          <w:szCs w:val="24"/>
        </w:rPr>
        <w:t xml:space="preserve"> արբիտրաժային տրիբունալի կողմից դեբիտորական պարտքի գումարի բռնագանձման գործով վճռի կայացման դեպքում </w:t>
      </w:r>
      <w:r w:rsidRPr="00C46ACD">
        <w:rPr>
          <w:rFonts w:ascii="GHEA Grapalat" w:eastAsia="GHEA Grapalat" w:hAnsi="GHEA Grapalat" w:cs="GHEA Grapalat"/>
          <w:sz w:val="24"/>
          <w:szCs w:val="24"/>
        </w:rPr>
        <w:t>տնտեսավարողներին հնարավորություն տալ այդ գումարը ճանաչելու որպես անհուսալի դեբիտորական պարտք։</w:t>
      </w:r>
    </w:p>
    <w:p w:rsidR="00661ECB" w:rsidRPr="00C46ACD" w:rsidRDefault="00661ECB" w:rsidP="00B363B5">
      <w:pPr>
        <w:spacing w:after="0" w:line="276" w:lineRule="auto"/>
        <w:ind w:firstLine="360"/>
        <w:rPr>
          <w:rFonts w:ascii="GHEA Grapalat" w:eastAsia="GHEA Grapalat" w:hAnsi="GHEA Grapalat" w:cs="GHEA Grapalat"/>
          <w:sz w:val="24"/>
          <w:szCs w:val="24"/>
        </w:rPr>
      </w:pPr>
    </w:p>
    <w:p w:rsidR="00661ECB" w:rsidRPr="00C46ACD" w:rsidRDefault="00661ECB" w:rsidP="00B363B5">
      <w:pPr>
        <w:spacing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b/>
          <w:color w:val="000000"/>
          <w:sz w:val="24"/>
          <w:szCs w:val="24"/>
        </w:rPr>
        <w:t>4. ԱԿՆԿԱԼՎՈՂ ԱՐԴՅՈՒՆՔՆԵՐԸ</w:t>
      </w:r>
    </w:p>
    <w:p w:rsidR="00661ECB" w:rsidRPr="00C46ACD" w:rsidRDefault="00661ECB" w:rsidP="00B363B5">
      <w:pPr>
        <w:spacing w:after="0" w:line="276" w:lineRule="auto"/>
        <w:ind w:firstLine="360"/>
        <w:jc w:val="both"/>
        <w:rPr>
          <w:rFonts w:ascii="GHEA Grapalat" w:eastAsia="GHEA Grapalat" w:hAnsi="GHEA Grapalat" w:cs="GHEA Grapalat"/>
          <w:color w:val="000000"/>
          <w:sz w:val="24"/>
          <w:szCs w:val="24"/>
        </w:rPr>
      </w:pPr>
      <w:r w:rsidRPr="00C46ACD">
        <w:rPr>
          <w:rFonts w:ascii="GHEA Grapalat" w:eastAsia="GHEA Grapalat" w:hAnsi="GHEA Grapalat" w:cs="GHEA Grapalat"/>
          <w:color w:val="000000"/>
          <w:sz w:val="24"/>
          <w:szCs w:val="24"/>
        </w:rPr>
        <w:t xml:space="preserve">Ակնկալվում է, որ նախագծի ընդունմամբ՝ </w:t>
      </w:r>
    </w:p>
    <w:p w:rsidR="00661ECB" w:rsidRPr="00C46ACD" w:rsidRDefault="00661ECB" w:rsidP="00B363B5">
      <w:pPr>
        <w:numPr>
          <w:ilvl w:val="0"/>
          <w:numId w:val="5"/>
        </w:numPr>
        <w:pBdr>
          <w:top w:val="nil"/>
          <w:left w:val="nil"/>
          <w:bottom w:val="nil"/>
          <w:right w:val="nil"/>
          <w:between w:val="nil"/>
        </w:pBdr>
        <w:tabs>
          <w:tab w:val="left" w:pos="450"/>
        </w:tabs>
        <w:spacing w:after="0" w:line="276" w:lineRule="auto"/>
        <w:ind w:left="360"/>
        <w:jc w:val="both"/>
        <w:rPr>
          <w:rFonts w:ascii="GHEA Grapalat" w:eastAsia="GHEA Grapalat" w:hAnsi="GHEA Grapalat" w:cs="GHEA Grapalat"/>
          <w:color w:val="000000"/>
          <w:sz w:val="24"/>
          <w:szCs w:val="24"/>
        </w:rPr>
      </w:pPr>
      <w:r w:rsidRPr="00C46ACD">
        <w:rPr>
          <w:rFonts w:ascii="GHEA Grapalat" w:eastAsia="GHEA Grapalat" w:hAnsi="GHEA Grapalat" w:cs="GHEA Grapalat"/>
          <w:color w:val="000000"/>
          <w:sz w:val="24"/>
          <w:szCs w:val="24"/>
        </w:rPr>
        <w:t>Կպարզեցվի դեբիտորական պարտավորություններն անհուսալի ճանաչելու հետ կապված վարչարարությունը, կկրճատվեն այդ գործընթացում առաջացող ծախսերը։</w:t>
      </w:r>
    </w:p>
    <w:p w:rsidR="00661ECB" w:rsidRPr="00C46ACD" w:rsidRDefault="00661ECB" w:rsidP="00B363B5">
      <w:pPr>
        <w:numPr>
          <w:ilvl w:val="0"/>
          <w:numId w:val="5"/>
        </w:numPr>
        <w:pBdr>
          <w:top w:val="nil"/>
          <w:left w:val="nil"/>
          <w:bottom w:val="nil"/>
          <w:right w:val="nil"/>
          <w:between w:val="nil"/>
        </w:pBdr>
        <w:tabs>
          <w:tab w:val="left" w:pos="450"/>
        </w:tabs>
        <w:spacing w:after="0" w:line="276" w:lineRule="auto"/>
        <w:ind w:left="360"/>
        <w:jc w:val="both"/>
        <w:rPr>
          <w:rFonts w:ascii="GHEA Grapalat" w:eastAsia="GHEA Grapalat" w:hAnsi="GHEA Grapalat" w:cs="GHEA Grapalat"/>
          <w:color w:val="000000"/>
          <w:sz w:val="24"/>
          <w:szCs w:val="24"/>
        </w:rPr>
      </w:pPr>
      <w:r w:rsidRPr="00C46ACD">
        <w:rPr>
          <w:rFonts w:ascii="GHEA Grapalat" w:eastAsia="GHEA Grapalat" w:hAnsi="GHEA Grapalat" w:cs="GHEA Grapalat"/>
          <w:color w:val="000000"/>
          <w:sz w:val="24"/>
          <w:szCs w:val="24"/>
        </w:rPr>
        <w:lastRenderedPageBreak/>
        <w:t>ՀՀ հարկային օրենսգրքի կարգավորումը համահունչ կդարձվի «Առևտրային արբիտրաժի մասին» ՀՀ օրենքի և «Նոտարիատի մասին» ՀՀ օրենքի կարգավորումներին։</w:t>
      </w:r>
    </w:p>
    <w:p w:rsidR="00661ECB" w:rsidRPr="00C46ACD" w:rsidRDefault="00661ECB" w:rsidP="00B363B5">
      <w:pPr>
        <w:spacing w:after="0" w:line="276" w:lineRule="auto"/>
        <w:ind w:firstLine="360"/>
        <w:rPr>
          <w:rFonts w:ascii="GHEA Grapalat" w:eastAsia="GHEA Grapalat" w:hAnsi="GHEA Grapalat" w:cs="GHEA Grapalat"/>
          <w:sz w:val="24"/>
          <w:szCs w:val="24"/>
        </w:rPr>
      </w:pPr>
    </w:p>
    <w:p w:rsidR="00661ECB" w:rsidRPr="00C46ACD" w:rsidRDefault="00661ECB" w:rsidP="00B363B5">
      <w:pPr>
        <w:numPr>
          <w:ilvl w:val="0"/>
          <w:numId w:val="2"/>
        </w:numPr>
        <w:spacing w:line="276" w:lineRule="auto"/>
        <w:ind w:firstLine="360"/>
        <w:jc w:val="both"/>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ԿԱՊԸ ՌԱԶՄԱՎԱՐԱԿԱՆ ՓԱՍՏԱԹՂԹԵՐԻ ՀԵՏ</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color w:val="000000"/>
          <w:sz w:val="24"/>
          <w:szCs w:val="24"/>
        </w:rPr>
        <w:t>Նախագծի ընդունումը բխում է «Փոքր և միջին ձեռնարկատիրության զարգացման 2020-2024 թվականների ռազմավարությունը և դրանից բխող 2020-2022 թվականների գործողությունների ծրագիրը հաստատելու մասին» Հայաստանի Հանրապետության կառավարության 2020 թվականի օգոստոսի 27–ի №1443-Լ որոշման Հավելված №2–ի 4.6 կետի (Հարկային/մաքսային/այլ վարչարարական բեռի գնահատում և պարզեցում ՓՄՁ-ների համար) նպատակներից։</w:t>
      </w:r>
    </w:p>
    <w:p w:rsidR="00661ECB" w:rsidRPr="00C46ACD" w:rsidRDefault="00661ECB" w:rsidP="00B363B5">
      <w:pPr>
        <w:spacing w:after="0" w:line="276" w:lineRule="auto"/>
        <w:ind w:firstLine="360"/>
        <w:rPr>
          <w:rFonts w:ascii="GHEA Grapalat" w:eastAsia="GHEA Grapalat" w:hAnsi="GHEA Grapalat" w:cs="GHEA Grapalat"/>
          <w:sz w:val="24"/>
          <w:szCs w:val="24"/>
        </w:rPr>
      </w:pPr>
      <w:r w:rsidRPr="00C46ACD">
        <w:rPr>
          <w:rFonts w:ascii="GHEA Grapalat" w:eastAsia="GHEA Grapalat" w:hAnsi="GHEA Grapalat" w:cs="GHEA Grapalat"/>
          <w:color w:val="000000"/>
          <w:sz w:val="24"/>
          <w:szCs w:val="24"/>
        </w:rPr>
        <w:tab/>
      </w:r>
    </w:p>
    <w:p w:rsidR="00661ECB" w:rsidRPr="00C46ACD" w:rsidRDefault="00661ECB" w:rsidP="00947F1E">
      <w:pPr>
        <w:numPr>
          <w:ilvl w:val="0"/>
          <w:numId w:val="4"/>
        </w:numPr>
        <w:spacing w:line="276" w:lineRule="auto"/>
        <w:ind w:firstLine="360"/>
        <w:jc w:val="both"/>
        <w:rPr>
          <w:rFonts w:ascii="GHEA Grapalat" w:eastAsia="GHEA Grapalat" w:hAnsi="GHEA Grapalat" w:cs="GHEA Grapalat"/>
          <w:b/>
          <w:color w:val="000000"/>
          <w:sz w:val="24"/>
          <w:szCs w:val="24"/>
        </w:rPr>
      </w:pPr>
      <w:r w:rsidRPr="00C46ACD">
        <w:rPr>
          <w:rFonts w:ascii="GHEA Grapalat" w:eastAsia="GHEA Grapalat" w:hAnsi="GHEA Grapalat" w:cs="GHEA Grapalat"/>
          <w:b/>
          <w:color w:val="000000"/>
          <w:sz w:val="24"/>
          <w:szCs w:val="24"/>
        </w:rPr>
        <w:t>ՆԱԽԱԳԻԾԸ ՄՇԱԿՈՂ ՄԱՐՄԻՆՆԵՐԸ</w:t>
      </w:r>
    </w:p>
    <w:p w:rsidR="00661ECB" w:rsidRPr="00C46ACD" w:rsidRDefault="00661ECB" w:rsidP="00B363B5">
      <w:pPr>
        <w:spacing w:after="0" w:line="276" w:lineRule="auto"/>
        <w:ind w:firstLine="360"/>
        <w:jc w:val="both"/>
        <w:rPr>
          <w:rFonts w:ascii="GHEA Grapalat" w:eastAsia="GHEA Grapalat" w:hAnsi="GHEA Grapalat" w:cs="GHEA Grapalat"/>
          <w:color w:val="000000"/>
          <w:sz w:val="24"/>
          <w:szCs w:val="24"/>
        </w:rPr>
      </w:pPr>
      <w:r w:rsidRPr="00C46ACD">
        <w:rPr>
          <w:rFonts w:ascii="GHEA Grapalat" w:eastAsia="GHEA Grapalat" w:hAnsi="GHEA Grapalat" w:cs="GHEA Grapalat"/>
          <w:color w:val="000000"/>
          <w:sz w:val="24"/>
          <w:szCs w:val="24"/>
        </w:rPr>
        <w:t xml:space="preserve">Նախագիծը մշակվել է </w:t>
      </w:r>
      <w:r w:rsidR="00B363B5" w:rsidRPr="00C46ACD">
        <w:rPr>
          <w:rFonts w:ascii="GHEA Grapalat" w:eastAsia="GHEA Grapalat" w:hAnsi="GHEA Grapalat" w:cs="GHEA Grapalat"/>
          <w:color w:val="000000"/>
          <w:sz w:val="24"/>
          <w:szCs w:val="24"/>
        </w:rPr>
        <w:t>ՀՀ էկոնոմիկայի նախարարության</w:t>
      </w:r>
      <w:r w:rsidR="00B363B5">
        <w:rPr>
          <w:rFonts w:ascii="GHEA Grapalat" w:eastAsia="GHEA Grapalat" w:hAnsi="GHEA Grapalat" w:cs="GHEA Grapalat"/>
          <w:color w:val="000000"/>
          <w:sz w:val="24"/>
          <w:szCs w:val="24"/>
        </w:rPr>
        <w:t xml:space="preserve"> կողմից՝</w:t>
      </w:r>
      <w:r w:rsidR="00B363B5" w:rsidRPr="00C46ACD">
        <w:rPr>
          <w:rFonts w:ascii="GHEA Grapalat" w:eastAsia="GHEA Grapalat" w:hAnsi="GHEA Grapalat" w:cs="GHEA Grapalat"/>
          <w:color w:val="000000"/>
          <w:sz w:val="24"/>
          <w:szCs w:val="24"/>
        </w:rPr>
        <w:t xml:space="preserve"> </w:t>
      </w:r>
      <w:r w:rsidRPr="00C46ACD">
        <w:rPr>
          <w:rFonts w:ascii="GHEA Grapalat" w:eastAsia="GHEA Grapalat" w:hAnsi="GHEA Grapalat" w:cs="GHEA Grapalat"/>
          <w:color w:val="000000"/>
          <w:sz w:val="24"/>
          <w:szCs w:val="24"/>
        </w:rPr>
        <w:t>Վերակառուցման և Զարգացման Եվրոպական Բանկի Հայաստանի Ներդրումային Խորհրդի</w:t>
      </w:r>
      <w:r w:rsidR="00F908BD">
        <w:rPr>
          <w:rFonts w:ascii="GHEA Grapalat" w:eastAsia="GHEA Grapalat" w:hAnsi="GHEA Grapalat" w:cs="GHEA Grapalat"/>
          <w:color w:val="000000"/>
          <w:sz w:val="24"/>
          <w:szCs w:val="24"/>
        </w:rPr>
        <w:t xml:space="preserve"> աջակցությամբ</w:t>
      </w:r>
      <w:r w:rsidRPr="00C46ACD">
        <w:rPr>
          <w:rFonts w:ascii="GHEA Grapalat" w:eastAsia="GHEA Grapalat" w:hAnsi="GHEA Grapalat" w:cs="GHEA Grapalat"/>
          <w:color w:val="000000"/>
          <w:sz w:val="24"/>
          <w:szCs w:val="24"/>
        </w:rPr>
        <w:t>:</w:t>
      </w:r>
    </w:p>
    <w:p w:rsidR="00661ECB" w:rsidRPr="002470AC" w:rsidRDefault="00661ECB" w:rsidP="00B363B5">
      <w:pPr>
        <w:pBdr>
          <w:top w:val="nil"/>
          <w:left w:val="nil"/>
          <w:bottom w:val="nil"/>
          <w:right w:val="nil"/>
          <w:between w:val="nil"/>
        </w:pBdr>
        <w:spacing w:after="0" w:line="276" w:lineRule="auto"/>
        <w:ind w:firstLine="360"/>
        <w:jc w:val="both"/>
        <w:rPr>
          <w:rFonts w:ascii="GHEA Grapalat" w:eastAsia="GHEA Grapalat" w:hAnsi="GHEA Grapalat" w:cs="GHEA Grapalat"/>
          <w:b/>
          <w:bCs/>
          <w:color w:val="000000"/>
          <w:sz w:val="24"/>
          <w:szCs w:val="24"/>
        </w:rPr>
      </w:pPr>
      <w:r w:rsidRPr="002470AC">
        <w:rPr>
          <w:rFonts w:ascii="GHEA Grapalat" w:eastAsia="GHEA Grapalat" w:hAnsi="GHEA Grapalat" w:cs="GHEA Grapalat"/>
          <w:b/>
          <w:bCs/>
          <w:color w:val="000000"/>
          <w:sz w:val="24"/>
          <w:szCs w:val="24"/>
        </w:rPr>
        <w:t xml:space="preserve">Նախագիծը քննարկվել է ՀՀ Փոխվարչապետ Տիգրան Խաչատրյանի նախագահությամբ </w:t>
      </w:r>
      <w:r w:rsidRPr="00005BFA">
        <w:rPr>
          <w:rFonts w:ascii="GHEA Grapalat" w:eastAsia="GHEA Grapalat" w:hAnsi="GHEA Grapalat" w:cs="GHEA Grapalat"/>
          <w:b/>
          <w:bCs/>
          <w:color w:val="000000"/>
          <w:sz w:val="24"/>
          <w:szCs w:val="24"/>
        </w:rPr>
        <w:t xml:space="preserve">19.06.2024 </w:t>
      </w:r>
      <w:r w:rsidRPr="002470AC">
        <w:rPr>
          <w:rFonts w:ascii="GHEA Grapalat" w:eastAsia="GHEA Grapalat" w:hAnsi="GHEA Grapalat" w:cs="GHEA Grapalat"/>
          <w:b/>
          <w:bCs/>
          <w:color w:val="000000"/>
          <w:sz w:val="24"/>
          <w:szCs w:val="24"/>
        </w:rPr>
        <w:t>թ. կայացած ՓՄՁ զարգացման խորհրդի նիստում:</w:t>
      </w:r>
    </w:p>
    <w:p w:rsidR="00661ECB" w:rsidRPr="00C46ACD" w:rsidRDefault="00661ECB" w:rsidP="00B363B5">
      <w:pPr>
        <w:spacing w:after="0" w:line="276" w:lineRule="auto"/>
        <w:rPr>
          <w:rFonts w:ascii="GHEA Grapalat" w:eastAsia="GHEA Grapalat" w:hAnsi="GHEA Grapalat" w:cs="GHEA Grapalat"/>
          <w:sz w:val="24"/>
          <w:szCs w:val="24"/>
        </w:rPr>
      </w:pPr>
    </w:p>
    <w:p w:rsidR="00661ECB" w:rsidRPr="00C46ACD" w:rsidRDefault="00661ECB" w:rsidP="00947F1E">
      <w:pPr>
        <w:spacing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b/>
          <w:color w:val="000000"/>
          <w:sz w:val="24"/>
          <w:szCs w:val="24"/>
        </w:rPr>
        <w:t>7</w:t>
      </w:r>
      <w:r w:rsidRPr="00C46ACD">
        <w:rPr>
          <w:rFonts w:ascii="Cambria Math" w:eastAsia="Cambria Math" w:hAnsi="Cambria Math" w:cs="Cambria Math"/>
          <w:b/>
          <w:color w:val="000000"/>
          <w:sz w:val="24"/>
          <w:szCs w:val="24"/>
        </w:rPr>
        <w:t>․</w:t>
      </w:r>
      <w:r w:rsidRPr="00C46ACD">
        <w:rPr>
          <w:rFonts w:ascii="GHEA Grapalat" w:eastAsia="GHEA Grapalat" w:hAnsi="GHEA Grapalat" w:cs="GHEA Grapalat"/>
          <w:color w:val="000000"/>
          <w:sz w:val="24"/>
          <w:szCs w:val="24"/>
        </w:rPr>
        <w:t xml:space="preserve"> </w:t>
      </w:r>
      <w:r w:rsidRPr="00C46ACD">
        <w:rPr>
          <w:rFonts w:ascii="GHEA Grapalat" w:eastAsia="GHEA Grapalat" w:hAnsi="GHEA Grapalat" w:cs="GHEA Grapalat"/>
          <w:b/>
          <w:color w:val="000000"/>
          <w:sz w:val="24"/>
          <w:szCs w:val="24"/>
        </w:rPr>
        <w:t>ԼՐԱՑՈՒՑԻՉ ՖԻՆԱՆՍԱԿԱՆ ՄԻՋՈՑՆԵՐԻ ԱՆՀՐԱԺԵՇՏՈՒԹՅՈՒՆԸ ԵՎ ՊԵՏԱԿԱՆ ԲՅՈՒՋԵԻ ԵԿԱՄՈՒՏՆԵՐՈՒՄ ԵՎ ԾԱԽՍԵՐՈՒՄ ՍՊԱՍՎԵԼԻՔ ՓՈՓՈԽՈՒԹՅՈՒՆՆԵՐԸ</w:t>
      </w:r>
    </w:p>
    <w:p w:rsidR="00661ECB" w:rsidRPr="00C46ACD" w:rsidRDefault="00661ECB" w:rsidP="00B363B5">
      <w:pPr>
        <w:spacing w:after="0" w:line="276" w:lineRule="auto"/>
        <w:ind w:firstLine="360"/>
        <w:jc w:val="both"/>
        <w:rPr>
          <w:rFonts w:ascii="GHEA Grapalat" w:eastAsia="GHEA Grapalat" w:hAnsi="GHEA Grapalat" w:cs="GHEA Grapalat"/>
          <w:sz w:val="24"/>
          <w:szCs w:val="24"/>
        </w:rPr>
      </w:pPr>
      <w:r w:rsidRPr="00C46ACD">
        <w:rPr>
          <w:rFonts w:ascii="GHEA Grapalat" w:eastAsia="GHEA Grapalat" w:hAnsi="GHEA Grapalat" w:cs="GHEA Grapalat"/>
          <w:color w:val="000000"/>
          <w:sz w:val="24"/>
          <w:szCs w:val="24"/>
        </w:rPr>
        <w:t>Նախագծի ընդունումը լրացուցիչ ֆինանսական միջոցների անհրաժեշտություն չի նախատեսում։ ՀՀ պետական և տեղական ինքնակառավարման մարմինների բյուջեներում ծախսերի և եկամուտների փոփոխություններ չեն ակնկալվում։</w:t>
      </w:r>
      <w:r w:rsidRPr="00C46ACD">
        <w:rPr>
          <w:color w:val="000000"/>
          <w:sz w:val="24"/>
          <w:szCs w:val="24"/>
        </w:rPr>
        <w:t> </w:t>
      </w:r>
    </w:p>
    <w:sectPr w:rsidR="00661ECB" w:rsidRPr="00C46ACD" w:rsidSect="00B363B5">
      <w:pgSz w:w="12240" w:h="15840"/>
      <w:pgMar w:top="1440" w:right="90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94D31" w:rsidRDefault="00394D31" w:rsidP="00661ECB">
      <w:pPr>
        <w:spacing w:after="0" w:line="240" w:lineRule="auto"/>
      </w:pPr>
      <w:r>
        <w:separator/>
      </w:r>
    </w:p>
  </w:endnote>
  <w:endnote w:type="continuationSeparator" w:id="0">
    <w:p w:rsidR="00394D31" w:rsidRDefault="00394D31" w:rsidP="00661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94D31" w:rsidRDefault="00394D31" w:rsidP="00661ECB">
      <w:pPr>
        <w:spacing w:after="0" w:line="240" w:lineRule="auto"/>
      </w:pPr>
      <w:r>
        <w:separator/>
      </w:r>
    </w:p>
  </w:footnote>
  <w:footnote w:type="continuationSeparator" w:id="0">
    <w:p w:rsidR="00394D31" w:rsidRDefault="00394D31" w:rsidP="00661ECB">
      <w:pPr>
        <w:spacing w:after="0" w:line="240" w:lineRule="auto"/>
      </w:pPr>
      <w:r>
        <w:continuationSeparator/>
      </w:r>
    </w:p>
  </w:footnote>
  <w:footnote w:id="1">
    <w:p w:rsidR="00661ECB" w:rsidRDefault="00661ECB" w:rsidP="00947F1E">
      <w:pPr>
        <w:pBdr>
          <w:top w:val="nil"/>
          <w:left w:val="nil"/>
          <w:bottom w:val="nil"/>
          <w:right w:val="nil"/>
          <w:between w:val="nil"/>
        </w:pBdr>
        <w:spacing w:after="0" w:line="240" w:lineRule="auto"/>
        <w:rPr>
          <w:color w:val="0563C1"/>
          <w:sz w:val="20"/>
          <w:szCs w:val="20"/>
          <w:u w:val="single"/>
        </w:rPr>
      </w:pPr>
      <w:r>
        <w:rPr>
          <w:vertAlign w:val="superscript"/>
        </w:rPr>
        <w:footnoteRef/>
      </w:r>
      <w:r>
        <w:rPr>
          <w:color w:val="000000"/>
          <w:sz w:val="20"/>
          <w:szCs w:val="20"/>
        </w:rPr>
        <w:t xml:space="preserve"> </w:t>
      </w:r>
      <w:hyperlink r:id="rId1">
        <w:r>
          <w:rPr>
            <w:color w:val="0563C1"/>
            <w:sz w:val="20"/>
            <w:szCs w:val="20"/>
            <w:u w:val="single"/>
          </w:rPr>
          <w:t>https://assets.kpmg.com/content/dam/kpmg/xx/pdf/2020/04/indirect-tax-treatment-of-bad-debts-a-multijurisdictional-analysis.pdf</w:t>
        </w:r>
      </w:hyperlink>
      <w:r>
        <w:rPr>
          <w:color w:val="0563C1"/>
          <w:sz w:val="20"/>
          <w:szCs w:val="20"/>
          <w:u w:val="single"/>
        </w:rPr>
        <w:t xml:space="preserve"> </w:t>
      </w:r>
    </w:p>
    <w:p w:rsidR="00661ECB" w:rsidRDefault="00661ECB" w:rsidP="00947F1E">
      <w:pPr>
        <w:pBdr>
          <w:top w:val="nil"/>
          <w:left w:val="nil"/>
          <w:bottom w:val="nil"/>
          <w:right w:val="nil"/>
          <w:between w:val="nil"/>
        </w:pBdr>
        <w:spacing w:after="0" w:line="240" w:lineRule="auto"/>
        <w:rPr>
          <w:color w:val="0563C1"/>
          <w:sz w:val="20"/>
          <w:szCs w:val="20"/>
          <w:u w:val="single"/>
        </w:rPr>
      </w:pPr>
      <w:hyperlink r:id="rId2">
        <w:r>
          <w:rPr>
            <w:color w:val="0563C1"/>
            <w:sz w:val="20"/>
            <w:szCs w:val="20"/>
            <w:u w:val="single"/>
          </w:rPr>
          <w:t>https://www.irs.gov/publications/p535</w:t>
        </w:r>
      </w:hyperlink>
      <w:r>
        <w:rPr>
          <w:color w:val="0563C1"/>
          <w:sz w:val="20"/>
          <w:szCs w:val="20"/>
          <w:u w:val="single"/>
        </w:rPr>
        <w:t xml:space="preserve"> </w:t>
      </w:r>
    </w:p>
    <w:p w:rsidR="00661ECB" w:rsidRDefault="00661ECB" w:rsidP="00947F1E">
      <w:pPr>
        <w:pBdr>
          <w:top w:val="nil"/>
          <w:left w:val="nil"/>
          <w:bottom w:val="nil"/>
          <w:right w:val="nil"/>
          <w:between w:val="nil"/>
        </w:pBdr>
        <w:spacing w:after="0" w:line="240" w:lineRule="auto"/>
        <w:rPr>
          <w:color w:val="000000"/>
          <w:sz w:val="20"/>
          <w:szCs w:val="20"/>
        </w:rPr>
      </w:pPr>
      <w:hyperlink r:id="rId3" w:anchor=":~:text=As%20of%201%20January%202020,reduce%2Fincrease%20the%20tax%20base">
        <w:r>
          <w:rPr>
            <w:color w:val="0563C1"/>
            <w:sz w:val="20"/>
            <w:szCs w:val="20"/>
            <w:u w:val="single"/>
          </w:rPr>
          <w:t>https://taxsummaries.pwc.com/poland/corporate/deductions#:~:text=As%20of%201%20January%202020,reduce%2Fincrease%20the%20tax%20base</w:t>
        </w:r>
      </w:hyperlink>
    </w:p>
    <w:p w:rsidR="00661ECB" w:rsidRDefault="00661ECB" w:rsidP="00947F1E">
      <w:pPr>
        <w:spacing w:line="240" w:lineRule="auto"/>
        <w:jc w:val="both"/>
      </w:pPr>
      <w:hyperlink r:id="rId4" w:anchor="Othertaxconsiderations">
        <w:r>
          <w:rPr>
            <w:color w:val="0563C1"/>
            <w:u w:val="single"/>
          </w:rPr>
          <w:t>https://www.ato.gov.au/Business/Income-and-deductions-for-business/Deductions/Deductions-for-unrecoverable-income-(bad-debts)/#Othertaxconsiderations</w:t>
        </w:r>
      </w:hyperlink>
      <w:r>
        <w:t xml:space="preserve"> </w:t>
      </w:r>
      <w:r>
        <w:br/>
      </w:r>
      <w:hyperlink r:id="rId5">
        <w:r>
          <w:rPr>
            <w:color w:val="0563C1"/>
            <w:u w:val="single"/>
          </w:rPr>
          <w:t>https://www.grantthornton.jp/globalassets/1.-member-firms/japan/pdfs/newsletter/bulletin/bulletin_202104.pdf</w:t>
        </w:r>
      </w:hyperlink>
      <w:r>
        <w:t xml:space="preserve"> </w:t>
      </w:r>
    </w:p>
    <w:p w:rsidR="00661ECB" w:rsidRDefault="00661ECB" w:rsidP="00947F1E">
      <w:pPr>
        <w:spacing w:line="240" w:lineRule="auto"/>
        <w:jc w:val="both"/>
        <w:rPr>
          <w:rFonts w:ascii="Cambria" w:eastAsia="Cambria" w:hAnsi="Cambria" w:cs="Cambria"/>
          <w:color w:val="0563C1"/>
          <w:u w:val="single"/>
        </w:rPr>
      </w:pPr>
      <w:hyperlink r:id="rId6">
        <w:r>
          <w:rPr>
            <w:color w:val="0563C1"/>
            <w:u w:val="single"/>
          </w:rPr>
          <w:t>https://incometaxindia.gov.in/charts%20%20tables/deductions.htm</w:t>
        </w:r>
      </w:hyperlink>
      <w:r>
        <w:rPr>
          <w:color w:val="0563C1"/>
          <w:u w:val="singl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12503"/>
    <w:multiLevelType w:val="multilevel"/>
    <w:tmpl w:val="21922B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D424AB3"/>
    <w:multiLevelType w:val="multilevel"/>
    <w:tmpl w:val="D56ADBF6"/>
    <w:lvl w:ilvl="0">
      <w:start w:val="6"/>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40A0446"/>
    <w:multiLevelType w:val="multilevel"/>
    <w:tmpl w:val="43A222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D342BC"/>
    <w:multiLevelType w:val="multilevel"/>
    <w:tmpl w:val="D0DE93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875" w:hanging="360"/>
      </w:pPr>
      <w:rPr>
        <w:rFonts w:ascii="Courier New" w:eastAsia="Courier New" w:hAnsi="Courier New" w:cs="Courier New"/>
      </w:rPr>
    </w:lvl>
    <w:lvl w:ilvl="2">
      <w:start w:val="1"/>
      <w:numFmt w:val="bullet"/>
      <w:lvlText w:val="▪"/>
      <w:lvlJc w:val="left"/>
      <w:pPr>
        <w:ind w:left="2595" w:hanging="360"/>
      </w:pPr>
      <w:rPr>
        <w:rFonts w:ascii="Noto Sans Symbols" w:eastAsia="Noto Sans Symbols" w:hAnsi="Noto Sans Symbols" w:cs="Noto Sans Symbols"/>
      </w:rPr>
    </w:lvl>
    <w:lvl w:ilvl="3">
      <w:start w:val="1"/>
      <w:numFmt w:val="bullet"/>
      <w:lvlText w:val="●"/>
      <w:lvlJc w:val="left"/>
      <w:pPr>
        <w:ind w:left="3315" w:hanging="360"/>
      </w:pPr>
      <w:rPr>
        <w:rFonts w:ascii="Noto Sans Symbols" w:eastAsia="Noto Sans Symbols" w:hAnsi="Noto Sans Symbols" w:cs="Noto Sans Symbols"/>
      </w:rPr>
    </w:lvl>
    <w:lvl w:ilvl="4">
      <w:start w:val="1"/>
      <w:numFmt w:val="bullet"/>
      <w:lvlText w:val="o"/>
      <w:lvlJc w:val="left"/>
      <w:pPr>
        <w:ind w:left="4035" w:hanging="360"/>
      </w:pPr>
      <w:rPr>
        <w:rFonts w:ascii="Courier New" w:eastAsia="Courier New" w:hAnsi="Courier New" w:cs="Courier New"/>
      </w:rPr>
    </w:lvl>
    <w:lvl w:ilvl="5">
      <w:start w:val="1"/>
      <w:numFmt w:val="bullet"/>
      <w:lvlText w:val="▪"/>
      <w:lvlJc w:val="left"/>
      <w:pPr>
        <w:ind w:left="4755" w:hanging="360"/>
      </w:pPr>
      <w:rPr>
        <w:rFonts w:ascii="Noto Sans Symbols" w:eastAsia="Noto Sans Symbols" w:hAnsi="Noto Sans Symbols" w:cs="Noto Sans Symbols"/>
      </w:rPr>
    </w:lvl>
    <w:lvl w:ilvl="6">
      <w:start w:val="1"/>
      <w:numFmt w:val="bullet"/>
      <w:lvlText w:val="●"/>
      <w:lvlJc w:val="left"/>
      <w:pPr>
        <w:ind w:left="5475" w:hanging="360"/>
      </w:pPr>
      <w:rPr>
        <w:rFonts w:ascii="Noto Sans Symbols" w:eastAsia="Noto Sans Symbols" w:hAnsi="Noto Sans Symbols" w:cs="Noto Sans Symbols"/>
      </w:rPr>
    </w:lvl>
    <w:lvl w:ilvl="7">
      <w:start w:val="1"/>
      <w:numFmt w:val="bullet"/>
      <w:lvlText w:val="o"/>
      <w:lvlJc w:val="left"/>
      <w:pPr>
        <w:ind w:left="6195" w:hanging="360"/>
      </w:pPr>
      <w:rPr>
        <w:rFonts w:ascii="Courier New" w:eastAsia="Courier New" w:hAnsi="Courier New" w:cs="Courier New"/>
      </w:rPr>
    </w:lvl>
    <w:lvl w:ilvl="8">
      <w:start w:val="1"/>
      <w:numFmt w:val="bullet"/>
      <w:lvlText w:val="▪"/>
      <w:lvlJc w:val="left"/>
      <w:pPr>
        <w:ind w:left="6915" w:hanging="360"/>
      </w:pPr>
      <w:rPr>
        <w:rFonts w:ascii="Noto Sans Symbols" w:eastAsia="Noto Sans Symbols" w:hAnsi="Noto Sans Symbols" w:cs="Noto Sans Symbols"/>
      </w:rPr>
    </w:lvl>
  </w:abstractNum>
  <w:abstractNum w:abstractNumId="4" w15:restartNumberingAfterBreak="0">
    <w:nsid w:val="41DB30C0"/>
    <w:multiLevelType w:val="multilevel"/>
    <w:tmpl w:val="F7A64A8A"/>
    <w:lvl w:ilvl="0">
      <w:start w:val="5"/>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DBD4873"/>
    <w:multiLevelType w:val="multilevel"/>
    <w:tmpl w:val="450895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048529233">
    <w:abstractNumId w:val="5"/>
  </w:num>
  <w:num w:numId="2" w16cid:durableId="227807679">
    <w:abstractNumId w:val="4"/>
  </w:num>
  <w:num w:numId="3" w16cid:durableId="990019472">
    <w:abstractNumId w:val="2"/>
  </w:num>
  <w:num w:numId="4" w16cid:durableId="554706758">
    <w:abstractNumId w:val="1"/>
  </w:num>
  <w:num w:numId="5" w16cid:durableId="2039577711">
    <w:abstractNumId w:val="0"/>
  </w:num>
  <w:num w:numId="6" w16cid:durableId="658191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ECB"/>
    <w:rsid w:val="00394D31"/>
    <w:rsid w:val="00661ECB"/>
    <w:rsid w:val="007F2DD5"/>
    <w:rsid w:val="00947F1E"/>
    <w:rsid w:val="00B363B5"/>
    <w:rsid w:val="00C735E2"/>
    <w:rsid w:val="00F90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9D708"/>
  <w15:chartTrackingRefBased/>
  <w15:docId w15:val="{0A6BDDC4-E29A-46EC-A7EC-2393742D3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ECB"/>
    <w:rPr>
      <w:rFonts w:ascii="Calibri" w:eastAsia="Calibri" w:hAnsi="Calibri" w:cs="Calibri"/>
      <w:kern w:val="0"/>
      <w:lang w:val="hy-AM"/>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3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taxsummaries.pwc.com/poland/corporate/deductions" TargetMode="External"/><Relationship Id="rId2" Type="http://schemas.openxmlformats.org/officeDocument/2006/relationships/hyperlink" Target="https://www.irs.gov/publications/p535" TargetMode="External"/><Relationship Id="rId1" Type="http://schemas.openxmlformats.org/officeDocument/2006/relationships/hyperlink" Target="https://assets.kpmg.com/content/dam/kpmg/xx/pdf/2020/04/indirect-tax-treatment-of-bad-debts-a-multijurisdictional-analysis.pdf" TargetMode="External"/><Relationship Id="rId6" Type="http://schemas.openxmlformats.org/officeDocument/2006/relationships/hyperlink" Target="https://incometaxindia.gov.in/charts%20%20tables/deductions.htm" TargetMode="External"/><Relationship Id="rId5" Type="http://schemas.openxmlformats.org/officeDocument/2006/relationships/hyperlink" Target="https://www.grantthornton.jp/globalassets/1.-member-firms/japan/pdfs/newsletter/bulletin/bulletin_202104.pdf" TargetMode="External"/><Relationship Id="rId4" Type="http://schemas.openxmlformats.org/officeDocument/2006/relationships/hyperlink" Target="https://www.ato.gov.au/Business/Income-and-deductions-for-business/Deductions/Deductions-for-unrecoverable-income-(bad-deb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1932</Words>
  <Characters>11013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Hripsime H. Hovhannisyan</dc:creator>
  <cp:keywords/>
  <dc:description/>
  <cp:lastModifiedBy>Hripsime H. Hovhannisyan</cp:lastModifiedBy>
  <cp:revision>2</cp:revision>
  <dcterms:created xsi:type="dcterms:W3CDTF">2024-06-27T08:10:00Z</dcterms:created>
  <dcterms:modified xsi:type="dcterms:W3CDTF">2024-06-27T08:10:00Z</dcterms:modified>
</cp:coreProperties>
</file>