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3E3A6" w14:textId="77777777" w:rsidR="00D61C0E" w:rsidRPr="0005623F" w:rsidRDefault="00D61C0E" w:rsidP="00D61C0E">
      <w:pPr>
        <w:spacing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6B711BF0" w14:textId="77777777" w:rsidR="00D61C0E" w:rsidRPr="0005623F" w:rsidRDefault="00D61C0E" w:rsidP="00D61C0E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Pr="000562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2017 ԹՎԱԿԱՆԻ ՄԱՅԻՍԻ 4-Ի N 526-Ն ՈՐՈՇՄԱՆ ՄԵՋ ԼՐԱՑՈՒՄՆԵՐ ԿԱՏԱՐԵԼՈՒ ՄԱՍԻՆ</w:t>
      </w:r>
      <w:r w:rsidRPr="0005623F">
        <w:rPr>
          <w:rFonts w:ascii="GHEA Grapalat" w:eastAsia="GHEA Grapalat" w:hAnsi="GHEA Grapalat" w:cs="GHEA Grapalat"/>
          <w:b/>
          <w:sz w:val="24"/>
          <w:szCs w:val="24"/>
        </w:rPr>
        <w:t xml:space="preserve">», </w:t>
      </w:r>
      <w:r w:rsidRPr="000562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ԿԱՌԱՎԱՐՈՒԹՅԱՆ </w:t>
      </w:r>
      <w:r w:rsidRPr="0005623F">
        <w:rPr>
          <w:rFonts w:ascii="GHEA Grapalat" w:eastAsia="GHEA Grapalat" w:hAnsi="GHEA Grapalat" w:cs="GHEA Grapalat"/>
          <w:b/>
          <w:sz w:val="24"/>
          <w:szCs w:val="24"/>
        </w:rPr>
        <w:t>ՈՐՈՇՄԱՆ ՆԱԽԱԳԾԻ ՎԵՐԱԲԵՐՅԱԼ</w:t>
      </w:r>
    </w:p>
    <w:p w14:paraId="6D49AEB6" w14:textId="77777777" w:rsidR="00D61C0E" w:rsidRPr="0005623F" w:rsidRDefault="00D61C0E" w:rsidP="00D61C0E">
      <w:pPr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79CE7343" w14:textId="1801B57E" w:rsidR="006E0E16" w:rsidRPr="0005623F" w:rsidRDefault="00D61C0E" w:rsidP="006E0E1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ԱՌԿԱ ԻՐԱՎԻՃԱԿԸ ԵՎ ԿԱՐԳԱՎՈՐՄԱՆ ԵՆԹԱԿԱ ԽՆԴԻՐՆԵՐԸ</w:t>
      </w:r>
    </w:p>
    <w:p w14:paraId="2C1E853E" w14:textId="0ECEAE4B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>ՏՀԶԿ հանրային գնումների սկզբունքների համաձայն հանրային գնումներին հասանելիության ռիսկերը ներառում են ՓՄՁ սուբյեկտների առջև ծառացող ֆինանսական խոչընդոտները</w:t>
      </w:r>
      <w:r w:rsidRPr="0005623F">
        <w:rPr>
          <w:rFonts w:ascii="GHEA Grapalat" w:eastAsia="GHEA Grapalat" w:hAnsi="GHEA Grapalat" w:cs="GHEA Grapalat"/>
          <w:sz w:val="24"/>
          <w:szCs w:val="24"/>
          <w:vertAlign w:val="superscript"/>
        </w:rPr>
        <w:footnoteReference w:id="1"/>
      </w:r>
      <w:r w:rsidR="00DA5F3B" w:rsidRPr="0005623F">
        <w:rPr>
          <w:rFonts w:ascii="GHEA Grapalat" w:eastAsia="GHEA Grapalat" w:hAnsi="GHEA Grapalat" w:cs="GHEA Grapalat"/>
          <w:sz w:val="24"/>
          <w:szCs w:val="24"/>
        </w:rPr>
        <w:t>։</w:t>
      </w:r>
      <w:r w:rsidRPr="0005623F">
        <w:rPr>
          <w:rFonts w:ascii="GHEA Grapalat" w:eastAsia="GHEA Grapalat" w:hAnsi="GHEA Grapalat" w:cs="GHEA Grapalat"/>
          <w:sz w:val="24"/>
          <w:szCs w:val="24"/>
        </w:rPr>
        <w:t xml:space="preserve"> Որպես կանոն` ՓՄՁ սուբյեկտները չեն ունենում այնքան ազատ ֆինանսական միջոցներ կամ այլ կերպ այդ միջոցները ներգրավելու հնարավորություն, որ կարողանան մասնակցել առավել մեծ արժեքով գործարքների, որը թույլ կտար նրանց աճել:</w:t>
      </w:r>
    </w:p>
    <w:p w14:paraId="200A6076" w14:textId="2CAAC4EF" w:rsidR="00D61C0E" w:rsidRPr="0005623F" w:rsidRDefault="00D61C0E" w:rsidP="00700BE4">
      <w:pPr>
        <w:tabs>
          <w:tab w:val="left" w:pos="54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>Նշված խնդրի լուծման նպատակով անհրաժեշտ է բարելավել ՓՄՁ-ների համար ֆինանսների հասանելիությունը: Որպես այդպիսի գործիք կարող է ծառայել ֆակտորինգը, որի կիրառությունը ներկայումս բավարար չէ:</w:t>
      </w:r>
    </w:p>
    <w:p w14:paraId="49236542" w14:textId="09D16CB7" w:rsidR="00D61C0E" w:rsidRPr="0005623F" w:rsidRDefault="00D61C0E" w:rsidP="00193686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>Բանկերի և պետական գնումներին մասնակցող տ</w:t>
      </w:r>
      <w:r w:rsidR="003C1E3A" w:rsidRPr="0005623F">
        <w:rPr>
          <w:rFonts w:ascii="GHEA Grapalat" w:eastAsia="GHEA Grapalat" w:hAnsi="GHEA Grapalat" w:cs="GHEA Grapalat"/>
          <w:sz w:val="24"/>
          <w:szCs w:val="24"/>
        </w:rPr>
        <w:t>ն</w:t>
      </w:r>
      <w:r w:rsidRPr="0005623F">
        <w:rPr>
          <w:rFonts w:ascii="GHEA Grapalat" w:eastAsia="GHEA Grapalat" w:hAnsi="GHEA Grapalat" w:cs="GHEA Grapalat"/>
          <w:sz w:val="24"/>
          <w:szCs w:val="24"/>
        </w:rPr>
        <w:t>տեսավարողների  ներկայացուցիչների հետ քննարկումները ցույց են տալիս, որ առկա են որոշ խոչընդոտներ, որոնց լուծումն էապես կարող է մեծացնել ֆակտորինգի կիրառության ծավալները:</w:t>
      </w:r>
    </w:p>
    <w:p w14:paraId="6DF07F5F" w14:textId="070AEC80" w:rsidR="00D61C0E" w:rsidRPr="0005623F" w:rsidRDefault="00D61C0E" w:rsidP="00700BE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 xml:space="preserve">Ֆակտորինգի կիրառության կարևորությունն ընդգծվել է նաև 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>ԱՄՆ ՄԶԳ «Հայաստանի գործարար միջավայրի բարելավում» ծրագրի կողմից մշակված «ՓՄՁ</w:t>
      </w:r>
      <w:r w:rsidRPr="0005623F">
        <w:rPr>
          <w:rFonts w:ascii="GHEA Grapalat" w:eastAsia="GHEA Grapalat" w:hAnsi="GHEA Grapalat" w:cs="GHEA Grapalat"/>
          <w:sz w:val="24"/>
          <w:szCs w:val="24"/>
        </w:rPr>
        <w:t>-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ների ներգրավվածությունը հանրային գնումներին. առկա իրավիճակը և խոչընդոտները» վերջնական հաշվետվությամբ` առաջարկելով «առևտրային 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բանկերի հետ բանակցությունների արդյունքում ներդնել ֆակտորինգ հանրային գնումների պայմանագրերի համար»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vertAlign w:val="superscript"/>
        </w:rPr>
        <w:footnoteReference w:id="2"/>
      </w:r>
      <w:r w:rsidR="006E0E16"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3E535D04" w14:textId="6153DC48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Հարկ է նշել, որ գնման պայմանագրից ծագող դրամական պահանջի զիջման դիմաց ֆինանսավորման (ֆակտորինգի) պայմանագրի կնքման հնարավորությունը նախատեսված է մի շարք պետությունների օրենսդրությամբ, մասնավորապես ԱՄՆ դաշնային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vertAlign w:val="superscript"/>
        </w:rPr>
        <w:footnoteReference w:id="3"/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Ֆրանսիայի Հանրապետության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vertAlign w:val="superscript"/>
        </w:rPr>
        <w:footnoteReference w:id="4"/>
      </w:r>
      <w:r w:rsidR="006E0E16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ՌԴ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vertAlign w:val="superscript"/>
        </w:rPr>
        <w:footnoteReference w:id="5"/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Ղազախստանի</w:t>
      </w:r>
      <w:r w:rsidR="00BD202B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Հանրապետության</w:t>
      </w:r>
      <w:r w:rsidR="00BD202B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vertAlign w:val="superscript"/>
        </w:rPr>
        <w:t xml:space="preserve"> </w:t>
      </w:r>
      <w:r w:rsidR="003C1ABB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օրենսդրությամբ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vertAlign w:val="superscript"/>
        </w:rPr>
        <w:footnoteReference w:id="6"/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:</w:t>
      </w:r>
    </w:p>
    <w:p w14:paraId="1F2445E3" w14:textId="50DCE211" w:rsidR="00D61C0E" w:rsidRPr="0005623F" w:rsidRDefault="00D61C0E" w:rsidP="00700BE4">
      <w:pPr>
        <w:tabs>
          <w:tab w:val="left" w:pos="540"/>
        </w:tabs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«Գնումների մասին» ՀՀ օրենքի 4-րդ հոդվածի համաձայն </w:t>
      </w:r>
      <w:r w:rsidR="009A7721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գ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նումների մասին Հայաստանի Հանրապետության օրենսդրությունը ներառում է Հայաստանի Հանրապետության քաղաքացիական օրենսգիրքը: Որպես քաղաքացիաիրավական պայմանագրի տարատեսակ հանդիսացող գնման պայմանագրի հիման վրա պահանջի իրավունք ունեցող անձ</w:t>
      </w:r>
      <w:r w:rsidR="00E200D1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՝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գնման պայմանագրի կողմ ընտրված մասնակիցն իրավունք ունի ՀՀ քաղաքացիական օրենսգրքի 48-րդ գլխով սահմանված դեպքերում և կարգով կնքել գնման պայմանագրից ծագող դրամական պահանջի զիջման դիմաց ֆինանսավորման (ֆակտորինգի) պայմանագիր:</w:t>
      </w:r>
    </w:p>
    <w:p w14:paraId="4D99CA5D" w14:textId="4CDB8D04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Այնուամենայնիվ</w:t>
      </w:r>
      <w:r w:rsidR="006E0E16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մատակարարների և ՀՀ ֆինանսական կազմակերպությունների հետ քննարկումները ցույց տվեցին, որ առկա են մի շարք տեխնիկական խնդիրներ, որոնք թույլ չեն տալիս լիակատար գործածել այս գործիքի հնարավորությունները:</w:t>
      </w:r>
    </w:p>
    <w:p w14:paraId="1FF534C5" w14:textId="76F26077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lastRenderedPageBreak/>
        <w:t>Մասնավորապես խոսքը գնում է Հայաստանի Հանրապետության քաղաքացիական օրենսգրքի 898-րդ հոդվածով սահմանված ծանուցումը ներկայացնելու ժամկետի և հասցեատիրոջ մասին, ինչպես նաև նման ծանուցման հիման վրա վճարումն անմիջապես ֆինանսական գործակալին կատարելու</w:t>
      </w:r>
      <w:r w:rsidR="0087435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հաշվանցի իրականացման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համար անհրաժեշտ կարգավորումների մասին:</w:t>
      </w:r>
    </w:p>
    <w:p w14:paraId="1CF61B06" w14:textId="45E77B3C" w:rsidR="00D61C0E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Բացի այդ ֆինանսական կազմակերպությունների կողմից տեղեկատվության ստացման կառուցակարգերի բացակայությունը դժվարեցնում է նրանց կողմից վարկային ռիսկի ճիշտ գնահատումը և ևս մեկ խոչ</w:t>
      </w:r>
      <w:r w:rsidR="00E200D1"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ը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նդոտ է հանդիսանում ֆակտորինգի կիրառման համար:</w:t>
      </w:r>
    </w:p>
    <w:p w14:paraId="0605A959" w14:textId="04A5E17E" w:rsidR="00CC0339" w:rsidRPr="00627FFD" w:rsidRDefault="00CC0339" w:rsidP="00627FFD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627FFD">
        <w:rPr>
          <w:rFonts w:ascii="GHEA Grapalat" w:eastAsia="GHEA Grapalat" w:hAnsi="GHEA Grapalat" w:cs="GHEA Grapalat"/>
          <w:bCs/>
          <w:sz w:val="24"/>
          <w:szCs w:val="24"/>
        </w:rPr>
        <w:t xml:space="preserve">Մատնանշված խնդիրերը քարտեզագրվել են և դրանց լուծումը կարևորվել է մասնավոր հատվածի ներկայացուցիչների կողմից` ՀՀ փոխվարչապետ Տիգրան Խաչատրյանի նախագահությամբ </w:t>
      </w:r>
      <w:r w:rsidRPr="00627FFD">
        <w:rPr>
          <w:rFonts w:ascii="GHEA Grapalat" w:eastAsia="GHEA Grapalat" w:hAnsi="GHEA Grapalat" w:cs="GHEA Grapalat"/>
          <w:bCs/>
          <w:sz w:val="24"/>
          <w:szCs w:val="24"/>
          <w:lang w:val="en-US"/>
        </w:rPr>
        <w:t>05</w:t>
      </w:r>
      <w:r w:rsidRPr="00627FFD">
        <w:rPr>
          <w:rFonts w:ascii="GHEA Grapalat" w:eastAsia="GHEA Grapalat" w:hAnsi="GHEA Grapalat" w:cs="GHEA Grapalat"/>
          <w:bCs/>
          <w:sz w:val="24"/>
          <w:szCs w:val="24"/>
        </w:rPr>
        <w:t>.</w:t>
      </w:r>
      <w:r w:rsidRPr="00627FFD">
        <w:rPr>
          <w:rFonts w:ascii="GHEA Grapalat" w:eastAsia="GHEA Grapalat" w:hAnsi="GHEA Grapalat" w:cs="GHEA Grapalat"/>
          <w:bCs/>
          <w:sz w:val="24"/>
          <w:szCs w:val="24"/>
          <w:lang w:val="en-US"/>
        </w:rPr>
        <w:t>12</w:t>
      </w:r>
      <w:r w:rsidRPr="00627FFD">
        <w:rPr>
          <w:rFonts w:ascii="GHEA Grapalat" w:eastAsia="GHEA Grapalat" w:hAnsi="GHEA Grapalat" w:cs="GHEA Grapalat"/>
          <w:bCs/>
          <w:sz w:val="24"/>
          <w:szCs w:val="24"/>
        </w:rPr>
        <w:t>.202</w:t>
      </w:r>
      <w:r w:rsidRPr="00627FFD">
        <w:rPr>
          <w:rFonts w:ascii="GHEA Grapalat" w:eastAsia="GHEA Grapalat" w:hAnsi="GHEA Grapalat" w:cs="GHEA Grapalat"/>
          <w:bCs/>
          <w:sz w:val="24"/>
          <w:szCs w:val="24"/>
          <w:lang w:val="en-US"/>
        </w:rPr>
        <w:t>3</w:t>
      </w:r>
      <w:r w:rsidRPr="00627FFD">
        <w:rPr>
          <w:rFonts w:ascii="GHEA Grapalat" w:eastAsia="GHEA Grapalat" w:hAnsi="GHEA Grapalat" w:cs="GHEA Grapalat"/>
          <w:bCs/>
          <w:sz w:val="24"/>
          <w:szCs w:val="24"/>
        </w:rPr>
        <w:t xml:space="preserve"> թ. կայացած ՓՄՁ զարգացման խորհրդի նիստում։</w:t>
      </w:r>
    </w:p>
    <w:p w14:paraId="5C6F977E" w14:textId="77777777" w:rsidR="00CC0339" w:rsidRPr="0005623F" w:rsidRDefault="00CC0339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</w:p>
    <w:p w14:paraId="28776429" w14:textId="77777777" w:rsidR="00D61C0E" w:rsidRPr="0005623F" w:rsidRDefault="00D61C0E" w:rsidP="00700BE4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74A4E77" w14:textId="77777777" w:rsidR="00D61C0E" w:rsidRPr="0005623F" w:rsidRDefault="00D61C0E" w:rsidP="00700BE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2. ԿԱՐԳԱՎՈՐՄԱՆ ՆՊԱՏԱԿՆԵՐԸ</w:t>
      </w:r>
    </w:p>
    <w:p w14:paraId="48B0EF57" w14:textId="77777777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heading=h.30j0zll" w:colFirst="0" w:colLast="0"/>
      <w:bookmarkEnd w:id="2"/>
      <w:r w:rsidRPr="0005623F">
        <w:rPr>
          <w:rFonts w:ascii="GHEA Grapalat" w:eastAsia="GHEA Grapalat" w:hAnsi="GHEA Grapalat" w:cs="GHEA Grapalat"/>
          <w:sz w:val="24"/>
          <w:szCs w:val="24"/>
        </w:rPr>
        <w:t xml:space="preserve">Ելնելով վերոգրյալից` նախագծերի փաթեթի նպատակն է ստեղծել պայմաններ 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ՀՀ գնման պայմանագրից ծագող դրամական պահանջի զիջման դիմաց ֆինանսավորման (ֆակտորինգի) պայմանագրերի միջոցով գնումների մասնակիցների համար առավել նպաստավոր պայմաններով ֆինանսավորման հնարավորություններ ստեղծելու համար</w:t>
      </w:r>
      <w:r w:rsidRPr="0005623F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5BBD8F7" w14:textId="77777777" w:rsidR="006E0E16" w:rsidRPr="0005623F" w:rsidRDefault="006E0E16" w:rsidP="00700BE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6DABAB7" w14:textId="6E0680F3" w:rsidR="00D61C0E" w:rsidRPr="0005623F" w:rsidRDefault="00D61C0E" w:rsidP="00700BE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05623F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="00FF52B9">
        <w:rPr>
          <w:rFonts w:ascii="Cambria Math" w:eastAsia="Cambria Math" w:hAnsi="Cambria Math" w:cs="Cambria Math"/>
          <w:b/>
          <w:sz w:val="24"/>
          <w:szCs w:val="24"/>
        </w:rPr>
        <w:t xml:space="preserve"> </w:t>
      </w:r>
      <w:r w:rsidRPr="0005623F">
        <w:rPr>
          <w:rFonts w:ascii="GHEA Grapalat" w:eastAsia="GHEA Grapalat" w:hAnsi="GHEA Grapalat" w:cs="GHEA Grapalat"/>
          <w:b/>
          <w:sz w:val="24"/>
          <w:szCs w:val="24"/>
        </w:rPr>
        <w:t>ԱՌԱՋԱՐԿՎՈՂ ԿԱՐԳԱՎՈՐՈՒՄՆԵՐԸ</w:t>
      </w:r>
    </w:p>
    <w:p w14:paraId="5039DDB7" w14:textId="77777777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առաջարկվում է լրացումներ կատարել Հայաստանի Հանրապետության կառավարության 2017 թվականի մայիսի 4-ի «Գնումների գործընթացի կազմակերպման կարգը հաստատելու և Հայաստանի </w:t>
      </w:r>
      <w:r w:rsidRPr="0005623F">
        <w:rPr>
          <w:rFonts w:ascii="GHEA Grapalat" w:eastAsia="GHEA Grapalat" w:hAnsi="GHEA Grapalat" w:cs="GHEA Grapalat"/>
          <w:sz w:val="24"/>
          <w:szCs w:val="24"/>
        </w:rPr>
        <w:lastRenderedPageBreak/>
        <w:t>Հանրապետության կառավարության 2011 թվականի փետրվարի 10-ի N 168-Ն որոշումն ուժը կորցրած ճանաչելու մասին» N 526-Ն որոշման 1-ին կետի 1-ին ենթակետով հաստատված կարգում, սահմանելով, որ.</w:t>
      </w:r>
    </w:p>
    <w:p w14:paraId="39F759FC" w14:textId="77777777" w:rsidR="0038446D" w:rsidRDefault="0038446D" w:rsidP="00700B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8446D">
        <w:rPr>
          <w:rFonts w:ascii="GHEA Grapalat" w:eastAsia="GHEA Grapalat" w:hAnsi="GHEA Grapalat" w:cs="GHEA Grapalat"/>
          <w:color w:val="000000"/>
          <w:sz w:val="24"/>
          <w:szCs w:val="24"/>
        </w:rPr>
        <w:t>Ընտրված մասնակիցն իրավունք ունի գնման պայմանագրի կնքումից հետո Հայաստանի Հանրապետության քաղաքացիական օրենսգրքի 48-րդ գլխով սահմանված դեպքերում և կարգով կատարել գնման պայմանագրից ծագող դրամական պահանջի զիջում` պահանջի զիջման դիմաց ֆինանսավորման (ֆակտորինգի) պայմանագրի (այսուհետ` Ֆակտորինգի պայմանագիր) հիման վրա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AEFB763" w14:textId="73555385" w:rsidR="00D61C0E" w:rsidRPr="0005623F" w:rsidRDefault="00D61C0E" w:rsidP="00700B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Նման պայմանագրի կնքման դեպքում </w:t>
      </w:r>
      <w:r w:rsidR="0038446D">
        <w:rPr>
          <w:rFonts w:ascii="GHEA Grapalat" w:eastAsia="GHEA Grapalat" w:hAnsi="GHEA Grapalat" w:cs="GHEA Grapalat"/>
          <w:color w:val="000000"/>
          <w:sz w:val="24"/>
          <w:szCs w:val="24"/>
        </w:rPr>
        <w:t>ֆ</w:t>
      </w:r>
      <w:r w:rsidR="0038446D" w:rsidRPr="0038446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ինանսական գործակալը պարտավոր է պատվիրատուին, </w:t>
      </w:r>
      <w:r w:rsidR="00A51C4A" w:rsidRPr="00A51C4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ֆակտորինգի պայմանագրի հիման վրա պահանջի զիջման պահից երկու աշխատանքային օրվա ընթացքում գրավոր ծանուցել` ընթացակարգի հրավերով նախատեսված ծանուցման ձևին համապատասխան` Mulberry էլեկտրոնային փաստաթղթաշրջանառության համակարգի միջոցով: Ծանուցման տեքստը պետք է ներառի նշում առ այն, որ Ֆինանսական գործակալը համաձայն է </w:t>
      </w:r>
      <w:r w:rsidR="00A51C4A">
        <w:rPr>
          <w:rFonts w:ascii="GHEA Grapalat" w:eastAsia="GHEA Grapalat" w:hAnsi="GHEA Grapalat" w:cs="GHEA Grapalat"/>
          <w:color w:val="000000"/>
          <w:sz w:val="24"/>
          <w:szCs w:val="24"/>
        </w:rPr>
        <w:t>որոշմամաբ սահմանված հաշվանցի կ</w:t>
      </w:r>
      <w:r w:rsidR="00627FFD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A51C4A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627FFD">
        <w:rPr>
          <w:rFonts w:ascii="GHEA Grapalat" w:eastAsia="GHEA Grapalat" w:hAnsi="GHEA Grapalat" w:cs="GHEA Grapalat"/>
          <w:color w:val="000000"/>
          <w:sz w:val="24"/>
          <w:szCs w:val="24"/>
        </w:rPr>
        <w:t>ո</w:t>
      </w:r>
      <w:r w:rsidR="00A51C4A">
        <w:rPr>
          <w:rFonts w:ascii="GHEA Grapalat" w:eastAsia="GHEA Grapalat" w:hAnsi="GHEA Grapalat" w:cs="GHEA Grapalat"/>
          <w:color w:val="000000"/>
          <w:sz w:val="24"/>
          <w:szCs w:val="24"/>
        </w:rPr>
        <w:t>ներին</w:t>
      </w:r>
      <w:r w:rsidR="00A51C4A" w:rsidRPr="00A51C4A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A07A643" w14:textId="77777777" w:rsidR="00A51C4A" w:rsidRDefault="00A51C4A" w:rsidP="00700B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51C4A">
        <w:rPr>
          <w:rFonts w:ascii="GHEA Grapalat" w:eastAsia="GHEA Grapalat" w:hAnsi="GHEA Grapalat" w:cs="GHEA Grapalat"/>
          <w:color w:val="000000"/>
          <w:sz w:val="24"/>
          <w:szCs w:val="24"/>
        </w:rPr>
        <w:t>Ֆինանսական գործակալն իրավունք ունի պատվիրատուից կամ Հայաստանի Հանրապետության ֆինանսների նախարարությունից պահանջել և ստանալ Ֆակտորինգի պայմանագրի առարկա հանդիսացող պահանջի համար հիմք հանդիսացած գնման պայմանագրի (առկայության դեպքում), ներառյալ դրա կատարման վերաբերյալ տեղեկատվություն, բացառությամբ Հայաստանի Հանրապետության օրենսդրությամբ սահմանված դեպքերի:</w:t>
      </w:r>
    </w:p>
    <w:p w14:paraId="5444422E" w14:textId="60D2976A" w:rsidR="00D61C0E" w:rsidRPr="0005623F" w:rsidRDefault="00D61C0E" w:rsidP="00700B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>Ֆակտորինգի պայմանագրի կնքման մասին ծանուցում ստացած լինելու դեպքում վճարումը կատար</w:t>
      </w:r>
      <w:r w:rsidR="001009C2">
        <w:rPr>
          <w:rFonts w:ascii="GHEA Grapalat" w:eastAsia="GHEA Grapalat" w:hAnsi="GHEA Grapalat" w:cs="GHEA Grapalat"/>
          <w:color w:val="000000"/>
          <w:sz w:val="24"/>
          <w:szCs w:val="24"/>
        </w:rPr>
        <w:t>վ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>ում է ֆինանսական գործակալին:</w:t>
      </w:r>
    </w:p>
    <w:p w14:paraId="59ABD35F" w14:textId="63955FA2" w:rsidR="00D61C0E" w:rsidRPr="00FF52B9" w:rsidRDefault="00FF52B9" w:rsidP="00C96E9E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Միաժամանակ ծրագրային ապահովման համապատասխանեցումն ապահովելու նպատակով առաջարկվում է սահմանել, որ որոշումն ուժի մեջ է մտնում </w:t>
      </w:r>
      <w:r w:rsidR="00A51C4A" w:rsidRPr="00A51C4A">
        <w:rPr>
          <w:rFonts w:ascii="GHEA Grapalat" w:eastAsia="GHEA Grapalat" w:hAnsi="GHEA Grapalat" w:cs="GHEA Grapalat"/>
          <w:sz w:val="24"/>
          <w:szCs w:val="24"/>
        </w:rPr>
        <w:t xml:space="preserve">պաշտոնական հրապարակումից վեց ամիս հետո և դրա գործողությունը չի </w:t>
      </w:r>
      <w:r w:rsidR="00A51C4A" w:rsidRPr="00A51C4A">
        <w:rPr>
          <w:rFonts w:ascii="GHEA Grapalat" w:eastAsia="GHEA Grapalat" w:hAnsi="GHEA Grapalat" w:cs="GHEA Grapalat"/>
          <w:sz w:val="24"/>
          <w:szCs w:val="24"/>
        </w:rPr>
        <w:lastRenderedPageBreak/>
        <w:t>տարածվում մինչև սույն որոշումն ուժի մեջ մտնելն սկսված և դեռևս չավարտված գնման գործընթացների, ինչպես նաև կնքված և գործող պայմանագրերի վրա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2FD8DC99" w14:textId="77777777" w:rsidR="00D61C0E" w:rsidRPr="0005623F" w:rsidRDefault="00D61C0E" w:rsidP="00700BE4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sz w:val="24"/>
          <w:szCs w:val="24"/>
        </w:rPr>
        <w:t>4. ԱԿՆԿԱԼՎՈՂ ԱՐԴՅՈՒՆՔՆԵՐԸ</w:t>
      </w:r>
    </w:p>
    <w:p w14:paraId="2D93A171" w14:textId="10CE3F68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>Ակնկալվում է, որ նախագծի ընդունմամբ կստեղծվեն պայմաններ գնման պայմանագրից ծագող դրամական պահանջի զիջման դիմաց ֆինանսավորման (ֆակտորինգի) պայմանագրերի միջոցով գնումների մասնակիցների համար առավել նպաստավոր պայմաններով ֆինանսավորման հնարավորություններ ստեղծելու համար:</w:t>
      </w:r>
    </w:p>
    <w:p w14:paraId="13A526F3" w14:textId="77777777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 xml:space="preserve">Նախագծի ընդունմամբ լրացուցիչ ֆինանսական միջոցների անհրաժեշտություն և պետական բյուջեի եկամուտներում և ծախսերում փոփոխություններ չեն սպասվում: </w:t>
      </w:r>
    </w:p>
    <w:p w14:paraId="41D3E2E9" w14:textId="77777777" w:rsidR="00D61C0E" w:rsidRPr="0005623F" w:rsidRDefault="00D61C0E" w:rsidP="00700BE4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4FD0554F" w14:textId="70806C8E" w:rsidR="00D61C0E" w:rsidRPr="0005623F" w:rsidRDefault="00D61C0E" w:rsidP="00700BE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 ՌԱԶՄԱՎԱՐԱԿԱՆ ՓԱՍՏԱԹՂԹԵՐԻ ՀԵՏ</w:t>
      </w:r>
    </w:p>
    <w:p w14:paraId="0665A686" w14:textId="2C29E525" w:rsidR="00D61C0E" w:rsidRPr="0005623F" w:rsidRDefault="00D61C0E" w:rsidP="00700BE4">
      <w:pPr>
        <w:spacing w:after="0"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>Նախագծի ընդունումը ապահովում է «Փոքր և միջին ձեռնարկատիրության զարգացման 2020-2024 թվականների ռազմավարությունը և դրանից բխող 2020-2022 թվականների գործողությունների ծրագիրը հաստատելու մասին» Հայաստանի Հանրապետության կառավարության 2020 թվականի օգոստոսի 27–ի №1443-Լ որոշման Հավելված №2–ի 3.6 կետի (</w:t>
      </w:r>
      <w:r w:rsidR="009F7E41" w:rsidRPr="0005623F">
        <w:rPr>
          <w:rFonts w:ascii="GHEA Grapalat" w:eastAsia="GHEA Grapalat" w:hAnsi="GHEA Grapalat" w:cs="GHEA Grapalat"/>
          <w:sz w:val="24"/>
          <w:szCs w:val="24"/>
        </w:rPr>
        <w:t>խ</w:t>
      </w:r>
      <w:r w:rsidRPr="0005623F">
        <w:rPr>
          <w:rFonts w:ascii="GHEA Grapalat" w:eastAsia="GHEA Grapalat" w:hAnsi="GHEA Grapalat" w:cs="GHEA Grapalat"/>
          <w:sz w:val="24"/>
          <w:szCs w:val="24"/>
        </w:rPr>
        <w:t>թանել ՓՄՁ-ների մասնակցությունը պետական գնումներին) և 1.2.1</w:t>
      </w:r>
      <w:r w:rsidRPr="0005623F">
        <w:rPr>
          <w:rFonts w:ascii="GHEA Grapalat" w:eastAsia="GHEA Grapalat" w:hAnsi="GHEA Grapalat" w:cs="GHEA Grapalat"/>
          <w:sz w:val="24"/>
          <w:szCs w:val="24"/>
        </w:rPr>
        <w:tab/>
        <w:t>կետի (</w:t>
      </w:r>
      <w:r w:rsidR="009F7E41" w:rsidRPr="0005623F">
        <w:rPr>
          <w:rFonts w:ascii="GHEA Grapalat" w:eastAsia="GHEA Grapalat" w:hAnsi="GHEA Grapalat" w:cs="GHEA Grapalat"/>
          <w:sz w:val="24"/>
          <w:szCs w:val="24"/>
        </w:rPr>
        <w:t>ա</w:t>
      </w:r>
      <w:r w:rsidRPr="0005623F">
        <w:rPr>
          <w:rFonts w:ascii="GHEA Grapalat" w:eastAsia="GHEA Grapalat" w:hAnsi="GHEA Grapalat" w:cs="GHEA Grapalat"/>
          <w:sz w:val="24"/>
          <w:szCs w:val="24"/>
        </w:rPr>
        <w:t>կտիվների հիմքով ֆինանսավորման (ֆակտորինգ, առևտրի ֆինանսավորում) կիրառության համար նպաստավոր միջավայրի (այդ թվում օրենսդրական) խոչընդոտների դուրս բերում) դրույթների կատարումը։</w:t>
      </w:r>
    </w:p>
    <w:p w14:paraId="04B20899" w14:textId="77777777" w:rsidR="00D61C0E" w:rsidRPr="0005623F" w:rsidRDefault="00D61C0E" w:rsidP="006E0E16">
      <w:pPr>
        <w:tabs>
          <w:tab w:val="left" w:pos="1650"/>
        </w:tabs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  <w:r w:rsidRPr="0005623F">
        <w:rPr>
          <w:rFonts w:ascii="GHEA Grapalat" w:eastAsia="GHEA Grapalat" w:hAnsi="GHEA Grapalat" w:cs="GHEA Grapalat"/>
          <w:sz w:val="24"/>
          <w:szCs w:val="24"/>
        </w:rPr>
        <w:tab/>
      </w:r>
    </w:p>
    <w:p w14:paraId="3D00859D" w14:textId="77777777" w:rsidR="00D61C0E" w:rsidRPr="0005623F" w:rsidRDefault="00D61C0E" w:rsidP="006E0E1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ՆԱԽԱԳԻԾԸ ՄՇԱԿՈՂ ՄԱՐՄԻՆՆԵՐԸ</w:t>
      </w:r>
    </w:p>
    <w:p w14:paraId="58129C12" w14:textId="7C6A8E85" w:rsidR="00D61C0E" w:rsidRDefault="00D61C0E" w:rsidP="002606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Նախագիծը մշակվել է ՀՀ էկոնոմիկայի նախարարության </w:t>
      </w:r>
      <w:r w:rsidR="00627F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 w:rsidR="00627FFD"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Վերակառուցման և Զարգացման Եվրոպական Բանկի, Հայաստանի Ներդրումային Խորհրդի </w:t>
      </w:r>
      <w:r w:rsidRPr="0005623F">
        <w:rPr>
          <w:rFonts w:ascii="GHEA Grapalat" w:eastAsia="GHEA Grapalat" w:hAnsi="GHEA Grapalat" w:cs="GHEA Grapalat"/>
          <w:color w:val="000000"/>
          <w:sz w:val="24"/>
          <w:szCs w:val="24"/>
        </w:rPr>
        <w:t>կողմից:</w:t>
      </w:r>
    </w:p>
    <w:p w14:paraId="63F8E511" w14:textId="3F884A41" w:rsidR="00CF3C2E" w:rsidRPr="00627FFD" w:rsidRDefault="00CF3C2E" w:rsidP="00CF3C2E">
      <w:pPr>
        <w:spacing w:after="0" w:line="312" w:lineRule="auto"/>
        <w:ind w:firstLine="36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627F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Նախագիծը քննարկվել է ՀՀ փոխվարչապետ Տիգրան Խաչատրյանի մոտ 29.11.2023 թ. և 05.12.2023 թվականին կայացած ՓՄՁ զարգացման խորհրդի </w:t>
      </w:r>
      <w:r w:rsidRPr="00627FF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նիստում` մասնավոր հատվածի և պետական մարմինների ներկայացուցիչների մասնակցությամբ: </w:t>
      </w:r>
    </w:p>
    <w:p w14:paraId="10A867F2" w14:textId="5E789CC8" w:rsidR="00CF3C2E" w:rsidRDefault="00CF3C2E" w:rsidP="002606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6E9A1D3E" w14:textId="77777777" w:rsidR="00E56D17" w:rsidRDefault="00E56D17" w:rsidP="002606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3E5C136" w14:textId="76B23ACE" w:rsidR="00E56D17" w:rsidRPr="00E56D17" w:rsidRDefault="00E56D17" w:rsidP="0026064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Cambria Math"/>
          <w:b/>
          <w:bCs/>
          <w:color w:val="000000"/>
          <w:sz w:val="24"/>
          <w:szCs w:val="24"/>
        </w:rPr>
      </w:pPr>
      <w:r w:rsidRPr="00E56D17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7</w:t>
      </w:r>
      <w:r w:rsidRPr="00E56D17">
        <w:rPr>
          <w:rFonts w:ascii="Cambria Math" w:eastAsia="GHEA Grapalat" w:hAnsi="Cambria Math" w:cs="Cambria Math"/>
          <w:b/>
          <w:bCs/>
          <w:color w:val="000000"/>
          <w:sz w:val="24"/>
          <w:szCs w:val="24"/>
        </w:rPr>
        <w:t>․</w:t>
      </w:r>
      <w:r w:rsidRPr="00E56D1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56D17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C306DAF" w14:textId="45ADC4EC" w:rsidR="00E56D17" w:rsidRPr="00E56D17" w:rsidRDefault="00E56D17" w:rsidP="00E56D17">
      <w:pPr>
        <w:spacing w:line="360" w:lineRule="auto"/>
        <w:ind w:firstLine="540"/>
        <w:jc w:val="both"/>
        <w:rPr>
          <w:rFonts w:ascii="GHEA Grapalat" w:hAnsi="GHEA Grapalat"/>
          <w:bCs/>
          <w:sz w:val="24"/>
          <w:szCs w:val="24"/>
        </w:rPr>
      </w:pPr>
      <w:r w:rsidRPr="00E56D17">
        <w:rPr>
          <w:rFonts w:ascii="GHEA Grapalat" w:hAnsi="GHEA Grapalat"/>
          <w:bCs/>
          <w:sz w:val="24"/>
          <w:szCs w:val="24"/>
        </w:rPr>
        <w:t xml:space="preserve">Նախագծի ընդունումը լրացուցիչ ՀՀ պետական և տեղական ինքնակառավարման մարմինների բյուջեներում ֆինանսական միջոցների վերաբաշխման անհրաժեշտություն չի առաջացնում։ </w:t>
      </w:r>
    </w:p>
    <w:p w14:paraId="4CBCE193" w14:textId="21D2B9D9" w:rsidR="00E56D17" w:rsidRPr="00E56D17" w:rsidRDefault="00E56D17" w:rsidP="00E56D1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sectPr w:rsidR="00E56D17" w:rsidRPr="00E56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BA80C" w14:textId="77777777" w:rsidR="00321C6A" w:rsidRDefault="00321C6A" w:rsidP="00D61C0E">
      <w:pPr>
        <w:spacing w:after="0" w:line="240" w:lineRule="auto"/>
      </w:pPr>
      <w:r>
        <w:separator/>
      </w:r>
    </w:p>
  </w:endnote>
  <w:endnote w:type="continuationSeparator" w:id="0">
    <w:p w14:paraId="1064BFDC" w14:textId="77777777" w:rsidR="00321C6A" w:rsidRDefault="00321C6A" w:rsidP="00D61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468FD" w14:textId="77777777" w:rsidR="00321C6A" w:rsidRDefault="00321C6A" w:rsidP="00D61C0E">
      <w:pPr>
        <w:spacing w:after="0" w:line="240" w:lineRule="auto"/>
      </w:pPr>
      <w:r>
        <w:separator/>
      </w:r>
    </w:p>
  </w:footnote>
  <w:footnote w:type="continuationSeparator" w:id="0">
    <w:p w14:paraId="03D3F543" w14:textId="77777777" w:rsidR="00321C6A" w:rsidRDefault="00321C6A" w:rsidP="00D61C0E">
      <w:pPr>
        <w:spacing w:after="0" w:line="240" w:lineRule="auto"/>
      </w:pPr>
      <w:r>
        <w:continuationSeparator/>
      </w:r>
    </w:p>
  </w:footnote>
  <w:footnote w:id="1">
    <w:p w14:paraId="056289F9" w14:textId="77777777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hyperlink r:id="rId1">
        <w:r w:rsidRPr="0005623F">
          <w:rPr>
            <w:rFonts w:ascii="GHEA Grapalat" w:hAnsi="GHEA Grapalat"/>
            <w:color w:val="0000FF"/>
            <w:sz w:val="20"/>
            <w:szCs w:val="20"/>
            <w:u w:val="single"/>
          </w:rPr>
          <w:t>https://www.oecd.org/south-east-europe/programme/OECD-Public-Procurement-Policy-Briefing-Note.pdf</w:t>
        </w:r>
      </w:hyperlink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</w:p>
  </w:footnote>
  <w:footnote w:id="2">
    <w:p w14:paraId="1B4D139C" w14:textId="7AA8538D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bookmarkStart w:id="0" w:name="_Hlk136429612"/>
      <w:r w:rsidRPr="0005623F">
        <w:rPr>
          <w:rFonts w:ascii="GHEA Grapalat" w:hAnsi="GHEA Grapalat"/>
          <w:color w:val="000000"/>
          <w:sz w:val="20"/>
          <w:szCs w:val="20"/>
        </w:rPr>
        <w:t>Տե</w:t>
      </w:r>
      <w:r w:rsidR="000F4927" w:rsidRPr="0005623F">
        <w:rPr>
          <w:rFonts w:ascii="Courier New" w:hAnsi="Courier New" w:cs="Courier New"/>
          <w:color w:val="000000"/>
          <w:sz w:val="20"/>
          <w:szCs w:val="20"/>
        </w:rPr>
        <w:t>́</w:t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ս </w:t>
      </w:r>
      <w:r w:rsidRPr="0005623F">
        <w:rPr>
          <w:rFonts w:ascii="GHEA Grapalat" w:hAnsi="GHEA Grapalat"/>
          <w:color w:val="000000"/>
          <w:sz w:val="20"/>
          <w:szCs w:val="20"/>
        </w:rPr>
        <w:t>ԱՄՆ ՄԶԳ «Հայաստանի գործարար միջավայրի բարելավում» ծրագրի կողմից մշակված «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 xml:space="preserve">ՓՄՁ-ների ներգրավվածությունը հանրային գնումներին. առկա իրավիճակը եվ խոչընդոտները» </w:t>
      </w:r>
      <w:r w:rsidR="00262A0B" w:rsidRPr="0005623F">
        <w:rPr>
          <w:rFonts w:ascii="GHEA Grapalat" w:hAnsi="GHEA Grapalat"/>
          <w:color w:val="000000"/>
          <w:sz w:val="20"/>
          <w:szCs w:val="20"/>
        </w:rPr>
        <w:t>վ</w:t>
      </w:r>
      <w:r w:rsidRPr="0005623F">
        <w:rPr>
          <w:rFonts w:ascii="GHEA Grapalat" w:hAnsi="GHEA Grapalat"/>
          <w:color w:val="000000"/>
          <w:sz w:val="20"/>
          <w:szCs w:val="20"/>
        </w:rPr>
        <w:t>երջնական</w:t>
      </w:r>
      <w:r w:rsidRPr="0005623F">
        <w:rPr>
          <w:rFonts w:ascii="GHEA Grapalat" w:hAnsi="GHEA Grapalat"/>
          <w:sz w:val="20"/>
          <w:szCs w:val="20"/>
        </w:rPr>
        <w:t xml:space="preserve"> </w:t>
      </w:r>
      <w:r w:rsidR="00262A0B" w:rsidRPr="0005623F">
        <w:rPr>
          <w:rFonts w:ascii="GHEA Grapalat" w:hAnsi="GHEA Grapalat"/>
          <w:color w:val="000000"/>
          <w:sz w:val="20"/>
          <w:szCs w:val="20"/>
        </w:rPr>
        <w:t>հ</w:t>
      </w:r>
      <w:r w:rsidRPr="0005623F">
        <w:rPr>
          <w:rFonts w:ascii="GHEA Grapalat" w:hAnsi="GHEA Grapalat"/>
          <w:color w:val="000000"/>
          <w:sz w:val="20"/>
          <w:szCs w:val="20"/>
        </w:rPr>
        <w:t>աշվետվությունը:</w:t>
      </w:r>
      <w:bookmarkEnd w:id="0"/>
    </w:p>
  </w:footnote>
  <w:footnote w:id="3">
    <w:p w14:paraId="76F5FA2C" w14:textId="6AE615E2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05623F">
        <w:rPr>
          <w:rFonts w:ascii="GHEA Grapalat" w:hAnsi="GHEA Grapalat"/>
          <w:color w:val="000000"/>
          <w:sz w:val="20"/>
          <w:szCs w:val="20"/>
        </w:rPr>
        <w:t>Տե</w:t>
      </w:r>
      <w:r w:rsidR="000F4927" w:rsidRPr="0005623F">
        <w:rPr>
          <w:rFonts w:ascii="Courier New" w:hAnsi="Courier New" w:cs="Courier New"/>
          <w:color w:val="000000"/>
          <w:sz w:val="20"/>
          <w:szCs w:val="20"/>
        </w:rPr>
        <w:t>́</w:t>
      </w:r>
      <w:r w:rsidRPr="0005623F">
        <w:rPr>
          <w:rFonts w:ascii="GHEA Grapalat" w:hAnsi="GHEA Grapalat"/>
          <w:color w:val="000000"/>
          <w:sz w:val="20"/>
          <w:szCs w:val="20"/>
        </w:rPr>
        <w:t>ս 41 U.S. Code § 6305 (b) (1)</w:t>
      </w:r>
    </w:p>
  </w:footnote>
  <w:footnote w:id="4">
    <w:p w14:paraId="558B5428" w14:textId="7FA4A8A1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bookmarkStart w:id="1" w:name="_Hlk146892900"/>
      <w:r w:rsidRPr="0005623F">
        <w:rPr>
          <w:rFonts w:ascii="GHEA Grapalat" w:hAnsi="GHEA Grapalat"/>
          <w:color w:val="000000"/>
          <w:sz w:val="20"/>
          <w:szCs w:val="20"/>
        </w:rPr>
        <w:t>Տե</w:t>
      </w:r>
      <w:r w:rsidR="000F4927" w:rsidRPr="0005623F">
        <w:rPr>
          <w:rFonts w:ascii="Courier New" w:hAnsi="Courier New" w:cs="Courier New"/>
          <w:color w:val="000000"/>
          <w:sz w:val="20"/>
          <w:szCs w:val="20"/>
        </w:rPr>
        <w:t>́</w:t>
      </w:r>
      <w:r w:rsidRPr="0005623F">
        <w:rPr>
          <w:rFonts w:ascii="GHEA Grapalat" w:hAnsi="GHEA Grapalat"/>
          <w:color w:val="000000"/>
          <w:sz w:val="20"/>
          <w:szCs w:val="20"/>
        </w:rPr>
        <w:t>ս</w:t>
      </w:r>
      <w:bookmarkEnd w:id="1"/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05623F">
        <w:rPr>
          <w:rFonts w:ascii="GHEA Grapalat" w:hAnsi="GHEA Grapalat"/>
          <w:color w:val="000000"/>
          <w:sz w:val="20"/>
          <w:szCs w:val="20"/>
        </w:rPr>
        <w:t>ԱՄՆ ՄԶԳ «Հայաստանի գործարար միջավայրի բարելավում» ծրագրի կողմից մշակված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 xml:space="preserve"> «ՓՄՁ-ների ներգրավվածությունը հանրային գնումներին. առկա իրավիճակը եվ խոչընդոտները»</w:t>
      </w:r>
      <w:r w:rsidR="000F4927" w:rsidRPr="0005623F">
        <w:rPr>
          <w:rFonts w:ascii="GHEA Grapalat" w:hAnsi="GHEA Grapalat"/>
          <w:sz w:val="20"/>
          <w:szCs w:val="20"/>
        </w:rPr>
        <w:t xml:space="preserve"> </w:t>
      </w:r>
      <w:r w:rsidR="00262A0B" w:rsidRPr="0005623F">
        <w:rPr>
          <w:rFonts w:ascii="GHEA Grapalat" w:hAnsi="GHEA Grapalat"/>
          <w:color w:val="000000"/>
          <w:sz w:val="20"/>
          <w:szCs w:val="20"/>
        </w:rPr>
        <w:t>վ</w:t>
      </w:r>
      <w:r w:rsidRPr="0005623F">
        <w:rPr>
          <w:rFonts w:ascii="GHEA Grapalat" w:hAnsi="GHEA Grapalat"/>
          <w:color w:val="000000"/>
          <w:sz w:val="20"/>
          <w:szCs w:val="20"/>
        </w:rPr>
        <w:t>երջնական</w:t>
      </w:r>
      <w:r w:rsidRPr="0005623F">
        <w:rPr>
          <w:rFonts w:ascii="GHEA Grapalat" w:hAnsi="GHEA Grapalat"/>
          <w:sz w:val="20"/>
          <w:szCs w:val="20"/>
        </w:rPr>
        <w:t xml:space="preserve"> </w:t>
      </w:r>
      <w:r w:rsidR="00262A0B" w:rsidRPr="0005623F">
        <w:rPr>
          <w:rFonts w:ascii="GHEA Grapalat" w:hAnsi="GHEA Grapalat"/>
          <w:color w:val="000000"/>
          <w:sz w:val="20"/>
          <w:szCs w:val="20"/>
        </w:rPr>
        <w:t>հ</w:t>
      </w:r>
      <w:r w:rsidRPr="0005623F">
        <w:rPr>
          <w:rFonts w:ascii="GHEA Grapalat" w:hAnsi="GHEA Grapalat"/>
          <w:color w:val="000000"/>
          <w:sz w:val="20"/>
          <w:szCs w:val="20"/>
        </w:rPr>
        <w:t>աշվետվությունը:</w:t>
      </w:r>
    </w:p>
  </w:footnote>
  <w:footnote w:id="5">
    <w:p w14:paraId="5D286B34" w14:textId="0A12EFE6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>Տե</w:t>
      </w:r>
      <w:r w:rsidR="000F4927" w:rsidRPr="0005623F">
        <w:rPr>
          <w:rFonts w:ascii="Courier New" w:hAnsi="Courier New" w:cs="Courier New"/>
          <w:color w:val="000000"/>
          <w:sz w:val="20"/>
          <w:szCs w:val="20"/>
        </w:rPr>
        <w:t>́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 xml:space="preserve">ս </w:t>
      </w:r>
      <w:r w:rsidRPr="0005623F">
        <w:rPr>
          <w:rFonts w:ascii="GHEA Grapalat" w:hAnsi="GHEA Grapalat"/>
          <w:color w:val="000000"/>
          <w:sz w:val="20"/>
          <w:szCs w:val="20"/>
        </w:rPr>
        <w:t>մասնավորապես ՌԴ Գերագույն դատարանի 23.04.2019 թ. N АКПИ19-112 որոշումը,</w:t>
      </w:r>
    </w:p>
  </w:footnote>
  <w:footnote w:id="6">
    <w:p w14:paraId="72A5A093" w14:textId="2661C3F7" w:rsidR="00D61C0E" w:rsidRPr="0005623F" w:rsidRDefault="00D61C0E" w:rsidP="00D61C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GHEA Grapalat" w:hAnsi="GHEA Grapalat"/>
          <w:color w:val="000000"/>
          <w:sz w:val="20"/>
          <w:szCs w:val="20"/>
        </w:rPr>
      </w:pPr>
      <w:r w:rsidRPr="0005623F">
        <w:rPr>
          <w:rStyle w:val="FootnoteReference"/>
          <w:rFonts w:ascii="GHEA Grapalat" w:hAnsi="GHEA Grapalat"/>
        </w:rPr>
        <w:footnoteRef/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 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>Տե</w:t>
      </w:r>
      <w:r w:rsidR="000F4927" w:rsidRPr="0005623F">
        <w:rPr>
          <w:rFonts w:ascii="Courier New" w:hAnsi="Courier New" w:cs="Courier New"/>
          <w:color w:val="000000"/>
          <w:sz w:val="20"/>
          <w:szCs w:val="20"/>
        </w:rPr>
        <w:t>́</w:t>
      </w:r>
      <w:r w:rsidR="000F4927" w:rsidRPr="0005623F">
        <w:rPr>
          <w:rFonts w:ascii="GHEA Grapalat" w:hAnsi="GHEA Grapalat"/>
          <w:color w:val="000000"/>
          <w:sz w:val="20"/>
          <w:szCs w:val="20"/>
        </w:rPr>
        <w:t xml:space="preserve">ս </w:t>
      </w:r>
      <w:r w:rsidRPr="0005623F">
        <w:rPr>
          <w:rFonts w:ascii="GHEA Grapalat" w:hAnsi="GHEA Grapalat"/>
          <w:color w:val="000000"/>
          <w:sz w:val="20"/>
          <w:szCs w:val="20"/>
        </w:rPr>
        <w:t xml:space="preserve">մասնավորապես Ղազախստանի Հանրապետության «Պետական գնումների մասին» օրենքի 45-րդ հոդվածը,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2D30BA"/>
    <w:multiLevelType w:val="hybridMultilevel"/>
    <w:tmpl w:val="F77017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A3CDC"/>
    <w:multiLevelType w:val="multilevel"/>
    <w:tmpl w:val="27007B0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AC25D2"/>
    <w:multiLevelType w:val="multilevel"/>
    <w:tmpl w:val="3E26B85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512117">
    <w:abstractNumId w:val="2"/>
  </w:num>
  <w:num w:numId="2" w16cid:durableId="959185673">
    <w:abstractNumId w:val="1"/>
  </w:num>
  <w:num w:numId="3" w16cid:durableId="763038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9D8"/>
    <w:rsid w:val="0005623F"/>
    <w:rsid w:val="000618AC"/>
    <w:rsid w:val="000F4927"/>
    <w:rsid w:val="001009C2"/>
    <w:rsid w:val="00166662"/>
    <w:rsid w:val="00193686"/>
    <w:rsid w:val="00260641"/>
    <w:rsid w:val="00262A0B"/>
    <w:rsid w:val="0028015E"/>
    <w:rsid w:val="002E4FBD"/>
    <w:rsid w:val="003059D8"/>
    <w:rsid w:val="00321C6A"/>
    <w:rsid w:val="003775D9"/>
    <w:rsid w:val="0038446D"/>
    <w:rsid w:val="003C1ABB"/>
    <w:rsid w:val="003C1E3A"/>
    <w:rsid w:val="003C4104"/>
    <w:rsid w:val="003C5A0C"/>
    <w:rsid w:val="00550AC3"/>
    <w:rsid w:val="00627FFD"/>
    <w:rsid w:val="006E0E16"/>
    <w:rsid w:val="00700BE4"/>
    <w:rsid w:val="007704CE"/>
    <w:rsid w:val="007859A4"/>
    <w:rsid w:val="00874350"/>
    <w:rsid w:val="008A042B"/>
    <w:rsid w:val="0097093C"/>
    <w:rsid w:val="009953DB"/>
    <w:rsid w:val="009A7721"/>
    <w:rsid w:val="009C6496"/>
    <w:rsid w:val="009F3E37"/>
    <w:rsid w:val="009F7E41"/>
    <w:rsid w:val="00A51C4A"/>
    <w:rsid w:val="00AC30FF"/>
    <w:rsid w:val="00AF14B2"/>
    <w:rsid w:val="00B36767"/>
    <w:rsid w:val="00BB27B0"/>
    <w:rsid w:val="00BD202B"/>
    <w:rsid w:val="00C212D1"/>
    <w:rsid w:val="00C96E9E"/>
    <w:rsid w:val="00CA56BB"/>
    <w:rsid w:val="00CC0339"/>
    <w:rsid w:val="00CF3C2E"/>
    <w:rsid w:val="00D61C0E"/>
    <w:rsid w:val="00D810EC"/>
    <w:rsid w:val="00DA5F3B"/>
    <w:rsid w:val="00DE16D8"/>
    <w:rsid w:val="00DE4184"/>
    <w:rsid w:val="00DE5A18"/>
    <w:rsid w:val="00E200D1"/>
    <w:rsid w:val="00E56D17"/>
    <w:rsid w:val="00EA4E51"/>
    <w:rsid w:val="00F6424B"/>
    <w:rsid w:val="00F87D69"/>
    <w:rsid w:val="00FB46F4"/>
    <w:rsid w:val="00FF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DD6A07"/>
  <w15:chartTrackingRefBased/>
  <w15:docId w15:val="{5C27A96D-7C69-41B6-8DAA-FA60F69F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C0E"/>
    <w:rPr>
      <w:rFonts w:ascii="Calibri" w:eastAsia="Calibri" w:hAnsi="Calibri" w:cs="Calibri"/>
      <w:kern w:val="0"/>
      <w:lang w:val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D61C0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D61C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61C0E"/>
    <w:rPr>
      <w:rFonts w:ascii="Calibri" w:eastAsia="Calibri" w:hAnsi="Calibri" w:cs="Calibri"/>
      <w:kern w:val="0"/>
      <w:sz w:val="20"/>
      <w:szCs w:val="20"/>
      <w:lang w:val="hy-AM"/>
      <w14:ligatures w14:val="none"/>
    </w:rPr>
  </w:style>
  <w:style w:type="paragraph" w:styleId="ListParagraph">
    <w:name w:val="List Paragraph"/>
    <w:basedOn w:val="Normal"/>
    <w:uiPriority w:val="34"/>
    <w:qFormat/>
    <w:rsid w:val="006E0E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686"/>
    <w:rPr>
      <w:rFonts w:ascii="Segoe UI" w:eastAsia="Calibri" w:hAnsi="Segoe UI" w:cs="Segoe UI"/>
      <w:kern w:val="0"/>
      <w:sz w:val="18"/>
      <w:szCs w:val="18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ecd.org/south-east-europe/programme/OECD-Public-Procurement-Policy-Briefing-Not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S. Hovhannisyan</dc:creator>
  <cp:keywords/>
  <dc:description/>
  <cp:lastModifiedBy>Hasmik G. Zaqaryan</cp:lastModifiedBy>
  <cp:revision>17</cp:revision>
  <dcterms:created xsi:type="dcterms:W3CDTF">2023-09-29T11:30:00Z</dcterms:created>
  <dcterms:modified xsi:type="dcterms:W3CDTF">2024-07-11T11:15:00Z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bf133b01971a26fd6e02557045834b2c0f64c4162fcbb832c2a7157d0299da10</vt:lpwstr>
  </property>
</Properties>
</file>