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F85" w:rsidRDefault="00A11F8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F85" w:rsidRDefault="00A11F85" w:rsidP="00206B53">
      <w:pPr>
        <w:jc w:val="center"/>
      </w:pPr>
    </w:p>
    <w:p w:rsidR="00A11F85" w:rsidRDefault="00A11F8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11F85" w:rsidRDefault="00A11F85" w:rsidP="00206B53">
      <w:pPr>
        <w:pStyle w:val="mechtex"/>
        <w:rPr>
          <w:rFonts w:ascii="GHEA Mariam" w:hAnsi="GHEA Mariam"/>
          <w:b/>
        </w:rPr>
      </w:pPr>
    </w:p>
    <w:p w:rsidR="00A11F85" w:rsidRDefault="00A11F8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11F85" w:rsidRPr="008E1B5A" w:rsidRDefault="00A11F85" w:rsidP="00206B53">
      <w:pPr>
        <w:jc w:val="center"/>
        <w:rPr>
          <w:rFonts w:ascii="GHEA Mariam" w:hAnsi="GHEA Mariam"/>
          <w:sz w:val="24"/>
          <w:szCs w:val="24"/>
        </w:rPr>
      </w:pPr>
    </w:p>
    <w:p w:rsidR="00A11F85" w:rsidRPr="008E1B5A" w:rsidRDefault="00A11F85" w:rsidP="00206B53">
      <w:pPr>
        <w:jc w:val="center"/>
        <w:rPr>
          <w:rFonts w:ascii="GHEA Mariam" w:hAnsi="GHEA Mariam"/>
          <w:sz w:val="24"/>
          <w:szCs w:val="24"/>
        </w:rPr>
      </w:pPr>
    </w:p>
    <w:p w:rsidR="00A11F85" w:rsidRPr="008E1B5A" w:rsidRDefault="00A11F85" w:rsidP="00206B53">
      <w:pPr>
        <w:jc w:val="center"/>
        <w:rPr>
          <w:rFonts w:ascii="GHEA Mariam" w:hAnsi="GHEA Mariam"/>
          <w:sz w:val="24"/>
          <w:szCs w:val="24"/>
        </w:rPr>
      </w:pPr>
    </w:p>
    <w:p w:rsidR="00A11F85" w:rsidRPr="00000A81" w:rsidRDefault="00A11F85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A11F85" w:rsidRPr="00000A81" w:rsidRDefault="00A11F85" w:rsidP="00206B53">
      <w:pPr>
        <w:jc w:val="center"/>
        <w:rPr>
          <w:rFonts w:ascii="GHEA Mariam" w:hAnsi="GHEA Mariam"/>
          <w:sz w:val="24"/>
          <w:szCs w:val="24"/>
        </w:rPr>
      </w:pPr>
    </w:p>
    <w:p w:rsidR="00A11F85" w:rsidRPr="00000A81" w:rsidRDefault="00A11F85" w:rsidP="00206B53">
      <w:pPr>
        <w:jc w:val="center"/>
        <w:rPr>
          <w:rFonts w:ascii="GHEA Mariam" w:hAnsi="GHEA Mariam"/>
          <w:sz w:val="24"/>
          <w:szCs w:val="24"/>
        </w:rPr>
      </w:pPr>
    </w:p>
    <w:p w:rsidR="00A11F85" w:rsidRPr="008E1B5A" w:rsidRDefault="00A11F85" w:rsidP="00206B53">
      <w:pPr>
        <w:jc w:val="center"/>
        <w:rPr>
          <w:rFonts w:ascii="GHEA Mariam" w:hAnsi="GHEA Mariam"/>
          <w:sz w:val="24"/>
          <w:szCs w:val="24"/>
        </w:rPr>
      </w:pPr>
    </w:p>
    <w:p w:rsidR="00A11F85" w:rsidRDefault="00A11F85" w:rsidP="00A11F85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11F8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11F8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8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11F8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8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A11F8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2022 </w:t>
      </w:r>
      <w:r w:rsidRPr="00A11F8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A11F8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8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ՀՈՒԼԻՍԻ</w:t>
      </w:r>
      <w:r w:rsidRPr="00A11F8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28-</w:t>
      </w:r>
      <w:r w:rsidRPr="00A11F8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A11F8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1183-</w:t>
      </w:r>
      <w:r w:rsidRPr="00A11F8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A11F8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8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A11F8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8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11F8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85">
        <w:rPr>
          <w:rFonts w:ascii="GHEA Mariam" w:hAnsi="GHEA Mariam" w:cs="Arial"/>
          <w:caps/>
          <w:sz w:val="24"/>
          <w:szCs w:val="24"/>
          <w:shd w:val="clear" w:color="auto" w:fill="FFFFFF"/>
          <w:lang w:val="hy-AM"/>
        </w:rPr>
        <w:t>ՓՈՓՈԽՈՒԹՅՈՒՆներ</w:t>
      </w:r>
      <w:r w:rsidRPr="00A11F8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A11F85" w:rsidRDefault="00A11F85" w:rsidP="00A11F85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A11F8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A11F8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11F8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A11F85" w:rsidRDefault="00A11F85" w:rsidP="00A11F85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A11F85" w:rsidRPr="00A11F85" w:rsidRDefault="00A11F85" w:rsidP="00A11F85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A11F85" w:rsidRPr="008F1633" w:rsidRDefault="00A11F85" w:rsidP="00A11F85">
      <w:pPr>
        <w:pStyle w:val="mechtex"/>
        <w:rPr>
          <w:sz w:val="24"/>
          <w:szCs w:val="24"/>
          <w:lang w:val="hy-AM"/>
        </w:rPr>
      </w:pPr>
    </w:p>
    <w:p w:rsidR="00A11F85" w:rsidRPr="00A11F85" w:rsidRDefault="00A11F85" w:rsidP="00A11F85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Հայաստանի Հանրապետության օրենքի 33-րդ և 34-րդ հոդվածներով՝ </w:t>
      </w:r>
      <w:r w:rsidRPr="00A11F85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11F8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1F85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A11F85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A11F8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1F85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11F8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11F85">
        <w:rPr>
          <w:rFonts w:ascii="GHEA Mariam" w:hAnsi="GHEA Mariam" w:cs="Sylfaen"/>
          <w:sz w:val="24"/>
          <w:szCs w:val="22"/>
          <w:lang w:val="de-DE"/>
        </w:rPr>
        <w:t>ո</w:t>
      </w:r>
      <w:r w:rsidRPr="00A11F8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1F85">
        <w:rPr>
          <w:rFonts w:ascii="GHEA Mariam" w:hAnsi="GHEA Mariam" w:cs="Sylfaen"/>
          <w:sz w:val="24"/>
          <w:szCs w:val="22"/>
          <w:lang w:val="de-DE"/>
        </w:rPr>
        <w:t>ր</w:t>
      </w:r>
      <w:r w:rsidRPr="00A11F8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1F85">
        <w:rPr>
          <w:rFonts w:ascii="GHEA Mariam" w:hAnsi="GHEA Mariam" w:cs="Sylfaen"/>
          <w:sz w:val="24"/>
          <w:szCs w:val="22"/>
          <w:lang w:val="de-DE"/>
        </w:rPr>
        <w:t>ո</w:t>
      </w:r>
      <w:r w:rsidRPr="00A11F8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1F85">
        <w:rPr>
          <w:rFonts w:ascii="GHEA Mariam" w:hAnsi="GHEA Mariam" w:cs="Sylfaen"/>
          <w:sz w:val="24"/>
          <w:szCs w:val="22"/>
          <w:lang w:val="de-DE"/>
        </w:rPr>
        <w:t>շ</w:t>
      </w:r>
      <w:r w:rsidRPr="00A11F8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1F85">
        <w:rPr>
          <w:rFonts w:ascii="GHEA Mariam" w:hAnsi="GHEA Mariam" w:cs="Sylfaen"/>
          <w:sz w:val="24"/>
          <w:szCs w:val="22"/>
          <w:lang w:val="de-DE"/>
        </w:rPr>
        <w:t>ու</w:t>
      </w:r>
      <w:r w:rsidRPr="00A11F8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1F85">
        <w:rPr>
          <w:rFonts w:ascii="GHEA Mariam" w:hAnsi="GHEA Mariam" w:cs="Sylfaen"/>
          <w:sz w:val="24"/>
          <w:szCs w:val="22"/>
          <w:lang w:val="de-DE"/>
        </w:rPr>
        <w:t>մ</w:t>
      </w:r>
      <w:r w:rsidRPr="00A11F8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11F85">
        <w:rPr>
          <w:rFonts w:ascii="GHEA Mariam" w:hAnsi="GHEA Mariam" w:cs="Sylfaen"/>
          <w:sz w:val="24"/>
          <w:szCs w:val="22"/>
          <w:lang w:val="de-DE"/>
        </w:rPr>
        <w:t>է</w:t>
      </w:r>
      <w:r w:rsidRPr="00A11F8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11F85" w:rsidRPr="00A11F85" w:rsidRDefault="00A11F85" w:rsidP="00A11F85">
      <w:pPr>
        <w:tabs>
          <w:tab w:val="left" w:pos="990"/>
        </w:tabs>
        <w:spacing w:line="360" w:lineRule="auto"/>
        <w:ind w:firstLine="720"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A11F8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1</w:t>
      </w:r>
      <w:r w:rsidRPr="00A11F85">
        <w:rPr>
          <w:rFonts w:ascii="Cambria Math" w:eastAsia="MS Mincho" w:hAnsi="Cambria Math" w:cs="Cambria Math"/>
          <w:color w:val="000000"/>
          <w:spacing w:val="-4"/>
          <w:sz w:val="24"/>
          <w:szCs w:val="24"/>
          <w:shd w:val="clear" w:color="auto" w:fill="FFFFFF"/>
          <w:lang w:val="hy-AM"/>
        </w:rPr>
        <w:t>․</w:t>
      </w:r>
      <w:r w:rsidRPr="00A11F85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2022 թվականի հուլիսի</w:t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28-ի «Պետություն-մասնավոր գործընկերության ընթացակարգը, պետություն-մասնավոր գործընկերության ծրագրերի վերաբերյալ տվյալների բազայի ստեղծ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 և կառավարման կարգը հաստատելու, պետություն-մասնավոր գործընկերու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 ծրագրերի շրջանակում մատուցվող հանրային ծառայությունների ոլորտ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ները, պետություն-մասնավոր գործընկերության ստորաբաժանումը, պետություն-մասնավոր գործընկերության ծրագրի իրականացման վերաբերյալ հաշվետվու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թյան ձևը և ներկայացման ժամկետը սահմանելու և Հայաստանի Հանրապե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տության կառավարության 2012 թվականի սեպտեմբերի 20-ի N 1241-Ն որոշումն </w:t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ուժը կորցրած ճանաչելու մասին» N 1183-Ն որոշման (այսուհետ՝ որոշում) մեջ կատարել հետևյալ փոփոխությունները՝ </w:t>
      </w:r>
    </w:p>
    <w:p w:rsidR="00A11F85" w:rsidRPr="00A11F85" w:rsidRDefault="00A11F85" w:rsidP="00A11F85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MS Mincho" w:hAnsi="GHEA Mariam" w:cs="MS Mincho"/>
          <w:sz w:val="24"/>
          <w:szCs w:val="24"/>
        </w:rPr>
      </w:pP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որոշման հավելվածի՝</w:t>
      </w:r>
    </w:p>
    <w:p w:rsidR="00A11F85" w:rsidRPr="00A11F85" w:rsidRDefault="00A11F85" w:rsidP="00A11F85">
      <w:pPr>
        <w:tabs>
          <w:tab w:val="left" w:pos="99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</w:pPr>
      <w:r w:rsidRPr="00A11F85">
        <w:rPr>
          <w:rFonts w:ascii="GHEA Mariam" w:eastAsia="MS Mincho" w:hAnsi="GHEA Mariam" w:cs="MS Mincho"/>
          <w:sz w:val="24"/>
          <w:szCs w:val="24"/>
        </w:rPr>
        <w:t>ա</w:t>
      </w:r>
      <w:r w:rsidRPr="00A11F85">
        <w:rPr>
          <w:rFonts w:ascii="GHEA Mariam" w:eastAsia="MS Mincho" w:hAnsi="GHEA Mariam" w:cs="Cambria Math"/>
          <w:sz w:val="24"/>
          <w:szCs w:val="24"/>
        </w:rPr>
        <w:t>.</w:t>
      </w:r>
      <w:r w:rsidRPr="00A11F85">
        <w:rPr>
          <w:rFonts w:ascii="GHEA Mariam" w:eastAsia="MS Mincho" w:hAnsi="GHEA Mariam" w:cs="MS Mincho"/>
          <w:sz w:val="24"/>
          <w:szCs w:val="24"/>
        </w:rPr>
        <w:t xml:space="preserve"> </w:t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129-րդ կետը շարադրել հետևյալ խմբագրությամբ</w:t>
      </w:r>
      <w:r w:rsidRPr="00A11F85">
        <w:rPr>
          <w:rFonts w:ascii="Cambria Math" w:eastAsia="MS Mincho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A11F85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A11F85" w:rsidRPr="00A11F85" w:rsidRDefault="00A11F85" w:rsidP="00A11F85">
      <w:pPr>
        <w:tabs>
          <w:tab w:val="left" w:pos="99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</w:pPr>
      <w:r w:rsidRPr="00A11F85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129. Եթե գնահատող հանձնաժողովի նիստի ընթացքում հայտատուի հայտում արձանագրվում են անհամապատասխանություններ առաջարկի հարց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 պահանջների նկատմամբ՝ բացառությամբ ֆինանսական առաջարկում առկա անհամապատասխանությունների, ապա հանձնաժողովն իրավասու է մինչև տասնհինգ աշխատանքային օրով կասեցնել նիստը (գնահատումը), իսկ քարտու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ղարը մեկ աշխատանքային օրվա ընթացքում դրա մասին ծանուցում է հայտա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տուին՝ առաջարկելով մինչև կասեցման ժամկետի ավարտը շտկել անհամապա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տասխանությունը: Հայտատուին ուղարկվող ծանուցման մեջ մանրամասն նկարա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գրվում են հայտնաբերված անհամապատասխանությունները:</w:t>
      </w:r>
      <w:r w:rsidRPr="00A11F85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>»</w:t>
      </w:r>
      <w:r w:rsidR="00267104">
        <w:rPr>
          <w:rFonts w:ascii="GHEA Mariam" w:eastAsia="MS Mincho" w:hAnsi="GHEA Mariam" w:cs="MS Mincho"/>
          <w:color w:val="000000"/>
          <w:sz w:val="24"/>
          <w:szCs w:val="24"/>
          <w:shd w:val="clear" w:color="auto" w:fill="FFFFFF"/>
          <w:lang w:val="hy-AM"/>
        </w:rPr>
        <w:t>,</w:t>
      </w:r>
      <w:bookmarkStart w:id="0" w:name="_GoBack"/>
      <w:bookmarkEnd w:id="0"/>
    </w:p>
    <w:p w:rsidR="00A11F85" w:rsidRPr="00A11F85" w:rsidRDefault="00A11F85" w:rsidP="00A11F85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</w:pPr>
      <w:r w:rsidRPr="00A11F8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բ</w:t>
      </w:r>
      <w:r w:rsidRPr="00A11F85">
        <w:rPr>
          <w:rFonts w:ascii="Cambria Math" w:eastAsia="MS Mincho" w:hAnsi="Cambria Math" w:cs="Cambria Math"/>
          <w:color w:val="000000"/>
          <w:spacing w:val="-6"/>
          <w:sz w:val="24"/>
          <w:szCs w:val="24"/>
          <w:shd w:val="clear" w:color="auto" w:fill="FFFFFF"/>
          <w:lang w:val="hy-AM"/>
        </w:rPr>
        <w:t>․</w:t>
      </w:r>
      <w:r w:rsidRPr="00A11F8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132-րդ կետում </w:t>
      </w:r>
      <w:r w:rsidRPr="00A11F85">
        <w:rPr>
          <w:rFonts w:ascii="GHEA Mariam" w:eastAsia="Calibri" w:hAnsi="GHEA Mariam"/>
          <w:spacing w:val="-6"/>
          <w:sz w:val="24"/>
          <w:szCs w:val="24"/>
          <w:lang w:val="hy-AM"/>
        </w:rPr>
        <w:t>«մեկ ամսվա» բառերը փոխարինել «ութսուն օրվա» բառերով:</w:t>
      </w:r>
    </w:p>
    <w:p w:rsidR="00A11F85" w:rsidRPr="00A11F85" w:rsidRDefault="00A11F85" w:rsidP="00A11F85">
      <w:pPr>
        <w:tabs>
          <w:tab w:val="left" w:pos="990"/>
        </w:tabs>
        <w:spacing w:line="360" w:lineRule="auto"/>
        <w:ind w:firstLine="720"/>
        <w:jc w:val="both"/>
        <w:rPr>
          <w:rFonts w:ascii="GHEA Mariam" w:eastAsia="MS Mincho" w:hAnsi="GHEA Mariam" w:cs="MS Mincho"/>
          <w:sz w:val="24"/>
          <w:szCs w:val="24"/>
          <w:lang w:val="hy-AM"/>
        </w:rPr>
      </w:pPr>
      <w:r w:rsidRPr="00A11F8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2</w:t>
      </w:r>
      <w:r w:rsidRPr="00A11F85">
        <w:rPr>
          <w:rFonts w:ascii="Cambria Math" w:eastAsia="MS Mincho" w:hAnsi="Cambria Math" w:cs="Cambria Math"/>
          <w:color w:val="000000"/>
          <w:spacing w:val="-6"/>
          <w:sz w:val="24"/>
          <w:szCs w:val="24"/>
          <w:shd w:val="clear" w:color="auto" w:fill="FFFFFF"/>
          <w:lang w:val="hy-AM"/>
        </w:rPr>
        <w:t>․</w:t>
      </w:r>
      <w:r w:rsidRPr="00A11F85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Սույն որոշումն ուժի մեջ է մտնում պաշտոնական հրապարակմանը հաջորդող</w:t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օրվանից։ </w:t>
      </w:r>
      <w:r w:rsidRPr="00A11F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</w:p>
    <w:p w:rsidR="001F225D" w:rsidRDefault="001F225D" w:rsidP="00A11F85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A11F85" w:rsidRDefault="00A11F85" w:rsidP="00A11F85">
      <w:pPr>
        <w:pStyle w:val="mechtex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lang w:val="hy-AM"/>
        </w:rPr>
      </w:pPr>
    </w:p>
    <w:p w:rsidR="00A11F85" w:rsidRPr="006C521C" w:rsidRDefault="00A11F85" w:rsidP="00A11F85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3113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11F85" w:rsidRPr="006C521C" w:rsidRDefault="00A11F85" w:rsidP="00A11F85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fr-FR"/>
        </w:rPr>
      </w:pPr>
      <w:r w:rsidRPr="006C521C">
        <w:rPr>
          <w:rFonts w:ascii="GHEA Mariam" w:hAnsi="GHEA Mariam"/>
          <w:sz w:val="24"/>
          <w:szCs w:val="24"/>
          <w:lang w:val="fr-FR"/>
        </w:rPr>
        <w:t xml:space="preserve">            </w:t>
      </w:r>
      <w:r w:rsidRPr="0073113F">
        <w:rPr>
          <w:rFonts w:ascii="GHEA Mariam" w:hAnsi="GHEA Mariam"/>
          <w:sz w:val="24"/>
          <w:szCs w:val="24"/>
          <w:lang w:val="hy-AM"/>
        </w:rPr>
        <w:t>ՓՈԽ</w:t>
      </w:r>
      <w:r w:rsidRPr="0073113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7311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11F85" w:rsidRPr="006C521C" w:rsidRDefault="00A11F85" w:rsidP="00A11F85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A11F85" w:rsidRPr="00A11F85" w:rsidRDefault="00A11F85" w:rsidP="00A11F85">
      <w:pPr>
        <w:pStyle w:val="mechtex"/>
        <w:tabs>
          <w:tab w:val="left" w:pos="990"/>
        </w:tabs>
        <w:spacing w:line="360" w:lineRule="auto"/>
        <w:jc w:val="both"/>
        <w:rPr>
          <w:rFonts w:ascii="GHEA Mariam" w:hAnsi="GHEA Mariam" w:cs="Arial"/>
          <w:lang w:val="hy-AM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A11F85" w:rsidRPr="00A11F85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D6D" w:rsidRDefault="003F2D6D">
      <w:r>
        <w:separator/>
      </w:r>
    </w:p>
  </w:endnote>
  <w:endnote w:type="continuationSeparator" w:id="0">
    <w:p w:rsidR="003F2D6D" w:rsidRDefault="003F2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616AB" w:rsidRDefault="003F2D6D" w:rsidP="00C616A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616AB">
      <w:rPr>
        <w:noProof/>
      </w:rPr>
      <w:t>voroshumTK204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D6D" w:rsidRDefault="003F2D6D">
      <w:r>
        <w:separator/>
      </w:r>
    </w:p>
  </w:footnote>
  <w:footnote w:type="continuationSeparator" w:id="0">
    <w:p w:rsidR="003F2D6D" w:rsidRDefault="003F2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710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F43A1"/>
    <w:multiLevelType w:val="hybridMultilevel"/>
    <w:tmpl w:val="C2363524"/>
    <w:lvl w:ilvl="0" w:tplc="2B7A3D26">
      <w:start w:val="1"/>
      <w:numFmt w:val="decimal"/>
      <w:lvlText w:val="%1)"/>
      <w:lvlJc w:val="left"/>
      <w:pPr>
        <w:ind w:left="774" w:hanging="360"/>
      </w:pPr>
      <w:rPr>
        <w:rFonts w:ascii="GHEA Grapalat" w:eastAsiaTheme="minorHAnsi" w:hAnsi="GHEA Grapalat" w:cstheme="minorBidi" w:hint="default"/>
        <w:color w:val="000000"/>
        <w:sz w:val="21"/>
      </w:rPr>
    </w:lvl>
    <w:lvl w:ilvl="1" w:tplc="08090019">
      <w:start w:val="1"/>
      <w:numFmt w:val="lowerLetter"/>
      <w:lvlText w:val="%2."/>
      <w:lvlJc w:val="left"/>
      <w:pPr>
        <w:ind w:left="1494" w:hanging="360"/>
      </w:pPr>
    </w:lvl>
    <w:lvl w:ilvl="2" w:tplc="0809001B">
      <w:start w:val="1"/>
      <w:numFmt w:val="lowerRoman"/>
      <w:lvlText w:val="%3."/>
      <w:lvlJc w:val="right"/>
      <w:pPr>
        <w:ind w:left="2214" w:hanging="180"/>
      </w:pPr>
    </w:lvl>
    <w:lvl w:ilvl="3" w:tplc="0809000F">
      <w:start w:val="1"/>
      <w:numFmt w:val="decimal"/>
      <w:lvlText w:val="%4."/>
      <w:lvlJc w:val="left"/>
      <w:pPr>
        <w:ind w:left="2934" w:hanging="360"/>
      </w:pPr>
    </w:lvl>
    <w:lvl w:ilvl="4" w:tplc="08090019">
      <w:start w:val="1"/>
      <w:numFmt w:val="lowerLetter"/>
      <w:lvlText w:val="%5."/>
      <w:lvlJc w:val="left"/>
      <w:pPr>
        <w:ind w:left="3654" w:hanging="360"/>
      </w:pPr>
    </w:lvl>
    <w:lvl w:ilvl="5" w:tplc="0809001B">
      <w:start w:val="1"/>
      <w:numFmt w:val="lowerRoman"/>
      <w:lvlText w:val="%6."/>
      <w:lvlJc w:val="right"/>
      <w:pPr>
        <w:ind w:left="4374" w:hanging="180"/>
      </w:pPr>
    </w:lvl>
    <w:lvl w:ilvl="6" w:tplc="0809000F">
      <w:start w:val="1"/>
      <w:numFmt w:val="decimal"/>
      <w:lvlText w:val="%7."/>
      <w:lvlJc w:val="left"/>
      <w:pPr>
        <w:ind w:left="5094" w:hanging="360"/>
      </w:pPr>
    </w:lvl>
    <w:lvl w:ilvl="7" w:tplc="08090019">
      <w:start w:val="1"/>
      <w:numFmt w:val="lowerLetter"/>
      <w:lvlText w:val="%8."/>
      <w:lvlJc w:val="left"/>
      <w:pPr>
        <w:ind w:left="5814" w:hanging="360"/>
      </w:pPr>
    </w:lvl>
    <w:lvl w:ilvl="8" w:tplc="0809001B">
      <w:start w:val="1"/>
      <w:numFmt w:val="lowerRoman"/>
      <w:lvlText w:val="%9."/>
      <w:lvlJc w:val="right"/>
      <w:pPr>
        <w:ind w:left="653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F8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104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D6D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8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5DDA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6AB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E794B1"/>
  <w15:chartTrackingRefBased/>
  <w15:docId w15:val="{3E86708C-1018-44D1-9CC4-8E859EB8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11F85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A11F8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  <w14:ligatures w14:val="standardContextual"/>
    </w:rPr>
  </w:style>
  <w:style w:type="paragraph" w:styleId="ListParagraph">
    <w:name w:val="List Paragraph"/>
    <w:basedOn w:val="Normal"/>
    <w:uiPriority w:val="34"/>
    <w:qFormat/>
    <w:rsid w:val="00A11F8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n-GB" w:eastAsia="en-US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A11F85"/>
    <w:rPr>
      <w:i/>
      <w:iCs/>
    </w:rPr>
  </w:style>
  <w:style w:type="character" w:customStyle="1" w:styleId="normChar">
    <w:name w:val="norm Char"/>
    <w:link w:val="norm"/>
    <w:rsid w:val="00A11F8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2024-08-06T10:15:00Z</dcterms:created>
  <dcterms:modified xsi:type="dcterms:W3CDTF">2024-08-06T11:23:00Z</dcterms:modified>
</cp:coreProperties>
</file>