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A38" w:rsidRDefault="007F3A38" w:rsidP="007F3A38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7F3A38" w:rsidRDefault="007F3A38" w:rsidP="007F3A38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«Հայաստանի Հանրապետությունում «Արտաքին տնտեսական գործունեության ապրանքային անվանացանկ» (ԱՏԳ ԱԱ) դասակարգչի </w:t>
      </w: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0401, 0402, 0403, 0404, 0405, 0406, 210500, 2202 99 910 0, 2202 99 950 0, 2202 99 990 0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ծածկագրերին դասվող ապրանքների դրոշմավորման փորձնական ծրագիրը հաստատելու մասին» ՀՀ կառավարության որոշման նախագծի ընդունման</w:t>
      </w:r>
    </w:p>
    <w:p w:rsidR="007F3A38" w:rsidRDefault="007F3A38" w:rsidP="007F3A38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F3A38" w:rsidRDefault="007F3A38" w:rsidP="007F3A38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Իրավական ակտի անհրաժեշտությունը 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Calibri" w:hAnsi="GHEA Grapalat" w:cs="Times New Roman"/>
          <w:sz w:val="24"/>
          <w:lang w:val="hy-AM"/>
        </w:rPr>
      </w:pPr>
      <w:r>
        <w:rPr>
          <w:rFonts w:ascii="GHEA Grapalat" w:eastAsia="Calibri" w:hAnsi="GHEA Grapalat" w:cs="Times New Roman"/>
          <w:sz w:val="24"/>
          <w:lang w:val="hy-AM"/>
        </w:rPr>
        <w:t xml:space="preserve">Նախագծի ընդունման նպատակը ԱՏԳ ԱԱ 0401, 0402, 0403, 0404, 0405, 0406, 210500, 2202 99 910 0, 2202 99 950 0, 2202 99 990 0  ծածկագրերին դասվող ապրանքների (կաթնամթերք) դրոշմավորման փորձնական ծրագիրը </w:t>
      </w:r>
      <w:proofErr w:type="spellStart"/>
      <w:r>
        <w:rPr>
          <w:rFonts w:ascii="GHEA Grapalat" w:eastAsia="Calibri" w:hAnsi="GHEA Grapalat" w:cs="Times New Roman"/>
          <w:sz w:val="24"/>
          <w:lang w:val="hy-AM"/>
        </w:rPr>
        <w:t>հաստատելն</w:t>
      </w:r>
      <w:proofErr w:type="spellEnd"/>
      <w:r>
        <w:rPr>
          <w:rFonts w:ascii="GHEA Grapalat" w:eastAsia="Calibri" w:hAnsi="GHEA Grapalat" w:cs="Times New Roman"/>
          <w:sz w:val="24"/>
          <w:lang w:val="hy-AM"/>
        </w:rPr>
        <w:t xml:space="preserve"> է։</w:t>
      </w:r>
    </w:p>
    <w:p w:rsidR="007F3A38" w:rsidRDefault="007F3A38" w:rsidP="007F3A38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միությունում նույնականացման միջոցներով ապրանքների դրոշմավորման մասին» Համաձայնագիրը սահմանում է ԵԱՏՄ անդամ պետությունների համար նույնականացման միջոցներով ապրանքների դրոշմավորման միասնական եղանակը և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կարգավորումները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։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Ներկայումս գործող ՀՀ հարկային օրենսգիրքը ամբողջովին չի արտացոլում ԵԱՏՄ Համաձայնագրի դրույթները, քանի որ կարգավորում է 2014 թվականից գործող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Դրոշմապիտակների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դրոշմանիշերի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վերագրման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հաշվառման էլեկտրոնային համակարգի գործունեությունը, որն ունի որոշակի սահմանափակումներ և չի բավարարում Համաձայնագրում նշված պահանջներին։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ԱՏԳ ԱԱ 0401, 0402, 0403, 0404, 0405, 0406, 210500, 2202 99 910 0, 2202 99 950 0, 2202 99 990 0 ծածկագրին դասվող </w:t>
      </w:r>
      <w:r>
        <w:rPr>
          <w:rFonts w:ascii="GHEA Grapalat" w:eastAsia="Calibri" w:hAnsi="GHEA Grapalat" w:cs="Times New Roman"/>
          <w:sz w:val="24"/>
          <w:lang w:val="hy-AM"/>
        </w:rPr>
        <w:t>կաթնամթերքը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ՀՀ-ում ենթակա է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դրոշմապիտակներով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պարտադիր դրոշմավորման։</w:t>
      </w:r>
      <w:r>
        <w:rPr>
          <w:rFonts w:ascii="GHEA Grapalat" w:eastAsia="Times New Roman" w:hAnsi="GHEA Grapalat" w:cs="Times New Roman"/>
          <w:bCs/>
          <w:color w:val="FF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Միաժամանակ, 29.10.2021թ.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հանձնաժողովի խորհուրդն ընդունել է N113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որոշմումը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lang w:val="hy-AM"/>
        </w:rPr>
        <w:t>կաթնամթերք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ի՝ նույնականացման միջոցներով դրոշմավորում սահմանելու մասին։ Որոշման 1-ին կետի համաձայն՝ ԵԱՏՄ անդամ պետությունները նույն որոշմանը համապատասխան, ինքնուրույն են որոշում իրենց տարածքում </w:t>
      </w:r>
      <w:r>
        <w:rPr>
          <w:rFonts w:ascii="GHEA Grapalat" w:eastAsia="Calibri" w:hAnsi="GHEA Grapalat" w:cs="Times New Roman"/>
          <w:sz w:val="24"/>
          <w:lang w:val="hy-AM"/>
        </w:rPr>
        <w:t>կաթնամթերք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ի՝ նույնականացման միջոցներով դրոշմավորում սահմանելու ամսաթիվն ու կարգը։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հարկային օրենսգրքի 396.1-ին հոդվածի 2-րդ մասի համաձայն՝ ՀՀ վավերացրած միջազգային համաձայնագրերի հիման վրա հսկիչ (նույնականացման) նշաններով դրոշմավորման ենթակա ապրանքների ցանկը, դրոշմավորման ներդրման ժամկետները, այդ թվում՝ փորձնական ծրագրերի իրականացման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ժամկետները,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դրոշմավորման ներդրման ժամկետը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չօտարված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 դրոշմավորման ենթակա ապրանքային մնացորդների դրոշմավորման կարգը, դրոշմավորման կանոնները, օրենսգրքով սահմանված՝ դրոշմավորման ենթակա ապրանքների դրոշմավորման դադարեցման ժամկետները, ապրանքների շրջանառության նկատմամբ մոնիտորինգի տեղեկատվական համակարգի ներդրման առանձնահատկությունները հաստատում է Կառավարությունը:</w:t>
      </w:r>
    </w:p>
    <w:p w:rsidR="007F3A38" w:rsidRDefault="007F3A38" w:rsidP="007F3A38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Առկա խնդիրների առաջարկվող լուծումները.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Որոշման նախագծով առաջարկվում է հաստատել </w:t>
      </w:r>
      <w:r>
        <w:rPr>
          <w:rFonts w:ascii="GHEA Grapalat" w:eastAsia="Calibri" w:hAnsi="GHEA Grapalat" w:cs="Times New Roman"/>
          <w:sz w:val="24"/>
          <w:lang w:val="hy-AM"/>
        </w:rPr>
        <w:t>կաթնամթերք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ի` հսկիչ (նույնականացման) նշաններով դրոշմավորման փորձնական ծրագիրը։ 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Ծրագրի իրականացումը նպատակ է հետապնդում ստեղծել թվային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էկոհամակարգ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, որը ներդաշնակ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ինտեգրված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կլինի ԵԱՏՄ երկրների տնտեսության հետ և կծառայի ՀՀ-ում շրջանառվող ապրանքների քանակի և որակի իրական ժամանակում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վերահսկողությանը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(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real-time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trace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and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control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)։ Տեղեկատվական տեխնոլոգիաների զարգացման ներկայիս մակարդակը թույլ է տալիս բարձր մակարդակով իրականացնել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հետագծելիության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վերահսկողության գործառույթները, այնպես էլ համապատաս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softHyphen/>
        <w:t xml:space="preserve">խանացնել այդ գործառույթները ԵԱՏՄ օրենսդրությանը և ինտեգրել հայկական թվային լուծումները ԵԱՏՄ երկրների համակարգերի հետ։ Ապրանքների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դրոշմավորումը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իրականացվելու է ապրանքի հատուկ տվյալների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մատրիցային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Data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Matrix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կոդով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մակնշման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միջոցով։ Թվային դրոշմավորման կոդը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չկեղծվող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է, ունիկալ և չկրկնվող՝ ապրանքների յուրաքանչյուր միավորի համար։ Դրոշմավորման կոդերը արտադրողներին և ներմուծողներին տրամադրելու է Ազգային օպերատորը՝ թվային եղանակով։ Ապրանքների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հետագծելիությունը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հիմնվում է ապրանքի միավորների կամ ապրանքների խմբաքանակի եզակի նույնականացման իրականացման վրա, ինչն ապահովում է միավորի կամ բեռների շարժի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հետագծելիությունը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բաշխման ամբողջ շղթայով՝ շրջանառության մեջ մտնելուց  (արտադրություն կամ ներմուծում)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շրջանառությունից դուրս գալը: Այսպիսով, յուրաքանչյուր ապրանքի վերաբերյալ տեղեկատվությունը հասանելի է դառնում իրական ժամանակում շրջանառության բոլոր փուլերում։ Համակարգը կնպաստի թվային տնտեսության հետագա զարգացմանը՝ հնարավորություն տալով ինտեգրվելու նաև այլ G2B և B2B էլեկտրոնային ծառայությունների հետ, օրինակ՝ էլեկտրոնային հարկային հաշիվներ, ռիսկերի գնահատում, շուկայի գնահատում, ապահովագրություն և այլն։ Փորձնական ծրագրի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տևողությունը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նախատեսվում է երեք ամիս, որի ընթացքը հնարավորություն  կընձեռի իրականացնել</w:t>
      </w:r>
      <w:r>
        <w:rPr>
          <w:rFonts w:ascii="Times New Roman" w:eastAsia="Times New Roman" w:hAnsi="Times New Roman" w:cs="Times New Roman"/>
          <w:bCs/>
          <w:sz w:val="24"/>
          <w:szCs w:val="24"/>
          <w:lang w:val="hy-AM"/>
        </w:rPr>
        <w:t>․</w:t>
      </w:r>
    </w:p>
    <w:p w:rsidR="007F3A38" w:rsidRDefault="007F3A38" w:rsidP="007F3A38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lastRenderedPageBreak/>
        <w:t xml:space="preserve">նույնականացման միջոցներով ապրանքների դրոշմավորման մեխանիզմների և տեղեկատվական համակարգի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ֆունկցիոնալության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(գործառույթների)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փորձարկումը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 գործընթացի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հղկումը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,</w:t>
      </w:r>
    </w:p>
    <w:p w:rsidR="007F3A38" w:rsidRDefault="007F3A38" w:rsidP="007F3A38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ծրագրի մասնակիցների էֆեկտիվ (արդյունավետ)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փոխգործակցության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կազմակեր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softHyphen/>
        <w:t>պումը,</w:t>
      </w:r>
    </w:p>
    <w:p w:rsidR="007F3A38" w:rsidRDefault="007F3A38" w:rsidP="007F3A38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ծրագրի մասնակիցների տեղեկատվական համակարգերի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ինտեգրումը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փորձարկումը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Օպերատորի տեղեկատվական համակարգի հետ,</w:t>
      </w:r>
    </w:p>
    <w:p w:rsidR="007F3A38" w:rsidRDefault="007F3A38" w:rsidP="007F3A38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դրոշմավորման ենթակա ապրանքների ապրանքաշրջանառության ամբողջ ցիկլի, (հսկիչ նշան պատվիրելուց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շրջանառությունից դուրս գալը) գործառույթների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փորձարկումը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կարգավորումը։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Ծրագրի շրջանակներում բջջային հավելվածի ստեղծումը սպառողներին կօգնի հեշտությամբ ստուգել ապրանքի ծագման օրինականությունը և ունենալ ապրանքի վերաբերյալ ողջ տեղեկատվությունը, ունենալով նաև որակի նկատմամբ հասարակության անուղղակի վերահսկողություն։</w:t>
      </w:r>
    </w:p>
    <w:p w:rsidR="007F3A38" w:rsidRDefault="007F3A38" w:rsidP="007F3A38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7F3A38" w:rsidRDefault="007F3A38" w:rsidP="007F3A38">
      <w:pPr>
        <w:numPr>
          <w:ilvl w:val="0"/>
          <w:numId w:val="1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կիրառման դեպքում ակնկալվող արդյունքը.</w:t>
      </w:r>
    </w:p>
    <w:p w:rsidR="007F3A38" w:rsidRDefault="007F3A38" w:rsidP="007F3A38">
      <w:p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իրականացումը հանգեցնելու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հետևյալը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արդյունքների՝</w:t>
      </w:r>
    </w:p>
    <w:p w:rsidR="007F3A38" w:rsidRDefault="007F3A38" w:rsidP="007F3A38">
      <w:pPr>
        <w:numPr>
          <w:ilvl w:val="0"/>
          <w:numId w:val="3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բյուջեի ծախսերի կրճատում</w:t>
      </w:r>
      <w:r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7F3A38" w:rsidRDefault="007F3A38" w:rsidP="007F3A38">
      <w:pPr>
        <w:numPr>
          <w:ilvl w:val="0"/>
          <w:numId w:val="3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հայկական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արտահանողների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ԵԱՏՄ այլ երկրների օպերատորներին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դրոշմապիտակների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վճարվելիք գումարը այսուհետ կվճարվի հայկական տնտեսավարողներին և իր դրական ազդեցությունը կունենա ՀՀ տնտեսության վրա,</w:t>
      </w:r>
    </w:p>
    <w:p w:rsidR="007F3A38" w:rsidRDefault="007F3A38" w:rsidP="007F3A38">
      <w:pPr>
        <w:numPr>
          <w:ilvl w:val="0"/>
          <w:numId w:val="3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տեսանելի հեռանկարում ունենալ մեկ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դրոշմապիտակի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ձև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ամբողջ ԵԱՏՄ-ի համար, ինչը զգալիորեն կպարզեցնի ապրանքների արտադրման գործընթացը,</w:t>
      </w:r>
    </w:p>
    <w:p w:rsidR="007F3A38" w:rsidRDefault="007F3A38" w:rsidP="007F3A38">
      <w:pPr>
        <w:numPr>
          <w:ilvl w:val="0"/>
          <w:numId w:val="3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համակարգի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ինտեգրումը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 պետական մարմինների հետ կապահովի ապրանքների շրջանառության ամբողջ ցիկլի վերահսկումը՝ արտադրությունից /կամ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ներմուծումից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/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սպառում,</w:t>
      </w:r>
    </w:p>
    <w:p w:rsidR="007F3A38" w:rsidRDefault="007F3A38" w:rsidP="007F3A38">
      <w:pPr>
        <w:numPr>
          <w:ilvl w:val="0"/>
          <w:numId w:val="3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ապրանքների նույնականացում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հետևաբար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շրջանառության վերահսկում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 հատի ճշտությամբ,</w:t>
      </w:r>
    </w:p>
    <w:p w:rsidR="007F3A38" w:rsidRDefault="007F3A38" w:rsidP="007F3A38">
      <w:pPr>
        <w:numPr>
          <w:ilvl w:val="0"/>
          <w:numId w:val="3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ապրանքների իսկության վերահսկում հանրության կողմից՝ հատուկ բջջային հավելվածի միջոցով։</w:t>
      </w:r>
    </w:p>
    <w:p w:rsidR="007F3A38" w:rsidRDefault="007F3A38" w:rsidP="007F3A38">
      <w:p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Հնարավոր կլինի շատ ավելի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ճշտգրիտ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գնահատել շրջանառվող ապրանքների քանակը և,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հետևաբար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զգալիորեն նվազեցնել ստվերը։ Հայաստանի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Հանրապետությունում ներդրված է ժամանակակից էլեկտրոնային համակարգ, որը ներդաշնակ ինտեգրվում է  ԵԱՏՄ երկրների տնտեսության հետ և ծառայում է  Հայաստանում շրջանառվող ապրանքների քանակի և որակի իրական ժամանակում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վերահսկողությանը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real-time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trace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and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control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>)։ Ինչպես նաև համակարգը նպաստում է  թվային տնտեսության հետագա զարգացմանը՝ հնարավորություն տալով ինտեգրվելու նաև այլ G2B և B2B էլեկտրոնային ծառայությունների հետ, օրինակ՝ էլեկտրոնային հարկային հաշիվներ, ռիսկերի գնահատում, շուկայի գնահատում, ապահովագրություն և այլն։</w:t>
      </w:r>
    </w:p>
    <w:p w:rsidR="007F3A38" w:rsidRDefault="007F3A38" w:rsidP="007F3A38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right="65" w:firstLine="567"/>
        <w:contextualSpacing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Տեղեկատվություն լրացուցիչ ֆինանսական միջոցների անհրաժեշտության և</w:t>
      </w:r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պետական բյուջեի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Պետական բյուջեից լրացուցիչ ծախս չի ակնկալվում։ Դրոշմավորման նոր համակարգի ներդրման արդյունքում ակնկալվում է բյուջեի ծախսերի կրճատում և հարկային մուտքերի աճ։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7.</w:t>
      </w:r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18.11.2021թ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N1902–Լ որոշման N1 հավելվածի՝ 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ՀՀ ՊԵԿ միջոցառումների կետ 3՝ «Հարկային հսկողության ռիսկերի կառավարման համակարգերի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կատարելագործմամբ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ստվերի կրճատում»,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ՀՀ արտաքին գործերի նախարարության (ՀՀ ՊԵԿ համակատարող) կետ 4.3՝ «ԵԱՏՄ շրջանակներում նախաձեռնողական և փոխշահավետ համագործակցություն՝ միտված կառույցի ընձեռած հնարավորությունների առավելագույն կիրառմանը, գործընկեր երկրների հետ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առևտրաշրջանառության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ծավալների աճին»:</w:t>
      </w:r>
    </w:p>
    <w:p w:rsidR="007F3A38" w:rsidRDefault="007F3A38" w:rsidP="007F3A38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վերափոխման ռազմավարություն 2050՝ «Գ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ԱՎԵԼԱՑՎԱԾ ԱՐԺԵՔԻ ԲԱԶՄԱՊԱՏԿՄԱՆ ՄԻՏՈՒՄ» մասի «ՆՈՐԱՐԱՐԱԿԱՆ ՏԵԽՆՈԼՈԳԻԱՆԵՐԻ ԵՎ ՄԵԹՈԴՆԵՐԻ (ԹՎԱՅՆԱՑՈՒՄ)» ստեղծում և բազմապատկում։</w:t>
      </w:r>
    </w:p>
    <w:p w:rsidR="007F3A38" w:rsidRDefault="007F3A38" w:rsidP="007F3A38">
      <w:pPr>
        <w:tabs>
          <w:tab w:val="left" w:pos="851"/>
        </w:tabs>
        <w:spacing w:after="0" w:line="360" w:lineRule="auto"/>
        <w:ind w:left="360" w:right="306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:rsidR="007F3A38" w:rsidRDefault="007F3A38" w:rsidP="007F3A38">
      <w:pPr>
        <w:tabs>
          <w:tab w:val="left" w:pos="851"/>
          <w:tab w:val="left" w:pos="993"/>
          <w:tab w:val="left" w:pos="1134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A681A" w:rsidRPr="007F3A38" w:rsidRDefault="00EA681A">
      <w:pPr>
        <w:rPr>
          <w:lang w:val="hy-AM"/>
        </w:rPr>
      </w:pPr>
      <w:bookmarkStart w:id="0" w:name="_GoBack"/>
      <w:bookmarkEnd w:id="0"/>
    </w:p>
    <w:sectPr w:rsidR="00EA681A" w:rsidRPr="007F3A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B3FD2"/>
    <w:multiLevelType w:val="hybridMultilevel"/>
    <w:tmpl w:val="76921C6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E5D"/>
    <w:rsid w:val="007F3A38"/>
    <w:rsid w:val="00C04E5D"/>
    <w:rsid w:val="00EA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6E076C-EC89-49C1-A988-000A462FE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A3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0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1145</Words>
  <Characters>6531</Characters>
  <Application>Microsoft Office Word</Application>
  <DocSecurity>0</DocSecurity>
  <Lines>54</Lines>
  <Paragraphs>15</Paragraphs>
  <ScaleCrop>false</ScaleCrop>
  <Company/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3</cp:revision>
  <dcterms:created xsi:type="dcterms:W3CDTF">2024-07-25T13:32:00Z</dcterms:created>
  <dcterms:modified xsi:type="dcterms:W3CDTF">2024-07-25T13:32:00Z</dcterms:modified>
</cp:coreProperties>
</file>