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125234" w:rsidRDefault="009F26EA" w:rsidP="00695E5E">
      <w:pPr>
        <w:spacing w:line="360" w:lineRule="auto"/>
        <w:jc w:val="center"/>
        <w:rPr>
          <w:rFonts w:ascii="GHEA Grapalat" w:hAnsi="GHEA Grapalat"/>
          <w:b/>
          <w:bCs/>
          <w:sz w:val="24"/>
          <w:szCs w:val="24"/>
          <w:lang w:val="hy-AM"/>
        </w:rPr>
      </w:pPr>
      <w:r w:rsidRPr="00125234">
        <w:rPr>
          <w:rFonts w:ascii="GHEA Grapalat" w:hAnsi="GHEA Grapalat"/>
          <w:b/>
          <w:bCs/>
          <w:sz w:val="24"/>
          <w:szCs w:val="24"/>
          <w:lang w:val="hy-AM"/>
        </w:rPr>
        <w:t>ԱՄՓՈՓԱԹԵՐԹ</w:t>
      </w:r>
    </w:p>
    <w:p w:rsidR="006F0083" w:rsidRPr="00125234" w:rsidRDefault="00DE31E1" w:rsidP="00874B02">
      <w:pPr>
        <w:spacing w:line="360" w:lineRule="auto"/>
        <w:jc w:val="center"/>
        <w:rPr>
          <w:rFonts w:ascii="GHEA Grapalat" w:hAnsi="GHEA Grapalat"/>
          <w:sz w:val="24"/>
          <w:szCs w:val="24"/>
          <w:lang w:val="hy-AM"/>
        </w:rPr>
      </w:pPr>
      <w:r w:rsidRPr="00125234">
        <w:rPr>
          <w:rFonts w:ascii="Arial" w:hAnsi="Arial" w:cs="Arial"/>
          <w:b/>
          <w:bCs/>
          <w:sz w:val="24"/>
          <w:szCs w:val="24"/>
          <w:lang w:val="hy-AM"/>
        </w:rPr>
        <w:t> </w:t>
      </w:r>
      <w:r w:rsidR="00F36ED5" w:rsidRPr="00125234">
        <w:rPr>
          <w:rFonts w:ascii="GHEA Grapalat" w:hAnsi="GHEA Grapalat"/>
          <w:b/>
          <w:bCs/>
          <w:sz w:val="24"/>
          <w:szCs w:val="24"/>
          <w:lang w:val="hy-AM"/>
        </w:rPr>
        <w:t>«</w:t>
      </w:r>
      <w:r w:rsidR="00810447" w:rsidRPr="00810447">
        <w:rPr>
          <w:rFonts w:ascii="GHEA Grapalat" w:hAnsi="GHEA Grapalat"/>
          <w:b/>
          <w:bCs/>
          <w:sz w:val="24"/>
          <w:szCs w:val="24"/>
          <w:lang w:val="hy-AM"/>
        </w:rPr>
        <w:t>ՀԱՅԱՍՏԱՆԻ ՀԱՆՐԱՊԵՏՈՒԹՅԱՆ 2024 ԹՎԱԿԱՆԻ ՊԵՏԱԿԱՆ ԲՅՈՒՋԵԻ ՄԱՍԻՆ» ՕՐԵՆՔՈՒՄ ՎԵՐԱԲԱՇԽՈՒՄ, ՓՈՓՈԽՈՒԹՅՈՒՆՆԵՐ ԵՎ ԼՐԱՑՈՒՄ, ՀԱՅԱՍՏԱՆԻ ՀԱՆՐԱՊԵՏՈՒԹՅԱՆ ԿԱՌԱՎԱՐՈՒԹՅԱՆ 2023 ԹՎԱԿԱՆԻ ԴԵԿՏԵՄԲԵՐԻ 28-Ի N 2323-Ն ՈՐՈՇՄԱՆ ՄԵՋ  ՓՈՓՈԽՈՒԹՅՈՒՆՆԵՐ ԵՎ ԼՐԱՑՈՒՄՆԵՐ ԿԱՏԱՐԵԼՈՒ ՄԱՍԻՆ</w:t>
      </w:r>
      <w:r w:rsidR="00AA54BA" w:rsidRPr="00125234">
        <w:rPr>
          <w:rFonts w:ascii="GHEA Grapalat" w:hAnsi="GHEA Grapalat"/>
          <w:b/>
          <w:sz w:val="24"/>
          <w:szCs w:val="24"/>
          <w:lang w:val="hy-AM"/>
        </w:rPr>
        <w:t xml:space="preserve">» </w:t>
      </w:r>
      <w:r w:rsidR="006F0083" w:rsidRPr="00125234">
        <w:rPr>
          <w:rFonts w:ascii="GHEA Grapalat" w:hAnsi="GHEA Grapalat"/>
          <w:b/>
          <w:sz w:val="24"/>
          <w:szCs w:val="24"/>
          <w:lang w:val="hy-AM"/>
        </w:rPr>
        <w:t>ՀՀ ԿԱՌԱՎԱՐՈՒԹՅԱՆ ՈՐՈՇՄԱՆ ՆԱԽԱԳԾԻ</w:t>
      </w:r>
      <w:r w:rsidR="006F0083" w:rsidRPr="00125234">
        <w:rPr>
          <w:rFonts w:ascii="Calibri" w:hAnsi="Calibri" w:cs="Calibri"/>
          <w:b/>
          <w:sz w:val="24"/>
          <w:szCs w:val="24"/>
          <w:lang w:val="hy-AM"/>
        </w:rPr>
        <w:t> </w:t>
      </w:r>
    </w:p>
    <w:p w:rsidR="009F26EA" w:rsidRPr="00125234"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5"/>
        <w:gridCol w:w="1530"/>
        <w:gridCol w:w="3067"/>
      </w:tblGrid>
      <w:tr w:rsidR="008A7755" w:rsidRPr="00125234" w:rsidTr="003D58FA">
        <w:trPr>
          <w:trHeight w:val="416"/>
          <w:tblCellSpacing w:w="0" w:type="dxa"/>
        </w:trPr>
        <w:tc>
          <w:tcPr>
            <w:tcW w:w="7835" w:type="dxa"/>
            <w:gridSpan w:val="2"/>
            <w:vMerge w:val="restart"/>
            <w:shd w:val="clear" w:color="auto" w:fill="D9D9D9" w:themeFill="background1" w:themeFillShade="D9"/>
            <w:hideMark/>
          </w:tcPr>
          <w:p w:rsidR="008A7755" w:rsidRPr="00125234"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125234">
              <w:rPr>
                <w:rFonts w:ascii="GHEA Grapalat" w:eastAsia="Times New Roman" w:hAnsi="GHEA Grapalat" w:cs="Times New Roman"/>
                <w:color w:val="000000"/>
                <w:sz w:val="24"/>
                <w:szCs w:val="24"/>
                <w:lang w:val="hy-AM" w:eastAsia="ru-RU"/>
              </w:rPr>
              <w:t xml:space="preserve">ՀՀ </w:t>
            </w:r>
            <w:r w:rsidR="00B72995" w:rsidRPr="00125234">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rsidR="008A7755" w:rsidRPr="00EC6F1C" w:rsidRDefault="00EC6F1C" w:rsidP="00CE4147">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sidRPr="00EC6F1C">
              <w:rPr>
                <w:rFonts w:ascii="GHEA Grapalat" w:eastAsia="Times New Roman" w:hAnsi="GHEA Grapalat" w:cs="Times New Roman"/>
                <w:color w:val="000000"/>
                <w:sz w:val="24"/>
                <w:szCs w:val="24"/>
                <w:lang w:val="en-US" w:eastAsia="ru-RU"/>
              </w:rPr>
              <w:t>18.06.2024</w:t>
            </w:r>
            <w:r w:rsidRPr="00EC6F1C">
              <w:rPr>
                <w:rFonts w:ascii="GHEA Grapalat" w:eastAsia="Times New Roman" w:hAnsi="GHEA Grapalat" w:cs="Times New Roman"/>
                <w:color w:val="000000"/>
                <w:sz w:val="24"/>
                <w:szCs w:val="24"/>
                <w:lang w:val="hy-AM" w:eastAsia="ru-RU"/>
              </w:rPr>
              <w:t>թ․</w:t>
            </w:r>
          </w:p>
        </w:tc>
      </w:tr>
      <w:tr w:rsidR="008A7755" w:rsidRPr="00125234" w:rsidTr="003D58FA">
        <w:trPr>
          <w:trHeight w:val="416"/>
          <w:tblCellSpacing w:w="0" w:type="dxa"/>
        </w:trPr>
        <w:tc>
          <w:tcPr>
            <w:tcW w:w="7835" w:type="dxa"/>
            <w:gridSpan w:val="2"/>
            <w:vMerge/>
            <w:shd w:val="clear" w:color="auto" w:fill="D9D9D9" w:themeFill="background1" w:themeFillShade="D9"/>
            <w:hideMark/>
          </w:tcPr>
          <w:p w:rsidR="008A7755" w:rsidRPr="00125234"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rsidR="008A7755" w:rsidRPr="00810447" w:rsidRDefault="00EC6F1C" w:rsidP="00B8724E">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Pr>
                <w:rFonts w:ascii="GHEA Grapalat" w:eastAsia="Times New Roman" w:hAnsi="GHEA Grapalat" w:cs="Times New Roman"/>
                <w:color w:val="000000"/>
                <w:sz w:val="24"/>
                <w:szCs w:val="24"/>
                <w:lang w:val="en-US" w:eastAsia="ru-RU"/>
              </w:rPr>
              <w:t xml:space="preserve">N </w:t>
            </w:r>
            <w:r w:rsidRPr="00EC6F1C">
              <w:rPr>
                <w:rFonts w:ascii="GHEA Grapalat" w:eastAsia="Times New Roman" w:hAnsi="GHEA Grapalat" w:cs="Times New Roman"/>
                <w:color w:val="000000"/>
                <w:sz w:val="24"/>
                <w:szCs w:val="24"/>
                <w:lang w:val="hy-AM" w:eastAsia="ru-RU"/>
              </w:rPr>
              <w:t>01/34/12988-2024</w:t>
            </w:r>
          </w:p>
        </w:tc>
      </w:tr>
      <w:tr w:rsidR="00EC6F1C" w:rsidRPr="00EC6F1C" w:rsidTr="00EC6F1C">
        <w:trPr>
          <w:trHeight w:val="416"/>
          <w:tblCellSpacing w:w="0" w:type="dxa"/>
        </w:trPr>
        <w:tc>
          <w:tcPr>
            <w:tcW w:w="6305" w:type="dxa"/>
            <w:shd w:val="clear" w:color="auto" w:fill="FFFFFF"/>
          </w:tcPr>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Այս կապակցությամբ հայտնում ենք, որ Նախագծին կից ներկայացված չեն հաստիքացուցակն ու աշխատավարձի ֆոնդը: Հիմնադրամի հաստիքների, աշխատավարձի և պարգևատրման ֆոնդերի, ինչպես նաև  պահպանման ծախսերի ավելացման հարցը ներկայացվել է Հիմնադրամի հոգաբարձուների խորհրդի 08.05.2024թ. նիստին (հարց N 1), որի վերաբերյալ հայտնել ենք, որ վերջնական դիրքորոշում հնարավոր է տալ՝ քվեաթերթիկին կից ներկայացված տեղեկանքում բարձրացված հարցադրումների վերաբերյալ պարզաբանումների և հիմնավորումների առկայության դեպքում։ Արդյունքում՝ քվեարկվել է ձեռնպահ, իսկ նշված Նախագծով ևս անդրադարձ չի կատարվել մեր կողմից նախկինում բարձրացված հարցերին: Մասնավորապես, Նախագծով առաջարկվում է.</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1.</w:t>
            </w:r>
            <w:r w:rsidRPr="00EC6F1C">
              <w:rPr>
                <w:rFonts w:ascii="GHEA Grapalat" w:eastAsia="Times New Roman" w:hAnsi="GHEA Grapalat" w:cs="Times New Roman"/>
                <w:color w:val="000000"/>
                <w:sz w:val="24"/>
                <w:szCs w:val="24"/>
                <w:lang w:val="hy-AM" w:eastAsia="ru-RU"/>
              </w:rPr>
              <w:tab/>
              <w:t xml:space="preserve">25 նոր աշխատակցի գծով, 7 ամսվա համար, նախատեսել աշխատավարձի ֆոնդ՝ 109.5 մլն դրամի չափով: Այս կապակցությամբ հայտնում ենք, որ հիմնավորված չէ 7 ամսվա կտրվածքով վարձատրության անհրաժեշտությունը և առաջարկում ենք աշխատավարձի ֆոնդը նախատեսել 6 ամսվա համար: </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2.</w:t>
            </w:r>
            <w:r w:rsidRPr="00EC6F1C">
              <w:rPr>
                <w:rFonts w:ascii="GHEA Grapalat" w:eastAsia="Times New Roman" w:hAnsi="GHEA Grapalat" w:cs="Times New Roman"/>
                <w:color w:val="000000"/>
                <w:sz w:val="24"/>
                <w:szCs w:val="24"/>
                <w:lang w:val="hy-AM" w:eastAsia="ru-RU"/>
              </w:rPr>
              <w:tab/>
              <w:t xml:space="preserve">Նախատեսել պարգևատրումներ, մասնավորապես՝ առկա 75 աշխատակցի գծով՝ 3 </w:t>
            </w:r>
            <w:r w:rsidRPr="00EC6F1C">
              <w:rPr>
                <w:rFonts w:ascii="GHEA Grapalat" w:eastAsia="Times New Roman" w:hAnsi="GHEA Grapalat" w:cs="Times New Roman"/>
                <w:color w:val="000000"/>
                <w:sz w:val="24"/>
                <w:szCs w:val="24"/>
                <w:lang w:val="hy-AM" w:eastAsia="ru-RU"/>
              </w:rPr>
              <w:lastRenderedPageBreak/>
              <w:t>եռամսյակի համար` 136.7 մլն դրամ, 25 նոր աշխատակցի գծով՝ 2 եռամսյակի կտրվածքով` 30.4 մլն դրամ, ինչպես նաև 63 աշխատակցի գծով՝ առաջին եռամսյակի համար` 38.3 մլն դրամ: Արդյունքում, միջին աշխատավարձի 607</w:t>
            </w:r>
            <w:r w:rsidRPr="00EC6F1C">
              <w:rPr>
                <w:rFonts w:ascii="Cambria Math" w:eastAsia="Times New Roman" w:hAnsi="Cambria Math" w:cs="Cambria Math"/>
                <w:color w:val="000000"/>
                <w:sz w:val="24"/>
                <w:szCs w:val="24"/>
                <w:lang w:val="hy-AM" w:eastAsia="ru-RU"/>
              </w:rPr>
              <w:t>․</w:t>
            </w:r>
            <w:r w:rsidRPr="00EC6F1C">
              <w:rPr>
                <w:rFonts w:ascii="GHEA Grapalat" w:eastAsia="Times New Roman" w:hAnsi="GHEA Grapalat" w:cs="Times New Roman"/>
                <w:color w:val="000000"/>
                <w:sz w:val="24"/>
                <w:szCs w:val="24"/>
                <w:lang w:val="hy-AM" w:eastAsia="ru-RU"/>
              </w:rPr>
              <w:t xml:space="preserve">4 </w:t>
            </w:r>
            <w:r w:rsidRPr="00EC6F1C">
              <w:rPr>
                <w:rFonts w:ascii="GHEA Grapalat" w:eastAsia="Times New Roman" w:hAnsi="GHEA Grapalat" w:cs="GHEA Grapalat"/>
                <w:color w:val="000000"/>
                <w:sz w:val="24"/>
                <w:szCs w:val="24"/>
                <w:lang w:val="hy-AM" w:eastAsia="ru-RU"/>
              </w:rPr>
              <w:t>հազ</w:t>
            </w:r>
            <w:r w:rsidRPr="00EC6F1C">
              <w:rPr>
                <w:rFonts w:ascii="Cambria Math" w:eastAsia="Times New Roman" w:hAnsi="Cambria Math" w:cs="Cambria Math"/>
                <w:color w:val="000000"/>
                <w:sz w:val="24"/>
                <w:szCs w:val="24"/>
                <w:lang w:val="hy-AM" w:eastAsia="ru-RU"/>
              </w:rPr>
              <w:t>․</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դրամի</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փոխարեն</w:t>
            </w:r>
            <w:r w:rsidRPr="00EC6F1C">
              <w:rPr>
                <w:rFonts w:ascii="GHEA Grapalat" w:eastAsia="Times New Roman" w:hAnsi="GHEA Grapalat" w:cs="Times New Roman"/>
                <w:color w:val="000000"/>
                <w:sz w:val="24"/>
                <w:szCs w:val="24"/>
                <w:lang w:val="hy-AM" w:eastAsia="ru-RU"/>
              </w:rPr>
              <w:t xml:space="preserve"> 1 </w:t>
            </w:r>
            <w:r w:rsidRPr="00EC6F1C">
              <w:rPr>
                <w:rFonts w:ascii="GHEA Grapalat" w:eastAsia="Times New Roman" w:hAnsi="GHEA Grapalat" w:cs="GHEA Grapalat"/>
                <w:color w:val="000000"/>
                <w:sz w:val="24"/>
                <w:szCs w:val="24"/>
                <w:lang w:val="hy-AM" w:eastAsia="ru-RU"/>
              </w:rPr>
              <w:t>հաստիքի</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միջին</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ամսական</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վարձատրությունը</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կկազմի</w:t>
            </w:r>
            <w:r w:rsidRPr="00EC6F1C">
              <w:rPr>
                <w:rFonts w:ascii="GHEA Grapalat" w:eastAsia="Times New Roman" w:hAnsi="GHEA Grapalat" w:cs="Times New Roman"/>
                <w:color w:val="000000"/>
                <w:sz w:val="24"/>
                <w:szCs w:val="24"/>
                <w:lang w:val="hy-AM" w:eastAsia="ru-RU"/>
              </w:rPr>
              <w:t xml:space="preserve"> 747.0 </w:t>
            </w:r>
            <w:r w:rsidRPr="00EC6F1C">
              <w:rPr>
                <w:rFonts w:ascii="GHEA Grapalat" w:eastAsia="Times New Roman" w:hAnsi="GHEA Grapalat" w:cs="GHEA Grapalat"/>
                <w:color w:val="000000"/>
                <w:sz w:val="24"/>
                <w:szCs w:val="24"/>
                <w:lang w:val="hy-AM" w:eastAsia="ru-RU"/>
              </w:rPr>
              <w:t>հազ</w:t>
            </w:r>
            <w:r w:rsidRPr="00EC6F1C">
              <w:rPr>
                <w:rFonts w:ascii="Cambria Math" w:eastAsia="Times New Roman" w:hAnsi="Cambria Math" w:cs="Cambria Math"/>
                <w:color w:val="000000"/>
                <w:sz w:val="24"/>
                <w:szCs w:val="24"/>
                <w:lang w:val="hy-AM" w:eastAsia="ru-RU"/>
              </w:rPr>
              <w:t>․</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դրամ։</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Այդ</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առումով</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առաջարկում</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ենք՝</w:t>
            </w:r>
            <w:r w:rsidRPr="00EC6F1C">
              <w:rPr>
                <w:rFonts w:ascii="GHEA Grapalat" w:eastAsia="Times New Roman" w:hAnsi="GHEA Grapalat" w:cs="Times New Roman"/>
                <w:color w:val="000000"/>
                <w:sz w:val="24"/>
                <w:szCs w:val="24"/>
                <w:lang w:val="hy-AM" w:eastAsia="ru-RU"/>
              </w:rPr>
              <w:t xml:space="preserve"> </w:t>
            </w:r>
            <w:r w:rsidRPr="00EC6F1C">
              <w:rPr>
                <w:rFonts w:ascii="GHEA Grapalat" w:eastAsia="Times New Roman" w:hAnsi="GHEA Grapalat" w:cs="GHEA Grapalat"/>
                <w:color w:val="000000"/>
                <w:sz w:val="24"/>
                <w:szCs w:val="24"/>
                <w:lang w:val="hy-AM" w:eastAsia="ru-RU"/>
              </w:rPr>
              <w:t>ամ</w:t>
            </w:r>
            <w:r w:rsidRPr="00EC6F1C">
              <w:rPr>
                <w:rFonts w:ascii="GHEA Grapalat" w:eastAsia="Times New Roman" w:hAnsi="GHEA Grapalat" w:cs="Times New Roman"/>
                <w:color w:val="000000"/>
                <w:sz w:val="24"/>
                <w:szCs w:val="24"/>
                <w:lang w:val="hy-AM" w:eastAsia="ru-RU"/>
              </w:rPr>
              <w:t>սական վարձատրության մեջ 50%-ից ավել նախատեսել փոփոխական բաղադրիչ, որը կփոխկապակցվի տվյալ հաստիքի համար նախատեսված արդյունքային ցուցանիշների կատարման հետ։ Միաժամանակ, առաջարկում ենք 75 աշխատակցի գծով պարգևատրման ֆոնդը նախատեսել 2 եռամսյակի համար, իսկ 63 աշխատակցի առաջին եռամսյակի համար պարգևատրման ֆոնդը՝ 38.3 մլն դրամի չափով, հանել հաշվարկներից:</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3.</w:t>
            </w:r>
            <w:r w:rsidRPr="00EC6F1C">
              <w:rPr>
                <w:rFonts w:ascii="GHEA Grapalat" w:eastAsia="Times New Roman" w:hAnsi="GHEA Grapalat" w:cs="Times New Roman"/>
                <w:color w:val="000000"/>
                <w:sz w:val="24"/>
                <w:szCs w:val="24"/>
                <w:lang w:val="hy-AM" w:eastAsia="ru-RU"/>
              </w:rPr>
              <w:tab/>
              <w:t>Նախատեսել աշխատակիցների համար տարեվերջյան արձակուրդների և վերջնահաշվարկի ֆոնդ՝ 35.0 մլն դրամի չափով: Այս կապակցությամբ հայտնում ենք, որ պարզ չէ Հիմնադրամի աշխատակիցների՝ դպրոցաշինության ծրագրերում ներգրավվելու դեպքում, ինչ վերջնահաշվարկի մասին է խոսքը:</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4.</w:t>
            </w:r>
            <w:r w:rsidRPr="00EC6F1C">
              <w:rPr>
                <w:rFonts w:ascii="GHEA Grapalat" w:eastAsia="Times New Roman" w:hAnsi="GHEA Grapalat" w:cs="Times New Roman"/>
                <w:color w:val="000000"/>
                <w:sz w:val="24"/>
                <w:szCs w:val="24"/>
                <w:lang w:val="hy-AM" w:eastAsia="ru-RU"/>
              </w:rPr>
              <w:tab/>
              <w:t>Ինչ վերաբերում է Հաստիքների թվի՝ 25 միավորով ավելացմանը, հաշվի առնելով Հոգաբարձուների խորհրդի 08.05.2024թ. նիստի քննարկմանը ներկայացված հաստիքացուցակը (17 ինժեներ և 8 այլ հաստիքներ) և վերջինիս վերաբերյալ ներկայացված հիմնավորումները, հայտնում ենք, որ</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- 17 ինժեների հաստիքի ավելացման դեպքում չի ներկայացվել 1 մասնագետին կցված ծրագրերի քանակը, միջին ծանրաբեռնվածությունը։ Ընդ որում՝ միջին ծանրաբեռնվածությունն անհրաժեշտ է գնահատել ոչ միայն ծրագրերի քանակով, այլ նաև ֆինանսական ծավալով (այդ թվում ավելացվող ծրագրերի մասով)։</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 xml:space="preserve">- յոթ հաստիք նախատեսված է  ծրագրերի </w:t>
            </w:r>
            <w:r w:rsidRPr="00EC6F1C">
              <w:rPr>
                <w:rFonts w:ascii="GHEA Grapalat" w:eastAsia="Times New Roman" w:hAnsi="GHEA Grapalat" w:cs="Times New Roman"/>
                <w:color w:val="000000"/>
                <w:sz w:val="24"/>
                <w:szCs w:val="24"/>
                <w:lang w:val="hy-AM" w:eastAsia="ru-RU"/>
              </w:rPr>
              <w:lastRenderedPageBreak/>
              <w:t>իրականացման մասնագետների համար լավագույն ուսանողներին ընդգրկելու նպատակով՝ դպրոցաշինության ծրագրի արդյունավետ իրականացման նպատակով և ծանրաբեռնվածության ճիշտ բաշխման համար: Մինչդեռ անհրաժեշտ է ներկայացնել, թե ինչ սկզբունքով և ենթադրություններով է գնահատվել, որ ուսանողների կողմից, որոնք դեռևս փորձառություն չունեն, կապահովվեն դպրոցաշինության ծրագրի արդյունավետ իրականացումը (իրատեսականության հիմնավորումները)՝ ոլորտի փորձառու մասնագետների ներգրավման փոխարեն: Բացի այդ, պարզ չէ, թե արդյո՞ք ուսանողներն ընդգրկվելու են հաստիքացուցակով նախատեսվող աշխատավարձով (620.0 հազ. դրամ):</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 xml:space="preserve">- 1 թարգմանչի ավելացման առաջարկը հիմնականում պայմանավորվել է «Մինչև 2026 թվականը կառուցվող, հիմնանորոգվող կամ վերակառուցվող 300 դպրոցներ» ծրագրով պահանջվող թարգմանությունների իրականացմամբ, քանի որ թարգմանչի 1 հաստիքի առկայությունն ինքնին չի ապահովում Հիմնադրամի կողմից իրականացվող ծրագրերով անհրաժեշտ թարգմանությունների կատարումը (թարգմանություններ՝ գնման գործընթացը օրենքով սահմանված կարգով պատշաճ կազմակերպելու համար)։ </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Նկատի ունենալով, որ վերը նկարագրված աշխատանքների գնումների գործընթացներն իրականացվում են ներքին աղբյուրների հաշվին և, հաշվի առնելով այն հանգամանքը, որ Հիմնադրամի կողմից իրականացվող մի շարք վարկային ծրագրեր հիմնականում ավարտվում են 2025 թվականին, գտնում ենք, որ այս պարագայում ևս 1 թարգմանչի հաստիք ավելացնելու պահանջը բավարար հիմնավորված չէ:</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5.</w:t>
            </w:r>
            <w:r w:rsidRPr="00EC6F1C">
              <w:rPr>
                <w:rFonts w:ascii="GHEA Grapalat" w:eastAsia="Times New Roman" w:hAnsi="GHEA Grapalat" w:cs="Times New Roman"/>
                <w:color w:val="000000"/>
                <w:sz w:val="24"/>
                <w:szCs w:val="24"/>
                <w:lang w:val="hy-AM" w:eastAsia="ru-RU"/>
              </w:rPr>
              <w:tab/>
              <w:t xml:space="preserve">25 նոր աշխատակիցների համար 20.3 մլն դրամի շրջանակներում ձեռք բերել համակարգչային սարքավորումներ և գրասենյակային կահույք, </w:t>
            </w:r>
            <w:r w:rsidRPr="00EC6F1C">
              <w:rPr>
                <w:rFonts w:ascii="GHEA Grapalat" w:eastAsia="Times New Roman" w:hAnsi="GHEA Grapalat" w:cs="Times New Roman"/>
                <w:color w:val="000000"/>
                <w:sz w:val="24"/>
                <w:szCs w:val="24"/>
                <w:lang w:val="hy-AM" w:eastAsia="ru-RU"/>
              </w:rPr>
              <w:lastRenderedPageBreak/>
              <w:t xml:space="preserve">մասնավորապես, 23 տպող և լուսապատճենող սարք, 23 բազկաթոռ, 40 գրասենյակային աթոռ, 20 օժանդակող/կցորդ գրասենյակային կահույք: Այս առումով, առաջարկում ենք գնահատել գույքով համալրվածության վերաբերյալ իրական կարիքները, դրանից հանելով ոչ հրատապ ձեռքբերման ենթակա ապրանքատեսակները: Նույն դիտարկումը վերաբերում է նաև տպող սարքերի 20 քարթրիջների ձեռքբերման և դրանց վերալիցքավորման ծախսերին: </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6.</w:t>
            </w:r>
            <w:r w:rsidRPr="00EC6F1C">
              <w:rPr>
                <w:rFonts w:ascii="GHEA Grapalat" w:eastAsia="Times New Roman" w:hAnsi="GHEA Grapalat" w:cs="Times New Roman"/>
                <w:color w:val="000000"/>
                <w:sz w:val="24"/>
                <w:szCs w:val="24"/>
                <w:lang w:val="hy-AM" w:eastAsia="ru-RU"/>
              </w:rPr>
              <w:tab/>
              <w:t>Պահպանման ծախսերի ընդհանուր մոտեցումների համատեքստում առաջարկում ենք ավտոմեքենաների գծով ընթացիկ ծախսերը (ընթացիկ նորոգում, տրանսպորտային նյութեր, տեխզննում) նախատեսել միավորի համար 1.2 մլն դրամ տարեկան ծախսի հաշվարկային սկզբունքով` 6 ամսվա համար նախատեսելով 9.6 մլն դրամ՝ ներկայացված 12.4 մլն դրամի փոխարեն (16 մեքենա*6ամիս*100.0 հազ. դրամ):</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7.</w:t>
            </w:r>
            <w:r w:rsidRPr="00EC6F1C">
              <w:rPr>
                <w:rFonts w:ascii="GHEA Grapalat" w:eastAsia="Times New Roman" w:hAnsi="GHEA Grapalat" w:cs="Times New Roman"/>
                <w:color w:val="000000"/>
                <w:sz w:val="24"/>
                <w:szCs w:val="24"/>
                <w:lang w:val="hy-AM" w:eastAsia="ru-RU"/>
              </w:rPr>
              <w:tab/>
              <w:t>Առաջարկում ենք հանել «Այլ ծախսեր» հոդվածով նախատեսված՝ աշխատակիցների տեղավորման հետ կապված չնախատեսված 10.0 մլն դրամը, հաշվի առնելով, որ ակնհայտ չէ, թե դրանք ինչ ծախսեր են ենթադրում, իսկ առկա տնտեսագիտական հոդվածներով լրացուցիչ ծախս առաջանալու դեպքում հարցը կարգավորել Հիմնադրամին 2024թ. պետական բյուջեով հատկացված գործառնական ծախսերի հնարավոր տնտեսումների շրջանակներում:</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Միաժամանակ Նախագծում բացահայտված չէ  առաջին կիսամյակից 28.5 մլն դրամի պակասեցումը, ուստի առաջարկում ենք Նախագծի հավելվածներից հանել նշված նվազեցումը:</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sidRPr="00EC6F1C">
              <w:rPr>
                <w:rFonts w:ascii="GHEA Grapalat" w:eastAsia="Times New Roman" w:hAnsi="GHEA Grapalat" w:cs="Times New Roman"/>
                <w:color w:val="000000"/>
                <w:sz w:val="24"/>
                <w:szCs w:val="24"/>
                <w:lang w:val="hy-AM" w:eastAsia="ru-RU"/>
              </w:rPr>
              <w:t>Հիմք ընդունելով վերոգրյալները՝ Նախագծին հնարավոր կլինի անդրադառնալ, մեր դիտարկումների հիման վրա լրամշակված տարբերակի առկայության պարագայում:</w:t>
            </w:r>
          </w:p>
        </w:tc>
        <w:tc>
          <w:tcPr>
            <w:tcW w:w="4597" w:type="dxa"/>
            <w:gridSpan w:val="2"/>
            <w:shd w:val="clear" w:color="auto" w:fill="FFFFFF"/>
          </w:tcPr>
          <w:p w:rsidR="00EC6F1C" w:rsidRDefault="00EC6F1C" w:rsidP="00EC6F1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մասնակի</w:t>
            </w:r>
          </w:p>
          <w:p w:rsidR="00EC6F1C" w:rsidRPr="00EC6F1C" w:rsidRDefault="00EC6F1C" w:rsidP="00EC6F1C">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Կատարվել են որոշակի փոփոխություններ, հաշվարկների հիմնավորումները ներկայացվել են ՀՀ ֆինանսների նախարարությանը ՀՏԶՀ–ի կողմից աշխատանքային կարգով։ Արդյունքում, հատկացվող գումարը նվազեցվել է 21,129․5 հազար դրամով։</w:t>
            </w:r>
            <w:bookmarkStart w:id="0" w:name="_GoBack"/>
            <w:bookmarkEnd w:id="0"/>
          </w:p>
        </w:tc>
      </w:tr>
      <w:tr w:rsidR="004F77E1" w:rsidRPr="00810447" w:rsidTr="004F77E1">
        <w:trPr>
          <w:trHeight w:val="416"/>
          <w:tblCellSpacing w:w="0" w:type="dxa"/>
        </w:trPr>
        <w:tc>
          <w:tcPr>
            <w:tcW w:w="7835" w:type="dxa"/>
            <w:gridSpan w:val="2"/>
            <w:vMerge w:val="restart"/>
            <w:shd w:val="clear" w:color="auto" w:fill="D9D9D9" w:themeFill="background1" w:themeFillShade="D9"/>
          </w:tcPr>
          <w:p w:rsidR="004F77E1" w:rsidRPr="00125234" w:rsidRDefault="0037298A" w:rsidP="00810447">
            <w:pPr>
              <w:pStyle w:val="ListParagraph"/>
              <w:spacing w:after="0"/>
              <w:ind w:left="927" w:right="214"/>
              <w:jc w:val="center"/>
              <w:rPr>
                <w:rFonts w:ascii="GHEA Grapalat" w:eastAsia="Times New Roman" w:hAnsi="GHEA Grapalat" w:cs="Times New Roman"/>
                <w:color w:val="000000"/>
                <w:sz w:val="24"/>
                <w:szCs w:val="24"/>
                <w:lang w:val="hy-AM" w:eastAsia="ru-RU"/>
              </w:rPr>
            </w:pPr>
            <w:r w:rsidRPr="00125234">
              <w:rPr>
                <w:rFonts w:ascii="GHEA Grapalat" w:eastAsia="Times New Roman" w:hAnsi="GHEA Grapalat" w:cs="Times New Roman"/>
                <w:color w:val="000000"/>
                <w:sz w:val="24"/>
                <w:szCs w:val="24"/>
                <w:lang w:val="hy-AM" w:eastAsia="ru-RU"/>
              </w:rPr>
              <w:lastRenderedPageBreak/>
              <w:t>2</w:t>
            </w:r>
            <w:r w:rsidR="004F77E1" w:rsidRPr="00125234">
              <w:rPr>
                <w:rFonts w:ascii="Cambria Math" w:eastAsia="Times New Roman" w:hAnsi="Cambria Math" w:cs="Cambria Math"/>
                <w:color w:val="000000"/>
                <w:sz w:val="24"/>
                <w:szCs w:val="24"/>
                <w:lang w:val="hy-AM" w:eastAsia="ru-RU"/>
              </w:rPr>
              <w:t>․</w:t>
            </w:r>
            <w:r w:rsidR="004F77E1" w:rsidRPr="00125234">
              <w:rPr>
                <w:rFonts w:ascii="GHEA Grapalat" w:eastAsia="Times New Roman" w:hAnsi="GHEA Grapalat" w:cs="Times New Roman"/>
                <w:color w:val="000000"/>
                <w:sz w:val="24"/>
                <w:szCs w:val="24"/>
                <w:lang w:val="hy-AM" w:eastAsia="ru-RU"/>
              </w:rPr>
              <w:t xml:space="preserve"> </w:t>
            </w:r>
            <w:r w:rsidR="00810447">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rsidR="004F77E1" w:rsidRPr="00125234" w:rsidRDefault="00810447" w:rsidP="0012523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10.06</w:t>
            </w:r>
            <w:r w:rsidR="00F21F11" w:rsidRPr="00125234">
              <w:rPr>
                <w:rFonts w:ascii="GHEA Grapalat" w:eastAsia="Times New Roman" w:hAnsi="GHEA Grapalat" w:cs="Times New Roman"/>
                <w:color w:val="000000"/>
                <w:sz w:val="24"/>
                <w:szCs w:val="24"/>
                <w:lang w:val="hy-AM" w:eastAsia="ru-RU"/>
              </w:rPr>
              <w:t>.2024թ</w:t>
            </w:r>
            <w:r w:rsidR="00F21F11" w:rsidRPr="00125234">
              <w:rPr>
                <w:rFonts w:ascii="Cambria Math" w:eastAsia="Times New Roman" w:hAnsi="Cambria Math" w:cs="Cambria Math"/>
                <w:color w:val="000000"/>
                <w:sz w:val="24"/>
                <w:szCs w:val="24"/>
                <w:lang w:val="hy-AM" w:eastAsia="ru-RU"/>
              </w:rPr>
              <w:t>․</w:t>
            </w:r>
          </w:p>
        </w:tc>
      </w:tr>
      <w:tr w:rsidR="004F77E1" w:rsidRPr="00810447" w:rsidTr="004F77E1">
        <w:trPr>
          <w:trHeight w:val="416"/>
          <w:tblCellSpacing w:w="0" w:type="dxa"/>
        </w:trPr>
        <w:tc>
          <w:tcPr>
            <w:tcW w:w="7835" w:type="dxa"/>
            <w:gridSpan w:val="2"/>
            <w:vMerge/>
            <w:shd w:val="clear" w:color="auto" w:fill="D9D9D9" w:themeFill="background1" w:themeFillShade="D9"/>
          </w:tcPr>
          <w:p w:rsidR="004F77E1" w:rsidRPr="00125234" w:rsidRDefault="004F77E1" w:rsidP="00B8724E">
            <w:pPr>
              <w:spacing w:after="0"/>
              <w:ind w:left="175"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rsidR="004F77E1" w:rsidRPr="00125234" w:rsidRDefault="00F21F11" w:rsidP="00B8724E">
            <w:pPr>
              <w:spacing w:after="0"/>
              <w:ind w:left="132" w:right="214"/>
              <w:contextualSpacing/>
              <w:jc w:val="center"/>
              <w:rPr>
                <w:rFonts w:ascii="GHEA Grapalat" w:eastAsia="Times New Roman" w:hAnsi="GHEA Grapalat" w:cs="Times New Roman"/>
                <w:color w:val="000000"/>
                <w:sz w:val="24"/>
                <w:szCs w:val="24"/>
                <w:lang w:val="hy-AM" w:eastAsia="ru-RU"/>
              </w:rPr>
            </w:pPr>
            <w:r w:rsidRPr="00125234">
              <w:rPr>
                <w:rFonts w:ascii="GHEA Grapalat" w:eastAsia="Times New Roman" w:hAnsi="GHEA Grapalat" w:cs="Times New Roman"/>
                <w:color w:val="000000"/>
                <w:sz w:val="24"/>
                <w:szCs w:val="24"/>
                <w:lang w:val="hy-AM" w:eastAsia="ru-RU"/>
              </w:rPr>
              <w:t xml:space="preserve">N </w:t>
            </w:r>
            <w:r w:rsidR="00810447" w:rsidRPr="00810447">
              <w:rPr>
                <w:rFonts w:ascii="GHEA Grapalat" w:eastAsia="Times New Roman" w:hAnsi="GHEA Grapalat" w:cs="Times New Roman"/>
                <w:color w:val="000000"/>
                <w:sz w:val="24"/>
                <w:szCs w:val="24"/>
                <w:lang w:val="hy-AM" w:eastAsia="ru-RU"/>
              </w:rPr>
              <w:t>Ե/01/1709-24</w:t>
            </w:r>
          </w:p>
        </w:tc>
      </w:tr>
      <w:tr w:rsidR="00125234" w:rsidRPr="00810447" w:rsidTr="00F21F11">
        <w:trPr>
          <w:trHeight w:val="416"/>
          <w:tblCellSpacing w:w="0" w:type="dxa"/>
        </w:trPr>
        <w:tc>
          <w:tcPr>
            <w:tcW w:w="6305" w:type="dxa"/>
            <w:shd w:val="clear" w:color="auto" w:fill="FFFFFF"/>
          </w:tcPr>
          <w:p w:rsidR="00125234" w:rsidRPr="00125234" w:rsidRDefault="00810447" w:rsidP="00125234">
            <w:pPr>
              <w:spacing w:after="0"/>
              <w:ind w:left="132" w:right="214"/>
              <w:contextualSpacing/>
              <w:jc w:val="both"/>
              <w:rPr>
                <w:rFonts w:ascii="GHEA Grapalat" w:eastAsia="Times New Roman" w:hAnsi="GHEA Grapalat" w:cs="Times New Roman"/>
                <w:color w:val="000000"/>
                <w:sz w:val="24"/>
                <w:szCs w:val="24"/>
                <w:lang w:val="hy-AM" w:eastAsia="ru-RU"/>
              </w:rPr>
            </w:pPr>
            <w:r w:rsidRPr="00810447">
              <w:rPr>
                <w:rFonts w:ascii="GHEA Grapalat" w:eastAsia="Times New Roman" w:hAnsi="GHEA Grapalat" w:cs="Times New Roman"/>
                <w:color w:val="000000"/>
                <w:sz w:val="24"/>
                <w:szCs w:val="24"/>
                <w:lang w:val="hy-AM" w:eastAsia="ru-RU"/>
              </w:rPr>
              <w:t>«Հայաստանի Հանրապետության 2024 թվականի պետական բյուջեի մասին» օրենքում վերաբաշխում, փոփոխություններ և լրացում, Հայաստանի Հանրապետության կառավարության 2023 թվականի դեկտեմբերի 28-ի N 2323-Ն որոշման մեջ  փոփոխություններ և լրացումներ կատարելու մասին» Հայաստանի Հանրապետության կառավարության որոշման նախագծի վերաբերյալ առարկություններ և առաջարկություններ չունենք։</w:t>
            </w:r>
          </w:p>
        </w:tc>
        <w:tc>
          <w:tcPr>
            <w:tcW w:w="4597" w:type="dxa"/>
            <w:gridSpan w:val="2"/>
            <w:shd w:val="clear" w:color="auto" w:fill="FFFFFF"/>
          </w:tcPr>
          <w:p w:rsidR="0022446A" w:rsidRPr="00810447" w:rsidRDefault="00810447" w:rsidP="00810447">
            <w:pPr>
              <w:spacing w:after="0"/>
              <w:ind w:left="132" w:right="214"/>
              <w:contextualSpacing/>
              <w:jc w:val="center"/>
              <w:rPr>
                <w:rFonts w:ascii="GHEA Grapalat" w:eastAsia="Times New Roman" w:hAnsi="GHEA Grapalat" w:cs="Times New Roman"/>
                <w:b/>
                <w:i/>
                <w:color w:val="000000"/>
                <w:sz w:val="24"/>
                <w:szCs w:val="24"/>
                <w:lang w:val="hy-AM" w:eastAsia="ru-RU"/>
              </w:rPr>
            </w:pPr>
            <w:r w:rsidRPr="00810447">
              <w:rPr>
                <w:rFonts w:ascii="GHEA Grapalat" w:eastAsia="Times New Roman" w:hAnsi="GHEA Grapalat" w:cs="Times New Roman"/>
                <w:b/>
                <w:i/>
                <w:color w:val="000000"/>
                <w:sz w:val="24"/>
                <w:szCs w:val="24"/>
                <w:lang w:val="hy-AM" w:eastAsia="ru-RU"/>
              </w:rPr>
              <w:t>Ընդունվել է ի գիտություն</w:t>
            </w:r>
          </w:p>
        </w:tc>
      </w:tr>
    </w:tbl>
    <w:p w:rsidR="004F77E1" w:rsidRPr="00125234" w:rsidRDefault="004F77E1">
      <w:pPr>
        <w:rPr>
          <w:lang w:val="hy-AM"/>
        </w:rPr>
      </w:pPr>
    </w:p>
    <w:sectPr w:rsidR="004F77E1" w:rsidRPr="00125234"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A35" w:rsidRDefault="00587A35" w:rsidP="009F26EA">
      <w:pPr>
        <w:spacing w:after="0" w:line="240" w:lineRule="auto"/>
      </w:pPr>
      <w:r>
        <w:separator/>
      </w:r>
    </w:p>
  </w:endnote>
  <w:endnote w:type="continuationSeparator" w:id="0">
    <w:p w:rsidR="00587A35" w:rsidRDefault="00587A35"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A35" w:rsidRDefault="00587A35" w:rsidP="009F26EA">
      <w:pPr>
        <w:spacing w:after="0" w:line="240" w:lineRule="auto"/>
      </w:pPr>
      <w:r>
        <w:separator/>
      </w:r>
    </w:p>
  </w:footnote>
  <w:footnote w:type="continuationSeparator" w:id="0">
    <w:p w:rsidR="00587A35" w:rsidRDefault="00587A35"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3E12898"/>
    <w:multiLevelType w:val="hybridMultilevel"/>
    <w:tmpl w:val="30300B58"/>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5"/>
  </w:num>
  <w:num w:numId="4">
    <w:abstractNumId w:val="13"/>
  </w:num>
  <w:num w:numId="5">
    <w:abstractNumId w:val="14"/>
  </w:num>
  <w:num w:numId="6">
    <w:abstractNumId w:val="3"/>
  </w:num>
  <w:num w:numId="7">
    <w:abstractNumId w:val="12"/>
  </w:num>
  <w:num w:numId="8">
    <w:abstractNumId w:val="11"/>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7006"/>
    <w:rsid w:val="00043135"/>
    <w:rsid w:val="00051CAB"/>
    <w:rsid w:val="00053347"/>
    <w:rsid w:val="00056F54"/>
    <w:rsid w:val="000610E2"/>
    <w:rsid w:val="000645D6"/>
    <w:rsid w:val="00071F76"/>
    <w:rsid w:val="00072453"/>
    <w:rsid w:val="00085076"/>
    <w:rsid w:val="0008793D"/>
    <w:rsid w:val="00091A12"/>
    <w:rsid w:val="00091A79"/>
    <w:rsid w:val="000A0E77"/>
    <w:rsid w:val="000A43DC"/>
    <w:rsid w:val="000A50D9"/>
    <w:rsid w:val="000C0223"/>
    <w:rsid w:val="000C2447"/>
    <w:rsid w:val="000C283E"/>
    <w:rsid w:val="000D270C"/>
    <w:rsid w:val="000D7E42"/>
    <w:rsid w:val="000F1D1F"/>
    <w:rsid w:val="00102B3D"/>
    <w:rsid w:val="00103D63"/>
    <w:rsid w:val="001052D7"/>
    <w:rsid w:val="00111320"/>
    <w:rsid w:val="00112C2F"/>
    <w:rsid w:val="001149B7"/>
    <w:rsid w:val="00115052"/>
    <w:rsid w:val="001163C2"/>
    <w:rsid w:val="00116B68"/>
    <w:rsid w:val="001208DA"/>
    <w:rsid w:val="00125234"/>
    <w:rsid w:val="00131CBF"/>
    <w:rsid w:val="001374E5"/>
    <w:rsid w:val="0016316B"/>
    <w:rsid w:val="001675D6"/>
    <w:rsid w:val="00170F0C"/>
    <w:rsid w:val="00194CC5"/>
    <w:rsid w:val="001972C7"/>
    <w:rsid w:val="001A0870"/>
    <w:rsid w:val="001A471F"/>
    <w:rsid w:val="001B1C2E"/>
    <w:rsid w:val="001B36F8"/>
    <w:rsid w:val="001C7342"/>
    <w:rsid w:val="001D0752"/>
    <w:rsid w:val="001E0D02"/>
    <w:rsid w:val="001E256A"/>
    <w:rsid w:val="001F4D1D"/>
    <w:rsid w:val="00201E73"/>
    <w:rsid w:val="002022F9"/>
    <w:rsid w:val="00202481"/>
    <w:rsid w:val="00205CF6"/>
    <w:rsid w:val="0021092A"/>
    <w:rsid w:val="00213282"/>
    <w:rsid w:val="00224034"/>
    <w:rsid w:val="0022446A"/>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39C2"/>
    <w:rsid w:val="002D4165"/>
    <w:rsid w:val="002D5E81"/>
    <w:rsid w:val="002E1BD6"/>
    <w:rsid w:val="002E7D7D"/>
    <w:rsid w:val="002F4EF6"/>
    <w:rsid w:val="00300D77"/>
    <w:rsid w:val="00300FD9"/>
    <w:rsid w:val="00305199"/>
    <w:rsid w:val="003131E8"/>
    <w:rsid w:val="00321B8F"/>
    <w:rsid w:val="00322D19"/>
    <w:rsid w:val="0032365F"/>
    <w:rsid w:val="00325496"/>
    <w:rsid w:val="00330648"/>
    <w:rsid w:val="00341415"/>
    <w:rsid w:val="0034622C"/>
    <w:rsid w:val="003472BE"/>
    <w:rsid w:val="00350CB5"/>
    <w:rsid w:val="00352BDD"/>
    <w:rsid w:val="00354039"/>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7625"/>
    <w:rsid w:val="00404C83"/>
    <w:rsid w:val="00420338"/>
    <w:rsid w:val="00422CC8"/>
    <w:rsid w:val="00437ED2"/>
    <w:rsid w:val="0045226C"/>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20550"/>
    <w:rsid w:val="00522C9D"/>
    <w:rsid w:val="00532780"/>
    <w:rsid w:val="00533298"/>
    <w:rsid w:val="005332CC"/>
    <w:rsid w:val="00537EA7"/>
    <w:rsid w:val="0055469D"/>
    <w:rsid w:val="00561430"/>
    <w:rsid w:val="00574E58"/>
    <w:rsid w:val="00583C88"/>
    <w:rsid w:val="00587A35"/>
    <w:rsid w:val="00591C88"/>
    <w:rsid w:val="00592CC9"/>
    <w:rsid w:val="005A135D"/>
    <w:rsid w:val="005A1C94"/>
    <w:rsid w:val="005C0260"/>
    <w:rsid w:val="005D01DC"/>
    <w:rsid w:val="005F68D9"/>
    <w:rsid w:val="006003AC"/>
    <w:rsid w:val="006119A5"/>
    <w:rsid w:val="0062482A"/>
    <w:rsid w:val="006260F0"/>
    <w:rsid w:val="00641C49"/>
    <w:rsid w:val="00643F8E"/>
    <w:rsid w:val="00645BAB"/>
    <w:rsid w:val="00651CC0"/>
    <w:rsid w:val="00660FF1"/>
    <w:rsid w:val="006672DE"/>
    <w:rsid w:val="0067130D"/>
    <w:rsid w:val="00674C40"/>
    <w:rsid w:val="00676705"/>
    <w:rsid w:val="00682199"/>
    <w:rsid w:val="00682B1F"/>
    <w:rsid w:val="006931E0"/>
    <w:rsid w:val="00695E5E"/>
    <w:rsid w:val="00696ADF"/>
    <w:rsid w:val="006B2D0B"/>
    <w:rsid w:val="006B4B9D"/>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10447"/>
    <w:rsid w:val="008272C5"/>
    <w:rsid w:val="00832F19"/>
    <w:rsid w:val="00833CC9"/>
    <w:rsid w:val="00850AF0"/>
    <w:rsid w:val="008518F2"/>
    <w:rsid w:val="008539AA"/>
    <w:rsid w:val="00861968"/>
    <w:rsid w:val="00862B3E"/>
    <w:rsid w:val="008632BE"/>
    <w:rsid w:val="00864567"/>
    <w:rsid w:val="00867B88"/>
    <w:rsid w:val="00873135"/>
    <w:rsid w:val="00874B02"/>
    <w:rsid w:val="00891097"/>
    <w:rsid w:val="00893A22"/>
    <w:rsid w:val="0089798F"/>
    <w:rsid w:val="008A41BB"/>
    <w:rsid w:val="008A68A2"/>
    <w:rsid w:val="008A7755"/>
    <w:rsid w:val="008B7455"/>
    <w:rsid w:val="008C393B"/>
    <w:rsid w:val="008D7F19"/>
    <w:rsid w:val="008E3367"/>
    <w:rsid w:val="008F295F"/>
    <w:rsid w:val="00920CF9"/>
    <w:rsid w:val="00924509"/>
    <w:rsid w:val="00927F11"/>
    <w:rsid w:val="00944B38"/>
    <w:rsid w:val="0094652E"/>
    <w:rsid w:val="00947733"/>
    <w:rsid w:val="009646B5"/>
    <w:rsid w:val="0096588D"/>
    <w:rsid w:val="00980ADA"/>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A153E0"/>
    <w:rsid w:val="00A24E26"/>
    <w:rsid w:val="00A27F5C"/>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75B0"/>
    <w:rsid w:val="00C43260"/>
    <w:rsid w:val="00C70BFF"/>
    <w:rsid w:val="00C80A4A"/>
    <w:rsid w:val="00C81BB7"/>
    <w:rsid w:val="00C82E20"/>
    <w:rsid w:val="00C96C49"/>
    <w:rsid w:val="00C97D41"/>
    <w:rsid w:val="00CB35BE"/>
    <w:rsid w:val="00CB4574"/>
    <w:rsid w:val="00CC7FF0"/>
    <w:rsid w:val="00CD27BD"/>
    <w:rsid w:val="00CD487A"/>
    <w:rsid w:val="00CD7ADA"/>
    <w:rsid w:val="00CE1404"/>
    <w:rsid w:val="00CE2937"/>
    <w:rsid w:val="00CE4147"/>
    <w:rsid w:val="00CE42BF"/>
    <w:rsid w:val="00CE5E37"/>
    <w:rsid w:val="00D02CAC"/>
    <w:rsid w:val="00D12629"/>
    <w:rsid w:val="00D145F6"/>
    <w:rsid w:val="00D22B01"/>
    <w:rsid w:val="00D25936"/>
    <w:rsid w:val="00D277D9"/>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5E79"/>
    <w:rsid w:val="00E179A6"/>
    <w:rsid w:val="00E20EDC"/>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F5A"/>
    <w:rsid w:val="00E92F8C"/>
    <w:rsid w:val="00EA5A45"/>
    <w:rsid w:val="00EA62F1"/>
    <w:rsid w:val="00EB0E32"/>
    <w:rsid w:val="00EB6B38"/>
    <w:rsid w:val="00EC25D1"/>
    <w:rsid w:val="00EC3272"/>
    <w:rsid w:val="00EC6F1C"/>
    <w:rsid w:val="00ED2E2E"/>
    <w:rsid w:val="00EE304A"/>
    <w:rsid w:val="00EF5042"/>
    <w:rsid w:val="00F024FD"/>
    <w:rsid w:val="00F045D4"/>
    <w:rsid w:val="00F076C6"/>
    <w:rsid w:val="00F159AC"/>
    <w:rsid w:val="00F21F11"/>
    <w:rsid w:val="00F3465A"/>
    <w:rsid w:val="00F36ED5"/>
    <w:rsid w:val="00F425CB"/>
    <w:rsid w:val="00F52020"/>
    <w:rsid w:val="00F56CC5"/>
    <w:rsid w:val="00F6074C"/>
    <w:rsid w:val="00F6667F"/>
    <w:rsid w:val="00F75DD5"/>
    <w:rsid w:val="00F945F1"/>
    <w:rsid w:val="00F954EC"/>
    <w:rsid w:val="00F96479"/>
    <w:rsid w:val="00FA260A"/>
    <w:rsid w:val="00FB1372"/>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9BAD92-47CE-417E-9612-752B4BE3E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5</Pages>
  <Words>947</Words>
  <Characters>5401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216</cp:revision>
  <cp:lastPrinted>2022-04-22T07:01:00Z</cp:lastPrinted>
  <dcterms:created xsi:type="dcterms:W3CDTF">2021-03-05T10:37:00Z</dcterms:created>
  <dcterms:modified xsi:type="dcterms:W3CDTF">2024-06-25T11:05:00Z</dcterms:modified>
  <cp:keywords>https://mul2.gov.am/tasks/995814/oneclick/ampopatert.docx?token=9b5b5388a1f93bbec2522353586baff9</cp:keywords>
</cp:coreProperties>
</file>