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ՀՈՒՆԻՍԻ</w:t>
      </w:r>
      <w:r>
        <w:rPr>
          <w:rStyle w:val="Strong"/>
          <w:rFonts w:ascii="GHEA Grapalat" w:hAnsi="GHEA Grapalat"/>
          <w:color w:val="000000"/>
          <w:lang w:val="hy-AM"/>
        </w:rPr>
        <w:t xml:space="preserve"> 9-</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842-Լ</w:t>
      </w:r>
      <w:r>
        <w:rPr>
          <w:rStyle w:val="Strong"/>
          <w:rFonts w:ascii="GHEA Grapalat" w:hAnsi="GHEA Grapalat" w:cs="Calibri"/>
          <w:color w:val="000000"/>
          <w:lang w:val="hy-AM"/>
        </w:rPr>
        <w:t xml:space="preserve"> ԵՎ </w:t>
      </w: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shd w:val="clear" w:color="auto" w:fill="FFFFFF"/>
          <w:lang w:val="hy-AM"/>
        </w:rPr>
        <w:t xml:space="preserve"> ՀՈԿՏԵՄԲԵՐԻ 6-Ի </w:t>
      </w:r>
      <w:r>
        <w:rPr>
          <w:rStyle w:val="Strong"/>
          <w:rFonts w:ascii="GHEA Grapalat" w:hAnsi="GHEA Grapalat" w:cs="GHEA Grapalat"/>
          <w:color w:val="000000"/>
          <w:lang w:val="hy-AM"/>
        </w:rPr>
        <w:t>N</w:t>
      </w:r>
      <w:r>
        <w:rPr>
          <w:rStyle w:val="Strong"/>
          <w:rFonts w:ascii="GHEA Grapalat" w:hAnsi="GHEA Grapalat"/>
          <w:shd w:val="clear" w:color="auto" w:fill="FFFFFF"/>
          <w:lang w:val="hy-AM"/>
        </w:rPr>
        <w:t xml:space="preserve"> 1562-Լ ՈՐՈՇՈՒՄՆԵՐՈՒՄ</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ՓՈՓՈԽՈՒԹՅՈՒՆՆԵՐ</w:t>
      </w:r>
      <w:r>
        <w:rPr>
          <w:rStyle w:val="Strong"/>
          <w:rFonts w:ascii="GHEA Grapalat" w:hAnsi="GHEA Grapalat" w:cs="Calibri"/>
          <w:color w:val="000000"/>
          <w:lang w:val="hy-AM"/>
        </w:rPr>
        <w:t xml:space="preserve"> ԵՎ ԼՐԱՑՈՒՄՆԵՐ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720"/>
        <w:gridCol w:w="1710"/>
        <w:gridCol w:w="180"/>
        <w:gridCol w:w="90"/>
        <w:gridCol w:w="90"/>
        <w:gridCol w:w="225"/>
        <w:gridCol w:w="2295"/>
      </w:tblGrid>
      <w:tr>
        <w:trPr>
          <w:trHeight w:val="260"/>
        </w:trPr>
        <w:tc>
          <w:tcPr>
            <w:tcW w:w="11610" w:type="dxa"/>
            <w:gridSpan w:val="3"/>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19.04.2024թ.</w:t>
            </w:r>
          </w:p>
        </w:tc>
      </w:tr>
      <w:tr>
        <w:tc>
          <w:tcPr>
            <w:tcW w:w="11610" w:type="dxa"/>
            <w:gridSpan w:val="3"/>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06.1-07/140-24</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 Հայաստանի Հանրապետության կենտրոնական բանկը «Հայաստանի Հանրապետության կառավարության 2022 թվականի հունիսի 9-ի թիվ 842-Լ և Հայաստանի Հանրապետության կառավարության 2022 թվականի  հոկտեմբերի 6-ի թիվ 1562-Լ որոշումներում փոփոխություններ և լրացումներ կատարելու մասին» Հայաստանի Հանրապետության կառավարության որոշման նախագծի (այսուհետ՝ Նախագիծ) վերաբերյալ դիտողություններ և առաջարկություններ չունի։</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rPr>
              <w:t xml:space="preserve"> </w:t>
            </w:r>
            <w:r>
              <w:rPr>
                <w:rFonts w:ascii="GHEA Grapalat" w:hAnsi="GHEA Grapalat"/>
                <w:b/>
                <w:color w:val="000000"/>
                <w:sz w:val="24"/>
                <w:szCs w:val="24"/>
                <w:shd w:val="clear" w:color="auto" w:fill="FFFFFF"/>
                <w:lang w:val="hy-AM"/>
              </w:rPr>
              <w:t>ի գիտություն</w:t>
            </w:r>
          </w:p>
          <w:p>
            <w:pPr>
              <w:ind w:firstLine="166"/>
              <w:jc w:val="center"/>
              <w:rPr>
                <w:rFonts w:ascii="GHEA Grapalat" w:hAnsi="GHEA Grapalat"/>
                <w:b/>
                <w:color w:val="000000"/>
                <w:sz w:val="24"/>
                <w:szCs w:val="24"/>
                <w:shd w:val="clear" w:color="auto" w:fill="FFFFFF"/>
                <w:lang w:val="hy-AM"/>
              </w:rPr>
            </w:pP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Միաժամանակ հայտնում ենք, որ Նախագիծը Հայաստանի Հանրապետության կենտրոնական բանկի կողմից ներկայացվել է Հայաստանի բանկերի միության կարծիքին և առդիր ներկայացնում ենք նաև միության դիտարկումները։ </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2.1. Նախագծի 1-ին կետի 3-րդ պարբերության 12.3 կետով նախատեսվում է սահմանել, որ կառուցապատումը շարունակելու նպատակով հիփոթեքային վարկերը կարող են տրամադրվել, եթե կիսակառույց շինության նկատմամբ իրավունքի պետական գրանցման վկայականի «Լրացուցիչ նշումներ և տեղեկություններ» բաժնում գույքի ավարտվածության աստիճանը մինչև 80 տոկոս է կամ նշված է անավարտ։ Անհրաժեշտ է նկատել, որ կան դեպքեր, երբ գույքի նկարագրության դաշտում կամ վկայականի «Լրացուցիչ նշումներ և տեղեկություններ» բաժնում նշված է «կիսակառույց»։ Ենթադրվում է որ այս դեպքը ևս դիտարկելի է, և այս առնչությամբ առաջարկում ենք որոշման մեջ «կիսակառույց» արտահայտությունը ևս ներառել։</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2.2. ՀՀ կառավարության 2022թ-ի 842-Լ գործող որոշման 16-րդ կետով սահմանված է, որ հիփոթեքային վարկի գործողության ընթացքում գույքն </w:t>
            </w:r>
            <w:bookmarkStart w:id="0" w:name="_Hlk164090710"/>
            <w:r>
              <w:rPr>
                <w:rFonts w:ascii="GHEA Grapalat" w:hAnsi="GHEA Grapalat"/>
                <w:color w:val="000000"/>
                <w:sz w:val="24"/>
                <w:szCs w:val="24"/>
                <w:shd w:val="clear" w:color="auto" w:fill="FFFFFF"/>
                <w:lang w:val="hy-AM"/>
              </w:rPr>
              <w:t xml:space="preserve">օտարելու դեպքում </w:t>
            </w:r>
            <w:bookmarkEnd w:id="0"/>
            <w:r>
              <w:rPr>
                <w:rFonts w:ascii="GHEA Grapalat" w:hAnsi="GHEA Grapalat"/>
                <w:color w:val="000000"/>
                <w:sz w:val="24"/>
                <w:szCs w:val="24"/>
                <w:shd w:val="clear" w:color="auto" w:fill="FFFFFF"/>
                <w:lang w:val="hy-AM"/>
              </w:rPr>
              <w:t xml:space="preserve">պետական աջակցության գումարը ենթակա է վերադարձման պետությանը' </w:t>
            </w:r>
            <w:r>
              <w:rPr>
                <w:rFonts w:ascii="GHEA Grapalat" w:hAnsi="GHEA Grapalat"/>
                <w:color w:val="000000"/>
                <w:sz w:val="24"/>
                <w:szCs w:val="24"/>
                <w:shd w:val="clear" w:color="auto" w:fill="FFFFFF"/>
                <w:lang w:val="hy-AM"/>
              </w:rPr>
              <w:lastRenderedPageBreak/>
              <w:t>փոխհամաձայնեցված եղանակով կամ դատական կարգով։ Առաջարկում ենք կետի տարընթերցումներից խուսափելու նպատակով սահմանել, որ «Հիփոթեքային վարկի գործողության ընթացքում գույքն օտարելու դեպքում պետական աջակցության գումարը շահառուի կողմից ենթակա է վերադարձման պետությանը' փոխհամաձայնեցված եղանակով կամ դատական կարգով»։</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tc>
          <w:tcPr>
            <w:tcW w:w="11610" w:type="dxa"/>
            <w:gridSpan w:val="3"/>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17.04.2024թ.</w:t>
            </w:r>
          </w:p>
        </w:tc>
      </w:tr>
      <w:tr>
        <w:tc>
          <w:tcPr>
            <w:tcW w:w="11610" w:type="dxa"/>
            <w:gridSpan w:val="3"/>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27.4/14933-2024</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Նախագծի 1-ին կետի 1-ին ենթակետով նախատեսվում է Հայաստանի Հանրապետության կառավարության 2022 թվականի հունիսի 9-ի «Հայաստանի Հանրապետության սահմանամերձ բնակավայրերում ընտանիքների բնակարանային մատչելիության ապահովման պետական աջակցության 2022-2025 թվականների ծրագիրը հաստատելու մասին» N 842-Լ որոշման (այսուհետ՝ Որոշում) հավելվածի 3-րդ կետի 1-ին ենթակետից, 5-րդ և 7-րդ կետերից հանել «գյուղական» բառը, մինչդեռ վերջինս անհրաժեշտ է հանել նաև հավելվածի 2-րդ կետից: </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pPr>
              <w:rPr>
                <w:rFonts w:ascii="GHEA Grapalat" w:hAnsi="GHEA Grapalat"/>
                <w:b/>
                <w:color w:val="000000"/>
                <w:sz w:val="24"/>
                <w:szCs w:val="24"/>
                <w:shd w:val="clear" w:color="auto" w:fill="FFFFFF"/>
                <w:lang w:val="hy-AM"/>
              </w:rPr>
            </w:pPr>
            <w:r>
              <w:rPr>
                <w:rFonts w:ascii="GHEA Grapalat" w:hAnsi="GHEA Grapalat"/>
                <w:sz w:val="24"/>
                <w:szCs w:val="24"/>
                <w:lang w:val="hy-AM"/>
              </w:rPr>
              <w:t>06.05.2024 թ</w:t>
            </w:r>
            <w:r>
              <w:rPr>
                <w:rFonts w:ascii="Cambria Math" w:hAnsi="Cambria Math" w:cs="Cambria Math"/>
                <w:sz w:val="24"/>
                <w:szCs w:val="24"/>
                <w:lang w:val="hy-AM"/>
              </w:rPr>
              <w:t>․</w:t>
            </w:r>
            <w:r>
              <w:rPr>
                <w:rFonts w:ascii="GHEA Grapalat" w:hAnsi="GHEA Grapalat"/>
                <w:sz w:val="24"/>
                <w:szCs w:val="24"/>
                <w:lang w:val="hy-AM"/>
              </w:rPr>
              <w:t xml:space="preserve"> կայացած սոցիալական նախարարական կոմիտեի նիստի թիվ ԿԱ/141-2024 արձանագրության 3-րդ կետի 1-ին ենթակետի գ. պարբերության համաձայն՝ նախագծից հանվել են Նոյեմբերյան և Ճամբարակ քաղաքային բնակավայրերին վերաբերելի</w:t>
            </w:r>
            <w:r>
              <w:rPr>
                <w:rFonts w:ascii="GHEA Grapalat" w:hAnsi="GHEA Grapalat"/>
                <w:sz w:val="24"/>
                <w:szCs w:val="24"/>
                <w:lang w:val="hy-AM"/>
              </w:rPr>
              <w:br/>
              <w:t>կարգավորումները։</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Նախագծի 1-ին կետի 2-րդ ենթակետով, 2-րդ կետի 2-րդ և 7-րդ ենթակետերով սահմանվում է, որ ծրագրից կարող է օգտվել առնվազն մեկ անչափահաս երեխա ունեցող միայնակ ծնողը՝ այրին:</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առումով պարզ չէ, թե ինչով է պայմանավորված միայնակ ծնողի պարագայում միայն այրիին որպես ծրագրի շահառու դիտարկելը, և արդյո՞ք սույն ծրագրից չի կարող օգտվել միայնակ ծնողը: </w:t>
            </w:r>
          </w:p>
        </w:tc>
        <w:tc>
          <w:tcPr>
            <w:tcW w:w="4590" w:type="dxa"/>
            <w:gridSpan w:val="6"/>
          </w:tcPr>
          <w:p>
            <w:pPr>
              <w:rPr>
                <w:rFonts w:ascii="GHEA Grapalat" w:hAnsi="GHEA Grapalat"/>
                <w:sz w:val="24"/>
                <w:szCs w:val="24"/>
                <w:lang w:val="hy-AM"/>
              </w:rPr>
            </w:pPr>
            <w:r>
              <w:rPr>
                <w:rFonts w:ascii="GHEA Grapalat" w:hAnsi="GHEA Grapalat"/>
                <w:sz w:val="24"/>
                <w:szCs w:val="24"/>
                <w:lang w:val="hy-AM"/>
              </w:rPr>
              <w:t>Սույն նախագծով նախատեսվում է ընդլայնել շահառուների շրջանակը, հնարավորություն տալով նաև այրիներին, այդ թվում՝ պատերազմում զոհվածների կանանց, ովքեր ունեն անչափահաս երեխա/ներ, օգտվել ծրագրից։ Ծրագրի հետագա բարեփոխումների շրջանակում հաշվի կառնվի առաջարկը՝ համապատասխան ֆինանսական միջոցների պլանավորմամբ։</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Նախագծի 1-ին կետի 3-րդ ենթակետով նախատեսվում է 12.1-ին կետից հետո լրացնել հետևյալ բովանդակությամբ նոր՝ 12.3-րդ կետ, համաձայն որի՝ </w:t>
            </w:r>
            <w:r>
              <w:rPr>
                <w:rFonts w:ascii="GHEA Grapalat" w:hAnsi="GHEA Grapalat"/>
                <w:color w:val="000000"/>
                <w:sz w:val="24"/>
                <w:szCs w:val="24"/>
                <w:shd w:val="clear" w:color="auto" w:fill="FFFFFF"/>
                <w:lang w:val="hy-AM"/>
              </w:rPr>
              <w:lastRenderedPageBreak/>
              <w:t>«Կառուցապատումը շարունակելու նպատակով հիփոթեքային վարկերը կարող են տրամադրվել, եթե կիսակառույց շինության նկատմամբ իրավունքների պետական գրանցման վկայականի «Լրացուցիչ նշումներ և տեղեկություններ» բաժնում ավարտվածության աստիճանը մինչև 80 տոկոս է կամ նշված է անավարտ։»:</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Մինչդեռ Որոշման 11-րդ կետի համաձայն՝ «Ծրագրի շրջանակներում անհատական բնակելի տուն կառուցելու (կառուցապատումը շարունակելու) նպատակով հիփոթեքային վարկերը կարող են տրամադրվել հաստատուն տոկոսադրույքով կամ լողացող/հաստատուն ճշգրտվող տոկոսադրույքով, ընդ որում, բոլոր դեպքերում աջակցության չափը հիփոթեքային վարկի մայր գումարի ամսական վճարների մարման համար կազմում է հանրագումարային մինչև 16 մլն դրամ, բայց ոչ ավելի, քան ամսական 277 հազ</w:t>
            </w:r>
            <w:r>
              <w:rPr>
                <w:rFonts w:ascii="GHEA Grapalat" w:hAnsi="GHEA Grapalat"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դրամ։ Հիփոթեքային վարկերի տոկոսագումարների մարման համար աջակցության չափը կազմում է՝ 1) հաստատուն տոկոսադրույքով վարկավորման դեպքում՝ մինչև 13%, հանրագումարային մինչև 12</w:t>
            </w:r>
            <w:r>
              <w:rPr>
                <w:rFonts w:ascii="GHEA Grapalat" w:hAnsi="GHEA Grapalat"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668 մլն դրամ, բայց ոչ ավելի, քան ամսական 203 հազ</w:t>
            </w:r>
            <w:r>
              <w:rPr>
                <w:rFonts w:ascii="GHEA Grapalat" w:hAnsi="GHEA Grapalat"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դրամ., 2) լողացող/հաստատուն ճշգրտվող տոկոսադրույքով վարկավորման դեպքում՝ Կենտրոնական բանկի վերաֆինանսավորման տոկոսադրույք +3,25% չափով՝ վարկի տրամադրման պահին, հանրագումարային մինչև 16.8 մլն դրամ, բայց ոչ ավելի, քան ամսական 310 հազ</w:t>
            </w:r>
            <w:r>
              <w:rPr>
                <w:rFonts w:ascii="GHEA Grapalat" w:hAnsi="GHEA Grapalat"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դրամ։ Այս դեպքում վարկավորման տոկոսադրույքը վարկի տրամադրման պահին հաջորդող 36 ամիսների ընթացքում մնում է անփոփոխ, իսկ 37-րդ ամսից սկսած այն վերափոխվում է լողացող տոկոսադրույքի՝ փոփոխվելով Կենտրոնական բանկի վերաֆինանսավորման տոկոսադրույքի +/- 1%-ից ավելի փոփոխության դեպքում (վարկային պայմանագրի համաձայն՝ տվյալ պահին գործող վարկի տոկոսադրույքի հիմքում դրված Կենտրոնական բանկի վերաֆինանսավորման տոկոսադրույքի նկատմամբ)։ Լողացող տոկոսադրույքի փոփոխությունը կարող է իրականացվել տարեկան 2 անգամ՝ ապրիլ և հոկտեմբեր ամիսներին։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տոկոսային կետով։ Հիփոթեքային վարկավորման դեպքում աջակցության չափը տոկոսագումարների մարման համար հաշվարկվում է 10 տարվա հաշվարկով </w:t>
            </w:r>
            <w:r>
              <w:rPr>
                <w:rFonts w:ascii="GHEA Grapalat" w:hAnsi="GHEA Grapalat"/>
                <w:color w:val="000000"/>
                <w:sz w:val="24"/>
                <w:szCs w:val="24"/>
                <w:shd w:val="clear" w:color="auto" w:fill="FFFFFF"/>
                <w:lang w:val="hy-AM"/>
              </w:rPr>
              <w:lastRenderedPageBreak/>
              <w:t>ամսական անուիտետային մարման եղանակով հաշվարկված ամսական վճարման գումարներին համապատասխան։»:</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Արդյունքում ստացվում է, որ նոր լրացվող 12.3-րդ կետի և Որոշման գործող կարգավորման միջև առկա է հակասություն, ուստի՝ Նախագծի 1-ին կետի 3-րդ ենթակետով լրացվող 12.3-րդ կետը անհրաժեշտ է վերանայել և համապատասխանեցնել գործող կարգավորման պահանջներին: </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Չի ընդունվել   </w:t>
            </w:r>
          </w:p>
          <w:p>
            <w:pPr>
              <w:rPr>
                <w:rFonts w:ascii="GHEA Grapalat" w:hAnsi="GHEA Grapalat"/>
                <w:sz w:val="24"/>
                <w:szCs w:val="24"/>
                <w:lang w:val="hy-AM"/>
              </w:rPr>
            </w:pPr>
            <w:r>
              <w:rPr>
                <w:rFonts w:ascii="GHEA Grapalat" w:hAnsi="GHEA Grapalat"/>
                <w:sz w:val="24"/>
                <w:szCs w:val="24"/>
                <w:lang w:val="hy-AM"/>
              </w:rPr>
              <w:lastRenderedPageBreak/>
              <w:t>Նախագծի 1-ին կետի 3-րդ ենթակետով (լրամշակված տարբերակում 1-ին կետի 4-րդ ենթակետ) առաջարկվող լրացմամբ նախատեսվում է հստակեցնել, թե որ շինություններն են համարվում կիսակառույց և ենթակա վարկավորման կառուցապատումը շարունակելու նպատակով, իսկ առաջարկվող սահմանումը վերաբերվում է շինության սեփականության վկայականում առկա նշմանը։</w:t>
            </w:r>
          </w:p>
          <w:p>
            <w:pPr>
              <w:rPr>
                <w:rFonts w:ascii="GHEA Grapalat" w:hAnsi="GHEA Grapalat"/>
                <w:sz w:val="24"/>
                <w:szCs w:val="24"/>
                <w:lang w:val="hy-AM"/>
              </w:rPr>
            </w:pPr>
            <w:r>
              <w:rPr>
                <w:rFonts w:ascii="GHEA Grapalat" w:hAnsi="GHEA Grapalat"/>
                <w:sz w:val="24"/>
                <w:szCs w:val="24"/>
                <w:lang w:val="hy-AM"/>
              </w:rPr>
              <w:t>Մինչդեռ Որոշման 11-րդ կետով սահմանված են հիփոթեքային վարկի տոկոսադրույքի նկատմամբ կիրառվող սահմանաչափերը։</w:t>
            </w:r>
          </w:p>
          <w:p>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Ըստ այդմ, վերոնշյալ երկու կարգավորումների միջև չի կարող լինել հակասություն։ </w:t>
            </w:r>
          </w:p>
          <w:p>
            <w:pPr>
              <w:ind w:firstLine="166"/>
              <w:jc w:val="center"/>
              <w:rPr>
                <w:rFonts w:ascii="GHEA Grapalat" w:hAnsi="GHEA Grapalat"/>
                <w:b/>
                <w:color w:val="000000"/>
                <w:sz w:val="24"/>
                <w:szCs w:val="24"/>
                <w:shd w:val="clear" w:color="auto" w:fill="FFFFFF"/>
                <w:lang w:val="hy-AM"/>
              </w:rPr>
            </w:pPr>
          </w:p>
        </w:tc>
      </w:tr>
      <w:tr>
        <w:tc>
          <w:tcPr>
            <w:tcW w:w="11430" w:type="dxa"/>
            <w:gridSpan w:val="2"/>
            <w:vMerge w:val="restart"/>
            <w:shd w:val="clear" w:color="auto" w:fill="D0CECE" w:themeFill="background2" w:themeFillShade="E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Pr>
                <w:rFonts w:ascii="GHEA Grapalat" w:hAnsi="GHEA Grapalat"/>
                <w:b/>
                <w:color w:val="000000"/>
                <w:sz w:val="24"/>
                <w:szCs w:val="24"/>
                <w:highlight w:val="lightGray"/>
                <w:shd w:val="clear" w:color="auto" w:fill="FFFFFF"/>
              </w:rPr>
              <w:t>. ՀՀ կադաստրի կոմիտե</w:t>
            </w:r>
          </w:p>
        </w:tc>
        <w:tc>
          <w:tcPr>
            <w:tcW w:w="2880" w:type="dxa"/>
            <w:gridSpan w:val="5"/>
            <w:shd w:val="clear" w:color="auto" w:fill="D0CECE" w:themeFill="background2" w:themeFillShade="E6"/>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08.04.2024թ.</w:t>
            </w:r>
          </w:p>
        </w:tc>
      </w:tr>
      <w:tr>
        <w:tc>
          <w:tcPr>
            <w:tcW w:w="11430" w:type="dxa"/>
            <w:gridSpan w:val="2"/>
            <w:vMerge/>
            <w:shd w:val="clear" w:color="auto" w:fill="D0CECE" w:themeFill="background2" w:themeFillShade="E6"/>
          </w:tcPr>
          <w:p>
            <w:pPr>
              <w:ind w:firstLine="166"/>
              <w:jc w:val="center"/>
              <w:rPr>
                <w:rFonts w:ascii="GHEA Grapalat" w:hAnsi="GHEA Grapalat"/>
                <w:b/>
                <w:color w:val="000000"/>
                <w:sz w:val="24"/>
                <w:szCs w:val="24"/>
                <w:shd w:val="clear" w:color="auto" w:fill="FFFFFF"/>
                <w:lang w:val="hy-AM"/>
              </w:rPr>
            </w:pPr>
          </w:p>
        </w:tc>
        <w:tc>
          <w:tcPr>
            <w:tcW w:w="2880" w:type="dxa"/>
            <w:gridSpan w:val="5"/>
            <w:shd w:val="clear" w:color="auto" w:fill="D0CECE" w:themeFill="background2" w:themeFillShade="E6"/>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ՍԹ/6103-2024</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ՀՀ կառավարության որոշման նախագծի վերաբերյալ առաջարկություններ չունենք:</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tc>
          <w:tcPr>
            <w:tcW w:w="11610" w:type="dxa"/>
            <w:gridSpan w:val="3"/>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4</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նախարարություն</w:t>
            </w: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22.04.2024 թ.</w:t>
            </w:r>
          </w:p>
        </w:tc>
      </w:tr>
      <w:tr>
        <w:tc>
          <w:tcPr>
            <w:tcW w:w="11610" w:type="dxa"/>
            <w:gridSpan w:val="3"/>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4"/>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01/34-2/8532-2024</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Ուսումնասիրելով Ձեր 05.04.2024թ. N ՆՄ//11510-2024 գրությամբ ներկայացված՝ «ՀՀ կառավարության 2022 թվականի հունիսի 9-ի N 842-Լ և ՀՀ կառավարության 2022 թվականի հոկտեմբերի 6-ի N 1562-Լ որոշումներում փոփոխություններ և լրացումներ կատարելու մասին» ՀՀ կառավարության որոշման նախագիծը (այսուհետ՝ Նախագիծ)՝ հայտնում ենք հետևյալը.</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09.06.2022թ.-ի N 842-Լ որոշմամբ ՀՀ կառավարությունը հաստատել է Հայաստանի Հանրապետության սահմանամերձ բնակավայրերում ընտանիքների բնակարանային մատչե</w:t>
            </w:r>
            <w:r>
              <w:rPr>
                <w:rFonts w:ascii="GHEA Grapalat" w:hAnsi="GHEA Grapalat"/>
                <w:color w:val="000000"/>
                <w:sz w:val="24"/>
                <w:szCs w:val="24"/>
                <w:shd w:val="clear" w:color="auto" w:fill="FFFFFF"/>
                <w:lang w:val="hy-AM"/>
              </w:rPr>
              <w:softHyphen/>
              <w:t>լիության ապահովման պետական աջակցության 2022-2025 թվականների ծրագիրը (այսուհետ՝ Ծրագիր), որը նպատակ ունի աջակցել ընտանիքների բնակարանային պայման</w:t>
            </w:r>
            <w:r>
              <w:rPr>
                <w:rFonts w:ascii="GHEA Grapalat" w:hAnsi="GHEA Grapalat"/>
                <w:color w:val="000000"/>
                <w:sz w:val="24"/>
                <w:szCs w:val="24"/>
                <w:shd w:val="clear" w:color="auto" w:fill="FFFFFF"/>
                <w:lang w:val="hy-AM"/>
              </w:rPr>
              <w:softHyphen/>
              <w:t>ների բարելավմանը՝ համապատասխան պայմաններ ապահովելով սահմանա</w:t>
            </w:r>
            <w:r>
              <w:rPr>
                <w:rFonts w:ascii="GHEA Grapalat" w:hAnsi="GHEA Grapalat"/>
                <w:color w:val="000000"/>
                <w:sz w:val="24"/>
                <w:szCs w:val="24"/>
                <w:shd w:val="clear" w:color="auto" w:fill="FFFFFF"/>
                <w:lang w:val="hy-AM"/>
              </w:rPr>
              <w:softHyphen/>
              <w:t>մերձ բնակավայրերում ընտանիքների (տնային տնտեսությունների) կայուն զարգացման համար։</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Ներկայացված Նախագծով առաջարկվում է բարելավել Ծրագրի իրականացման պայմանները, ինչպես նաև հստակեցնել որոշ ձևակերպումներ: Ի թիվս մի շարք բարելա</w:t>
            </w:r>
            <w:r>
              <w:rPr>
                <w:rFonts w:ascii="GHEA Grapalat" w:hAnsi="GHEA Grapalat"/>
                <w:color w:val="000000"/>
                <w:sz w:val="24"/>
                <w:szCs w:val="24"/>
                <w:shd w:val="clear" w:color="auto" w:fill="FFFFFF"/>
                <w:lang w:val="hy-AM"/>
              </w:rPr>
              <w:softHyphen/>
              <w:t xml:space="preserve">վումների՝ Նախագծով առաջարկվում է Ծրագրի շրջանակներում դիտարկել նաև ՀՀ կառավարության 18.12.2014թ.-ի N 1444-Ն որոշման N 1 հավելվածով </w:t>
            </w:r>
            <w:r>
              <w:rPr>
                <w:rFonts w:ascii="GHEA Grapalat" w:hAnsi="GHEA Grapalat"/>
                <w:color w:val="000000"/>
                <w:sz w:val="24"/>
                <w:szCs w:val="24"/>
                <w:shd w:val="clear" w:color="auto" w:fill="FFFFFF"/>
                <w:lang w:val="hy-AM"/>
              </w:rPr>
              <w:lastRenderedPageBreak/>
              <w:t>հաստատված` «Սոցիալական աջակցություն ստացող սահմանամերձ համայնքների բնակավայրերի ցանկում» ընդգրկված քաղաքային բնակավայրերը՝ Նոյեմբերյանն ու Ճամբարակը (բնակ</w:t>
            </w:r>
            <w:r>
              <w:rPr>
                <w:rFonts w:ascii="GHEA Grapalat" w:hAnsi="GHEA Grapalat"/>
                <w:color w:val="000000"/>
                <w:sz w:val="24"/>
                <w:szCs w:val="24"/>
                <w:shd w:val="clear" w:color="auto" w:fill="FFFFFF"/>
                <w:lang w:val="hy-AM"/>
              </w:rPr>
              <w:softHyphen/>
              <w:t>չու</w:t>
            </w:r>
            <w:r>
              <w:rPr>
                <w:rFonts w:ascii="GHEA Grapalat" w:hAnsi="GHEA Grapalat"/>
                <w:color w:val="000000"/>
                <w:sz w:val="24"/>
                <w:szCs w:val="24"/>
                <w:shd w:val="clear" w:color="auto" w:fill="FFFFFF"/>
                <w:lang w:val="hy-AM"/>
              </w:rPr>
              <w:softHyphen/>
              <w:t>թյան թիվը կազմում է համապատասխանաբար 4300 և 5500), ինչպես նաև առաջարկ</w:t>
            </w:r>
            <w:r>
              <w:rPr>
                <w:rFonts w:ascii="GHEA Grapalat" w:hAnsi="GHEA Grapalat"/>
                <w:color w:val="000000"/>
                <w:sz w:val="24"/>
                <w:szCs w:val="24"/>
                <w:shd w:val="clear" w:color="auto" w:fill="FFFFFF"/>
                <w:lang w:val="hy-AM"/>
              </w:rPr>
              <w:softHyphen/>
              <w:t>վում է սահմանել Ծրագրի շահառուների նոր՝ առավել թիրախային շրջանակ, ըստ որի ծրագրից կարող են օգտվել առնվազն մեկ անչափահաս երեխա ունեցող ամուսինները, երեխա չունեցող ամուսինները, որոնց տարիքների հանրագումարը չի գերազանցում 80-ը, ինչպես նաև առնվազն մեկ անչափահաս երեխա ունեցող միայնակ ծնողը՝ այրին։</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կապակցությամբ, հայտնում ենք, որ Նախագծով առաջարկվող փոփոխու</w:t>
            </w:r>
            <w:r>
              <w:rPr>
                <w:rFonts w:ascii="GHEA Grapalat" w:hAnsi="GHEA Grapalat"/>
                <w:color w:val="000000"/>
                <w:sz w:val="24"/>
                <w:szCs w:val="24"/>
                <w:shd w:val="clear" w:color="auto" w:fill="FFFFFF"/>
                <w:lang w:val="hy-AM"/>
              </w:rPr>
              <w:softHyphen/>
              <w:t>թյուն</w:t>
            </w:r>
            <w:r>
              <w:rPr>
                <w:rFonts w:ascii="GHEA Grapalat" w:hAnsi="GHEA Grapalat"/>
                <w:color w:val="000000"/>
                <w:sz w:val="24"/>
                <w:szCs w:val="24"/>
                <w:shd w:val="clear" w:color="auto" w:fill="FFFFFF"/>
                <w:lang w:val="hy-AM"/>
              </w:rPr>
              <w:softHyphen/>
              <w:t>ների ընդունման դեպքում շահառու խմբերի ընդլայնմամբ պայմանավորված՝ ակնհայտ է ֆինանսական միջոցների ավելացման անհրաժեշտությունը, որը, սակայն, Նախագծի հիմնավորմամբ բացառվում է:</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 է նշել, որ ներկայումս 2025-2027թթ. ՄԺԾԾ հայտերում ՀՀ աշխատանքի և սոցիալական հարցերի նախարարության կողմից ներկայացվել է Ծրագրի 540 շահառուի ֆինանսավորման հայտ՝ միայն գյուղական բնակավայրերի համար, ինչը նախատեսված է նաև 2024թ-ի պետական բյուջեով: Ընդ որում, նույն քանակի շահառուների հաշվարկով 2024թ-ի համար ներկայացրել է 467.5 մլն դրամի ֆինանսավորման հայտ, որն ընդունվել է, իսկ ներկայումս 2025թ-ի համար ներկայացվել է 1,548.1 մլն դրամի պահանջ:</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Հետևաբար, խնդրում ենք Ձեր պարզաբանումներն ու հիմնավորումները՝ վերը նշվածի վերաբերյալ:</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հաշվի առնելով ներկա փուլում առկա մակրոտնտեսական ռիսկերն ու անորոշությունները, ինչպես նաև սոցիալական ոլորտում ներկա մարտահրավերներն ու այլ առավել կարևորություն ունեցող ծրագրերի գծով լրացուցիչ ֆինանսավորման անհրա</w:t>
            </w:r>
            <w:r>
              <w:rPr>
                <w:rFonts w:ascii="GHEA Grapalat" w:hAnsi="GHEA Grapalat"/>
                <w:color w:val="000000"/>
                <w:sz w:val="24"/>
                <w:szCs w:val="24"/>
                <w:shd w:val="clear" w:color="auto" w:fill="FFFFFF"/>
                <w:lang w:val="hy-AM"/>
              </w:rPr>
              <w:softHyphen/>
              <w:t>ժեշ</w:t>
            </w:r>
            <w:r>
              <w:rPr>
                <w:rFonts w:ascii="GHEA Grapalat" w:hAnsi="GHEA Grapalat"/>
                <w:color w:val="000000"/>
                <w:sz w:val="24"/>
                <w:szCs w:val="24"/>
                <w:shd w:val="clear" w:color="auto" w:fill="FFFFFF"/>
                <w:lang w:val="hy-AM"/>
              </w:rPr>
              <w:softHyphen/>
              <w:t xml:space="preserve">տության հավանականությունը՝ առաջարկում ենք ներկա փուլում ձեռնպահ մնալ Ծրագրի շրջանակներում նոր շահառուների ավելացման և դրան համապատասխան՝ լրացուցիչ ծախսեր առաջացնող Նախագծերի շրջանառումից: </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Սույն նախագծով առաջարկվող փոփոխությունների արդյունքում ակնկալվում է շահառուների շրջանակի կրճատում, քանի որ ներկայում ծրագրից կարող են օգտվել գրանցված ամուսնություն ունեցող բոլոր ամուսինները, որոնցից առնվազն մեկն ունի ՀՀ քաղաքացիություն։ Իսկ առաջարկվող փոփոխությունների արդյունքում սահմանվել է հստակ շրջանակ՝ </w:t>
            </w:r>
            <w:r>
              <w:rPr>
                <w:rFonts w:ascii="GHEA Grapalat" w:hAnsi="GHEA Grapalat"/>
                <w:color w:val="000000"/>
                <w:sz w:val="24"/>
                <w:szCs w:val="24"/>
                <w:shd w:val="clear" w:color="auto" w:fill="FFFFFF"/>
                <w:lang w:val="hy-AM"/>
              </w:rPr>
              <w:t xml:space="preserve">առնվազն մեկ անչափահաս երեխա ունեցող ամուսինները, երեխա չունեցող ամուսինները, որոնց տարիքների հանրագումարը չի գերազանցում 75-ը, ինչպես նաև </w:t>
            </w:r>
            <w:r>
              <w:rPr>
                <w:rFonts w:ascii="GHEA Grapalat" w:hAnsi="GHEA Grapalat"/>
                <w:color w:val="000000"/>
                <w:sz w:val="24"/>
                <w:szCs w:val="24"/>
                <w:shd w:val="clear" w:color="auto" w:fill="FFFFFF"/>
                <w:lang w:val="hy-AM"/>
              </w:rPr>
              <w:lastRenderedPageBreak/>
              <w:t>առնվազն մեկ անչափահաս երեխա ունեցող միայնակ ծնողը՝ այրին, ընդ որում, ՀՀ քաղաքացիություն ունենալու պայմանը տարածվում է ինչպես երկու ամուսինների, այնպես էլ նրանց երեխաների վրա։</w:t>
            </w:r>
          </w:p>
        </w:tc>
      </w:tr>
      <w:tr>
        <w:tc>
          <w:tcPr>
            <w:tcW w:w="1143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5. ՀՀ տարածքային կառավարման և ենթակառուցվածքների նախարարություն</w:t>
            </w:r>
          </w:p>
        </w:tc>
        <w:tc>
          <w:tcPr>
            <w:tcW w:w="2880" w:type="dxa"/>
            <w:gridSpan w:val="5"/>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19</w:t>
            </w:r>
            <w:r>
              <w:rPr>
                <w:rFonts w:ascii="GHEA Grapalat" w:hAnsi="GHEA Grapalat"/>
                <w:color w:val="000000"/>
                <w:sz w:val="24"/>
                <w:szCs w:val="24"/>
                <w:highlight w:val="lightGray"/>
                <w:shd w:val="clear" w:color="auto" w:fill="FFFFFF"/>
                <w:lang w:val="hy-AM"/>
              </w:rPr>
              <w:t>.04.2024թ.</w:t>
            </w:r>
          </w:p>
        </w:tc>
      </w:tr>
      <w:tr>
        <w:tc>
          <w:tcPr>
            <w:tcW w:w="1143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880" w:type="dxa"/>
            <w:gridSpan w:val="5"/>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ԳՍ/15.3/12592-2024</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1. «Հայաստանի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Հայաստանի Հանրապետության կառավարության որոշման նախագիծը քննարկվել է ՀՀ մարզպետների աշխատակազմերի հետ։</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Համաձայն նախագծին կից ներկայացված հիմնավորման՝ նախագծի հիմնական նպատակը շահառուների շրջանակն առավել նպատակային և թիրախային դարձնելն է, որը հնարավորություն կտա նաև միայնակ ծնողներին՝ այրիներին, այդ թվում՝ զոհվածների ընտանիքներին ևս օգտվել ծրագրից, ինչպես նաև ընդլայնել սահմանամերձ բնակավայրերի ցանկն ու ծրագրի պայմաններում իրականացնել որոշակի հստակեցումներ։</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Ներկայացված նախագծով ծրագրից կարող են օգտվել առնվազն մեկ անչափահաս երեխա ունեցող ամուսինները, երեխա չունեցող ամուսինները, որոնց տարիքների հանրագումարը չի գերազանցում 80-ը, ինչպես նաև առնվազն մեկ անչափահաս երեխա ունեցող միայնակ ծնողը՝ այրին։ Միաժամանակ սահմանվում է, որ շահառու ընտանիքի բոլոր անդամները պետք է ունենան ՀՀ քաղաքացիություն։</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Կարծում ենք՝ առաջարկվող փոփոխությունների պարագայում էական կկրճատվի ծրագրին մասնակցության դիմումների քանակը։</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վերոգրյալը, ինչպես նաև այն, որ ամուսնության միջին տարիքը բարձրացել է և սահմանամերձ բնակավայրերում բնակություն կարող են հաստատել միջին տարիքի ամուսիններ, առաջարկում ենք տարիքի առավելագույն հանրագումարը ավելի բարձր շեմ նախատեսել:</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pPr>
              <w:jc w:val="both"/>
              <w:rPr>
                <w:rFonts w:ascii="GHEA Grapalat" w:hAnsi="GHEA Grapalat"/>
                <w:b/>
                <w:color w:val="000000"/>
                <w:sz w:val="24"/>
                <w:szCs w:val="24"/>
                <w:shd w:val="clear" w:color="auto" w:fill="FFFFFF"/>
                <w:lang w:val="hy-AM"/>
              </w:rPr>
            </w:pPr>
            <w:r>
              <w:rPr>
                <w:rFonts w:ascii="GHEA Grapalat" w:hAnsi="GHEA Grapalat"/>
                <w:sz w:val="24"/>
                <w:szCs w:val="24"/>
                <w:lang w:val="hy-AM"/>
              </w:rPr>
              <w:t>06.05.2024 թ</w:t>
            </w:r>
            <w:r>
              <w:rPr>
                <w:rFonts w:ascii="Cambria Math" w:hAnsi="Cambria Math" w:cs="Cambria Math"/>
                <w:sz w:val="24"/>
                <w:szCs w:val="24"/>
                <w:lang w:val="hy-AM"/>
              </w:rPr>
              <w:t>․</w:t>
            </w:r>
            <w:r>
              <w:rPr>
                <w:rFonts w:ascii="GHEA Grapalat" w:hAnsi="GHEA Grapalat"/>
                <w:sz w:val="24"/>
                <w:szCs w:val="24"/>
                <w:lang w:val="hy-AM"/>
              </w:rPr>
              <w:t xml:space="preserve"> կայացած սոցիալական նախարարական կոմիտեի նիստի թիվ ԿԱ/141-2024 արձանագրության 3-րդ կետի 1-ին ենթակետի ա. պարբերության համաձայն՝ ծրագրի շահառու հանդիսանալու համար ամուսինների տարիքների հանրագումարը 85-ի</w:t>
            </w:r>
            <w:r>
              <w:rPr>
                <w:rFonts w:ascii="GHEA Grapalat" w:hAnsi="GHEA Grapalat"/>
                <w:sz w:val="24"/>
                <w:szCs w:val="24"/>
                <w:lang w:val="hy-AM"/>
              </w:rPr>
              <w:br/>
              <w:t>փոխարեն սահմանվել է առավելագույնը 75։</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Միաժամանակ առաջարկում ենք քննարկել նաև ՀՀ կառավարության 17.11.1998թ. N 713 որոշմամբ հաստատված ՀՀ սահմանամերձ բնակավայրերի ցանկում ընդգրկված և մինչև 200 բնակչություն ունեցող բնակավայրերը ևս շահառու բնակավայրերի ցանկում ներառելու հնարավորությունը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pPr>
              <w:rPr>
                <w:rFonts w:ascii="GHEA Grapalat" w:hAnsi="GHEA Grapalat"/>
                <w:sz w:val="24"/>
                <w:szCs w:val="24"/>
                <w:lang w:val="hy-AM"/>
              </w:rPr>
            </w:pPr>
            <w:r>
              <w:rPr>
                <w:rFonts w:ascii="GHEA Grapalat" w:hAnsi="GHEA Grapalat"/>
                <w:sz w:val="24"/>
                <w:szCs w:val="24"/>
                <w:lang w:val="hy-AM"/>
              </w:rPr>
              <w:t xml:space="preserve">Ծրագրի իրականացման այս փուլում առաջարկը նպատակահարմար չէ, քանի որ ներկայում նախատեսվում է աջակցություն տրամադրել 1500 շահառուի, որից հետո կիրականացվի ծրագրի արդյունավետության գնահատում՝ հետագա </w:t>
            </w:r>
            <w:r>
              <w:rPr>
                <w:rFonts w:ascii="GHEA Grapalat" w:hAnsi="GHEA Grapalat"/>
                <w:sz w:val="24"/>
                <w:szCs w:val="24"/>
                <w:lang w:val="hy-AM"/>
              </w:rPr>
              <w:lastRenderedPageBreak/>
              <w:t>բարեփոխումների, այդ թվում՝ բնակավայրերի ավելացման նպատակով։ Գնահատման արդյունքների և ֆինանսական հնարավորությունների վերլուծության արդյունքում, հետագայում հաշվի կառնվի առաջարկը։</w:t>
            </w:r>
          </w:p>
        </w:tc>
      </w:tr>
      <w:tr>
        <w:tc>
          <w:tcPr>
            <w:tcW w:w="9720" w:type="dxa"/>
          </w:tcPr>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3. Կից տրամադրում ենք ՀՀ Սյունիքի մարզպետի աշխատակազմի կողմից ներկայացված առաջարկությունը։</w:t>
            </w:r>
          </w:p>
          <w:p>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2.1. </w:t>
            </w:r>
            <w:r>
              <w:rPr>
                <w:rFonts w:ascii="GHEA Grapalat" w:hAnsi="GHEA Grapalat" w:cs="Sylfaen"/>
                <w:sz w:val="24"/>
                <w:szCs w:val="24"/>
                <w:lang w:val="hy-AM"/>
              </w:rPr>
              <w:t>Առաջարկում ենք ընդլայնել շահառու բնակավայրերի ցանկը ներառելով մինչև 200 բնակիչ ունեցող, լեռնահանքային ձեռնարկությունների ազդակիր բնակավայր չհանդիսացող և ենթակառուցվածքների հասանելիություն ունեցող բնակավայրերը: Սյունիքի մարզում նշված չափանիշներին բավարարող բնակավայրերը հետևյալն են. Կապան համայնքի Աղվանի, Անտառաշատ, Առաջաձոր, Եղեգ, Խորձոր, Ձորաստան, Ներքին Խոտանան, Շիշկերտ, Շրվենանց, Վանեք, Վարդավանք, Տանձավեր, Տավրոս, Օխտար, Մեղրի համայնքի Վահրավար, Լիճք, Տաշտուն, Կուրիս, Գուդեմնիս, Թխկուտ, Սիսիան համայնքի Արևիս, Բալաք, Բնունիս, Գետաթաղ, Թանահատ, Լծեն, Տորունիք, Ցղունի, Նժդեհ, Քաջարան համայնքի Անդոկավան, Գեղի, Գետիշեն, Ձագիկավան, Փուխրուտ, Նոր Աստղաբերդ, Տաթև համայնքի Տանձատափ, Քաշունի բնակավայրերը: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pPr>
              <w:rPr>
                <w:rFonts w:ascii="GHEA Grapalat" w:hAnsi="GHEA Grapalat"/>
                <w:b/>
                <w:color w:val="000000"/>
                <w:sz w:val="24"/>
                <w:szCs w:val="24"/>
                <w:shd w:val="clear" w:color="auto" w:fill="FFFFFF"/>
                <w:lang w:val="hy-AM"/>
              </w:rPr>
            </w:pPr>
            <w:r>
              <w:rPr>
                <w:rFonts w:ascii="GHEA Grapalat" w:hAnsi="GHEA Grapalat"/>
                <w:sz w:val="24"/>
                <w:szCs w:val="24"/>
                <w:lang w:val="hy-AM"/>
              </w:rPr>
              <w:t>Ծրագրի իրականացման այս փուլում առաջարկը նպատակահարմար չէ, քանի որ ներկայում նախատեսվում է աջակցություն տրամադրել 1500 շահառուի, որից հետո կիրականացվի ծրագրի արդյունավետության գնահատում՝ հետագա բարեփոխումների, այդ թվում՝ բնակավայրերի ավելացման նպատակով։ Գնահատման արդյունքների և ֆինանսական հնարավորությունների վերլուծության արդյունքում, հետագայում հաշվի կառնվի առաջարկը։</w:t>
            </w:r>
          </w:p>
        </w:tc>
      </w:tr>
      <w:tr>
        <w:trPr>
          <w:trHeight w:val="242"/>
        </w:trPr>
        <w:tc>
          <w:tcPr>
            <w:tcW w:w="9720" w:type="dxa"/>
          </w:tcPr>
          <w:p>
            <w:pPr>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2.2. </w:t>
            </w:r>
            <w:r>
              <w:rPr>
                <w:rFonts w:ascii="GHEA Grapalat" w:hAnsi="GHEA Grapalat" w:cs="Sylfaen"/>
                <w:sz w:val="24"/>
                <w:szCs w:val="24"/>
                <w:lang w:val="hy-AM"/>
              </w:rPr>
              <w:t>Միաժամանակ, հաշվի առնելով, որ սահմանամերձ բնակավայրերում բնակություն կարող են հաստատել միջին տարիքի ամուսիններ, որոնց տարիքի հանրագումարը 80-ից բարձր կարող է լինել՝ առաջարկում ենք տարիքի առավելագույն հանրագումարը  ավելի բարձր շեմ նախատեսել:</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pPr>
              <w:rPr>
                <w:rFonts w:ascii="GHEA Grapalat" w:hAnsi="GHEA Grapalat"/>
                <w:sz w:val="24"/>
                <w:szCs w:val="24"/>
                <w:lang w:val="hy-AM"/>
              </w:rPr>
            </w:pPr>
            <w:r>
              <w:rPr>
                <w:rFonts w:ascii="GHEA Grapalat" w:hAnsi="GHEA Grapalat"/>
                <w:sz w:val="24"/>
                <w:szCs w:val="24"/>
                <w:lang w:val="hy-AM"/>
              </w:rPr>
              <w:t>06.05.2024 թ</w:t>
            </w:r>
            <w:r>
              <w:rPr>
                <w:rFonts w:ascii="Cambria Math" w:hAnsi="Cambria Math" w:cs="Cambria Math"/>
                <w:sz w:val="24"/>
                <w:szCs w:val="24"/>
                <w:lang w:val="hy-AM"/>
              </w:rPr>
              <w:t>․</w:t>
            </w:r>
            <w:r>
              <w:rPr>
                <w:rFonts w:ascii="GHEA Grapalat" w:hAnsi="GHEA Grapalat"/>
                <w:sz w:val="24"/>
                <w:szCs w:val="24"/>
                <w:lang w:val="hy-AM"/>
              </w:rPr>
              <w:t xml:space="preserve"> կայացած սոցիալական նախարարական կոմիտեի նիստի թիվ ԿԱ/141-2024 արձանագրության 3-րդ կետի 1-ին ենթակետի ա. պարբերության համաձայն՝ ծրագրի շահառու հանդիսանալու համար ամուսինների տարիքների </w:t>
            </w:r>
            <w:r>
              <w:rPr>
                <w:rFonts w:ascii="GHEA Grapalat" w:hAnsi="GHEA Grapalat"/>
                <w:sz w:val="24"/>
                <w:szCs w:val="24"/>
                <w:lang w:val="hy-AM"/>
              </w:rPr>
              <w:lastRenderedPageBreak/>
              <w:t>հանրագումարը 85-ի</w:t>
            </w:r>
            <w:r>
              <w:rPr>
                <w:rFonts w:ascii="GHEA Grapalat" w:hAnsi="GHEA Grapalat"/>
                <w:sz w:val="24"/>
                <w:szCs w:val="24"/>
                <w:lang w:val="hy-AM"/>
              </w:rPr>
              <w:br/>
              <w:t>փոխարեն սահմանվել է առավելագույնը 75։</w:t>
            </w:r>
          </w:p>
          <w:p>
            <w:pPr>
              <w:rPr>
                <w:rFonts w:ascii="GHEA Grapalat" w:hAnsi="GHEA Grapalat"/>
                <w:b/>
                <w:color w:val="000000"/>
                <w:sz w:val="24"/>
                <w:szCs w:val="24"/>
                <w:shd w:val="clear" w:color="auto" w:fill="FFFFFF"/>
                <w:lang w:val="hy-AM"/>
              </w:rPr>
            </w:pPr>
          </w:p>
        </w:tc>
      </w:tr>
      <w:tr>
        <w:trPr>
          <w:trHeight w:val="242"/>
        </w:trPr>
        <w:tc>
          <w:tcPr>
            <w:tcW w:w="11700" w:type="dxa"/>
            <w:gridSpan w:val="4"/>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6. Վարչապետի աշխատակազմ (փոխվարչապետ Մհեր Գրիգորյան)</w:t>
            </w:r>
          </w:p>
        </w:tc>
        <w:tc>
          <w:tcPr>
            <w:tcW w:w="2610" w:type="dxa"/>
            <w:gridSpan w:val="3"/>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10.05.2024 թ.</w:t>
            </w:r>
          </w:p>
        </w:tc>
      </w:tr>
      <w:tr>
        <w:trPr>
          <w:trHeight w:val="242"/>
        </w:trPr>
        <w:tc>
          <w:tcPr>
            <w:tcW w:w="11700" w:type="dxa"/>
            <w:gridSpan w:val="4"/>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610" w:type="dxa"/>
            <w:gridSpan w:val="3"/>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ԿԱ/141-2024</w:t>
            </w:r>
          </w:p>
        </w:tc>
      </w:tr>
      <w:tr>
        <w:trPr>
          <w:trHeight w:val="242"/>
        </w:trPr>
        <w:tc>
          <w:tcPr>
            <w:tcW w:w="9720" w:type="dxa"/>
          </w:tcPr>
          <w:p>
            <w:pPr>
              <w:jc w:val="both"/>
              <w:rPr>
                <w:rFonts w:ascii="GHEA Grapalat" w:hAnsi="GHEA Grapalat" w:cs="Sylfaen"/>
                <w:sz w:val="24"/>
                <w:szCs w:val="24"/>
                <w:lang w:val="hy-AM"/>
              </w:rPr>
            </w:pPr>
            <w:r>
              <w:rPr>
                <w:rFonts w:ascii="GHEA Grapalat" w:hAnsi="GHEA Grapalat" w:cs="Sylfaen"/>
                <w:sz w:val="24"/>
                <w:szCs w:val="24"/>
                <w:lang w:val="hy-AM"/>
              </w:rPr>
              <w:t>1. Ծրագրի շահառու հանդիսանալու համար ամուսինների տարիքների հանրագումարը, 85-ի փոխարեն, սահմանել առավելագույնը 75</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trPr>
          <w:trHeight w:val="242"/>
        </w:trPr>
        <w:tc>
          <w:tcPr>
            <w:tcW w:w="9720" w:type="dxa"/>
          </w:tcPr>
          <w:p>
            <w:pPr>
              <w:jc w:val="both"/>
              <w:rPr>
                <w:rFonts w:ascii="GHEA Grapalat" w:hAnsi="GHEA Grapalat" w:cs="Sylfaen"/>
                <w:sz w:val="24"/>
                <w:szCs w:val="24"/>
                <w:lang w:val="hy-AM"/>
              </w:rPr>
            </w:pPr>
            <w:r>
              <w:rPr>
                <w:rFonts w:ascii="GHEA Grapalat" w:hAnsi="GHEA Grapalat" w:cs="Sylfaen"/>
                <w:sz w:val="24"/>
                <w:szCs w:val="24"/>
                <w:lang w:val="hy-AM"/>
              </w:rPr>
              <w:t>2.Խմբագրել որոշումն ուժի մեջ մտնելու ժամկետը՝ 2024 թվականի հունիսի 1-ի փոխարեն սահմանելով 2024 թվականի հուլիսի 1</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pPr>
              <w:rPr>
                <w:rFonts w:ascii="GHEA Grapalat" w:hAnsi="GHEA Grapalat"/>
                <w:b/>
                <w:color w:val="000000"/>
                <w:sz w:val="24"/>
                <w:szCs w:val="24"/>
                <w:shd w:val="clear" w:color="auto" w:fill="FFFFFF"/>
                <w:lang w:val="hy-AM"/>
              </w:rPr>
            </w:pPr>
            <w:r>
              <w:rPr>
                <w:rFonts w:ascii="GHEA Grapalat" w:hAnsi="GHEA Grapalat" w:cs="Sylfaen"/>
                <w:sz w:val="24"/>
                <w:szCs w:val="24"/>
                <w:lang w:val="hy-AM"/>
              </w:rPr>
              <w:t>Հաշվի առնելով նաև հանրային քննարկման արդյունքները՝ որոշումն ուժի մեջ մտնելու ժամկետ է սահմանվել 2024 թվականի օգոստոսի 1-ը</w:t>
            </w:r>
          </w:p>
        </w:tc>
      </w:tr>
      <w:tr>
        <w:trPr>
          <w:trHeight w:val="242"/>
        </w:trPr>
        <w:tc>
          <w:tcPr>
            <w:tcW w:w="9720" w:type="dxa"/>
          </w:tcPr>
          <w:p>
            <w:pPr>
              <w:jc w:val="both"/>
              <w:rPr>
                <w:rFonts w:ascii="GHEA Grapalat" w:hAnsi="GHEA Grapalat" w:cs="Sylfaen"/>
                <w:sz w:val="24"/>
                <w:szCs w:val="24"/>
                <w:lang w:val="hy-AM"/>
              </w:rPr>
            </w:pPr>
            <w:r>
              <w:rPr>
                <w:rFonts w:ascii="GHEA Grapalat" w:hAnsi="GHEA Grapalat" w:cs="Sylfaen"/>
                <w:sz w:val="24"/>
                <w:szCs w:val="24"/>
                <w:lang w:val="hy-AM"/>
              </w:rPr>
              <w:t>3. Նախագծից հանել Նոյեմբերյան եւ Ճամբարակ քաղաքային բնակավայրերին վերաբերելի կարգավորումները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trPr>
          <w:trHeight w:val="548"/>
        </w:trPr>
        <w:tc>
          <w:tcPr>
            <w:tcW w:w="9720" w:type="dxa"/>
          </w:tcPr>
          <w:p>
            <w:pPr>
              <w:jc w:val="both"/>
              <w:rPr>
                <w:rFonts w:ascii="GHEA Grapalat" w:hAnsi="GHEA Grapalat" w:cs="Sylfaen"/>
                <w:sz w:val="24"/>
                <w:szCs w:val="24"/>
                <w:lang w:val="hy-AM"/>
              </w:rPr>
            </w:pPr>
            <w:r>
              <w:rPr>
                <w:rFonts w:ascii="GHEA Grapalat" w:hAnsi="GHEA Grapalat" w:cs="Sylfaen"/>
                <w:sz w:val="24"/>
                <w:szCs w:val="24"/>
                <w:lang w:val="hy-AM"/>
              </w:rPr>
              <w:t>4. Նախագիծը ներկայացնել հանրային քննարկման</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pPr>
              <w:rPr>
                <w:rFonts w:ascii="GHEA Grapalat" w:hAnsi="GHEA Grapalat"/>
                <w:b/>
                <w:color w:val="000000"/>
                <w:sz w:val="24"/>
                <w:szCs w:val="24"/>
                <w:shd w:val="clear" w:color="auto" w:fill="FFFFFF"/>
                <w:lang w:val="hy-AM"/>
              </w:rPr>
            </w:pPr>
            <w:r>
              <w:rPr>
                <w:rFonts w:ascii="GHEA Grapalat" w:hAnsi="GHEA Grapalat" w:cs="Sylfaen"/>
                <w:sz w:val="24"/>
                <w:szCs w:val="24"/>
                <w:lang w:val="hy-AM"/>
              </w:rPr>
              <w:t xml:space="preserve">Նախագիծը տեղակայվել է e-draft.am հարթակում 06.05.2024-22.05.2024թթ. ժամանակահատվածում </w:t>
            </w:r>
          </w:p>
        </w:tc>
      </w:tr>
      <w:tr>
        <w:trPr>
          <w:trHeight w:val="395"/>
        </w:trPr>
        <w:tc>
          <w:tcPr>
            <w:tcW w:w="11790" w:type="dxa"/>
            <w:gridSpan w:val="5"/>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7. ՀՀ քաղաքաշինության կոմիտե</w:t>
            </w:r>
          </w:p>
        </w:tc>
        <w:tc>
          <w:tcPr>
            <w:tcW w:w="252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rPr>
              <w:t>8</w:t>
            </w:r>
            <w:r>
              <w:rPr>
                <w:rFonts w:ascii="GHEA Grapalat" w:hAnsi="GHEA Grapalat"/>
                <w:color w:val="000000"/>
                <w:sz w:val="24"/>
                <w:szCs w:val="24"/>
                <w:highlight w:val="lightGray"/>
                <w:shd w:val="clear" w:color="auto" w:fill="FFFFFF"/>
                <w:lang w:val="hy-AM"/>
              </w:rPr>
              <w:t>.06.2024 թ.</w:t>
            </w:r>
          </w:p>
        </w:tc>
      </w:tr>
      <w:tr>
        <w:trPr>
          <w:trHeight w:val="350"/>
        </w:trPr>
        <w:tc>
          <w:tcPr>
            <w:tcW w:w="11790" w:type="dxa"/>
            <w:gridSpan w:val="5"/>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01/13/9020-2024</w:t>
            </w:r>
          </w:p>
        </w:tc>
      </w:tr>
      <w:tr>
        <w:trPr>
          <w:trHeight w:val="440"/>
        </w:trPr>
        <w:tc>
          <w:tcPr>
            <w:tcW w:w="9720" w:type="dxa"/>
          </w:tcPr>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1. Նախագծի 1-ին կետի 3-րդ ենթակետով լրացվող 12.3 կետով սահմանվում է, որ կառուցապատումը շարունակելու </w:t>
            </w:r>
            <w:r>
              <w:rPr>
                <w:rFonts w:ascii="GHEA Grapalat" w:hAnsi="GHEA Grapalat" w:cs="Sylfaen"/>
                <w:sz w:val="24"/>
                <w:szCs w:val="24"/>
                <w:lang w:val="hy-AM"/>
              </w:rPr>
              <w:t>նպատակով</w:t>
            </w:r>
            <w:r>
              <w:rPr>
                <w:rFonts w:ascii="GHEA Grapalat" w:hAnsi="GHEA Grapalat"/>
                <w:color w:val="000000" w:themeColor="text1"/>
                <w:sz w:val="24"/>
                <w:szCs w:val="24"/>
                <w:lang w:val="hy-AM"/>
              </w:rPr>
              <w:t xml:space="preserve"> հիփոթեքային վարկերը կարող են տրամադրվել, եթե կիսակառույց շինության նկատմամբ իրավունքների պետական գրանցման վկայականի «Լրացուցիչ նշումներ և տեղեկություններ» բաժնում ավարտվածության աստիճանը մինչև 80 է կամ նշված է անավարտ կամ կիսակառույց։</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Այս պարագայում, հստակեցման կարիք ունի, թե պայմանական 70% ավարտվածություն ունեցող կիսակառույցի դեպքում տրամադրվելու է նախատեսված </w:t>
            </w:r>
            <w:r>
              <w:rPr>
                <w:rFonts w:ascii="GHEA Grapalat" w:hAnsi="GHEA Grapalat"/>
                <w:color w:val="000000" w:themeColor="text1"/>
                <w:sz w:val="24"/>
                <w:szCs w:val="24"/>
                <w:lang w:val="hy-AM"/>
              </w:rPr>
              <w:lastRenderedPageBreak/>
              <w:t>աջակցության գումարն ամբողջ ծավալով (կախված բնակավայրից՝ 16 կամ 21 մլն դրամ), թե՞ աջակցությունը տրամադրվելու է համամասնորեն՝ ելնելով մնացորդային աշխատանքների ծավալից (օրինակ՝ 16 կամ 21 մլն դրամի 30%-ի չափով):</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Միևնույն ժամանակ, նշված կետում ավարտվածության աստիճանի մասով դրույթներն առաջարկում ենք ձևակերպել այնպիսի բավարար հստակությամբ, որ տարընթերցման կարիք կամ Նախագծով առաջադրվող պայմանների միջև հակասություն չառաջանա, քանի որ օրինակ ՀՀ կառավարության 2003 թվականի մայիսի 29-ի N645-Ն որոշմամբ սահմանված են անշարժ գույքի հարկով հարկվող օբյեկտ համարվող անավարտ կիսակառույց շինությունների՝ ըստ ավարտվածության աստիճանի բնութագրման չափանիշները, որի համաձայն դրանք դասակարգված են 0-50%, 51-80%, 81% և ավել (եթե լիովին ավարտված չեն հարդարման ու հարակից աշխատանքները):</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Տվյալ դեպքում, Նախագծի համաձայն դիտարկվում են այն դեպքերը, երբ սեփականության իրավունքի գրանցման վկայականում ավարտվածության աստիճանը նշված է կամ մինչև 80% կամ անավարտ կամ կիսակառույց: </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Մինչդեռ, վերը նշված կարգավորումների համադրությամբ պրակտիկայում կարող են լինել դեպքեր, երբ բնակելի տան մասով նշված լինի անավարտ, սակայն դրա ավարտվածության աստիճանը մեծ լինի 80%-ից (այսինքն, բավարարում է թվարկված պայմաններից մեկին, բայց չի համապատասխանում մյուսին):</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pPr>
              <w:rPr>
                <w:rFonts w:ascii="GHEA Grapalat" w:hAnsi="GHEA Grapalat" w:cs="Sylfaen"/>
                <w:sz w:val="24"/>
                <w:szCs w:val="24"/>
                <w:lang w:val="hy-AM"/>
              </w:rPr>
            </w:pPr>
            <w:r>
              <w:rPr>
                <w:rFonts w:ascii="GHEA Grapalat" w:hAnsi="GHEA Grapalat" w:cs="Sylfaen"/>
                <w:sz w:val="24"/>
                <w:szCs w:val="24"/>
                <w:lang w:val="hy-AM"/>
              </w:rPr>
              <w:t xml:space="preserve">Ինչպես կառուցապատում անելու, այնպես էլ կառուցապատումը շարունակելու համար նախատեսված է նույն աջակցությունը, հակառակ դեպքում հստակ սահմանված կլինեին բոլոր դեպքերը։ </w:t>
            </w:r>
          </w:p>
          <w:p>
            <w:pPr>
              <w:rPr>
                <w:rFonts w:ascii="GHEA Grapalat" w:hAnsi="GHEA Grapalat"/>
                <w:b/>
                <w:color w:val="000000"/>
                <w:sz w:val="24"/>
                <w:szCs w:val="24"/>
                <w:shd w:val="clear" w:color="auto" w:fill="FFFFFF"/>
                <w:lang w:val="hy-AM"/>
              </w:rPr>
            </w:pPr>
            <w:r>
              <w:rPr>
                <w:rFonts w:ascii="GHEA Grapalat" w:hAnsi="GHEA Grapalat" w:cs="Sylfaen"/>
                <w:sz w:val="24"/>
                <w:szCs w:val="24"/>
                <w:lang w:val="hy-AM"/>
              </w:rPr>
              <w:lastRenderedPageBreak/>
              <w:t xml:space="preserve">Ինչ վերաբերվում է ավարտվածության աստիճանի վերաբերյալ նշումներին, ապա գործնականում լինում են դեպքեր, երբ </w:t>
            </w:r>
            <w:r>
              <w:rPr>
                <w:rFonts w:ascii="GHEA Grapalat" w:hAnsi="GHEA Grapalat"/>
                <w:color w:val="000000" w:themeColor="text1"/>
                <w:sz w:val="24"/>
                <w:szCs w:val="24"/>
                <w:lang w:val="hy-AM"/>
              </w:rPr>
              <w:t>կիսակառույց շինության նկատմամբ իրավունքների պետական գրանցման վկայականի «Լրացուցիչ նշումներ և տեղեկություններ» բաժնում ավարտվածության աստիճանը նշվում է ոչ թե տոկոսային արտահայտությամբ, այլ նշվում է «անավարտ» կամ «կիսակառույց»։ Ըստ այդմ, որպեսզի կառուցապատումը շարունակելու նպատակով դիմած շահառուների վերաբերյալ որոշում կայացնելիս գործընկեր ֆինանսական կազմակերպությունները դրսևորեն միասնական մոտեցում, առաջարկվել է նշված ձևակերպումը։</w:t>
            </w:r>
          </w:p>
        </w:tc>
      </w:tr>
      <w:tr>
        <w:trPr>
          <w:trHeight w:val="440"/>
        </w:trPr>
        <w:tc>
          <w:tcPr>
            <w:tcW w:w="11790" w:type="dxa"/>
            <w:gridSpan w:val="5"/>
            <w:vMerge w:val="restart"/>
            <w:shd w:val="clear" w:color="auto" w:fill="D9D9D9" w:themeFill="background1" w:themeFillShade="D9"/>
          </w:tcPr>
          <w:p>
            <w:pPr>
              <w:jc w:val="center"/>
              <w:rPr>
                <w:rFonts w:ascii="GHEA Grapalat" w:hAnsi="GHEA Grapalat"/>
                <w:color w:val="000000" w:themeColor="text1"/>
                <w:sz w:val="24"/>
                <w:szCs w:val="24"/>
                <w:lang w:val="hy-AM"/>
              </w:rPr>
            </w:pPr>
            <w:r>
              <w:rPr>
                <w:rFonts w:ascii="GHEA Grapalat" w:hAnsi="GHEA Grapalat"/>
                <w:b/>
                <w:color w:val="000000"/>
                <w:sz w:val="24"/>
                <w:szCs w:val="24"/>
                <w:highlight w:val="lightGray"/>
                <w:shd w:val="clear" w:color="auto" w:fill="FFFFFF"/>
                <w:lang w:val="hy-AM"/>
              </w:rPr>
              <w:lastRenderedPageBreak/>
              <w:t>8</w:t>
            </w:r>
            <w:r>
              <w:rPr>
                <w:rFonts w:ascii="GHEA Grapalat" w:hAnsi="GHEA Grapalat"/>
                <w:b/>
                <w:color w:val="000000"/>
                <w:sz w:val="24"/>
                <w:szCs w:val="24"/>
                <w:highlight w:val="lightGray"/>
                <w:shd w:val="clear" w:color="auto" w:fill="FFFFFF"/>
              </w:rPr>
              <w:t>. ՀՀ կադաստրի կոմիտե</w:t>
            </w:r>
          </w:p>
        </w:tc>
        <w:tc>
          <w:tcPr>
            <w:tcW w:w="252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20.06.2024 թ.</w:t>
            </w:r>
          </w:p>
        </w:tc>
      </w:tr>
      <w:tr>
        <w:trPr>
          <w:trHeight w:val="440"/>
        </w:trPr>
        <w:tc>
          <w:tcPr>
            <w:tcW w:w="11790" w:type="dxa"/>
            <w:gridSpan w:val="5"/>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Pr>
                <w:rFonts w:ascii="GHEA Grapalat" w:hAnsi="GHEA Grapalat"/>
                <w:color w:val="000000"/>
                <w:sz w:val="24"/>
                <w:szCs w:val="24"/>
                <w:highlight w:val="lightGray"/>
                <w:shd w:val="clear" w:color="auto" w:fill="FFFFFF"/>
                <w:lang w:val="hy-AM"/>
              </w:rPr>
              <w:t>02/08.86/21575-2024</w:t>
            </w:r>
          </w:p>
        </w:tc>
      </w:tr>
      <w:tr>
        <w:trPr>
          <w:trHeight w:val="440"/>
        </w:trPr>
        <w:tc>
          <w:tcPr>
            <w:tcW w:w="9720" w:type="dxa"/>
          </w:tcPr>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ՀՀ կառավարության որոշման նախագծի լրամշակված տարբերակի վերաբերյալ առաջարկություններ չունենք:</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trPr>
          <w:trHeight w:val="440"/>
        </w:trPr>
        <w:tc>
          <w:tcPr>
            <w:tcW w:w="11790" w:type="dxa"/>
            <w:gridSpan w:val="5"/>
            <w:vMerge w:val="restart"/>
            <w:shd w:val="clear" w:color="auto" w:fill="D9D9D9" w:themeFill="background1" w:themeFillShade="D9"/>
          </w:tcPr>
          <w:p>
            <w:pPr>
              <w:jc w:val="center"/>
              <w:rPr>
                <w:rFonts w:ascii="GHEA Grapalat" w:hAnsi="GHEA Grapalat"/>
                <w:color w:val="000000" w:themeColor="text1"/>
                <w:sz w:val="24"/>
                <w:szCs w:val="24"/>
                <w:lang w:val="hy-AM"/>
              </w:rPr>
            </w:pPr>
            <w:r>
              <w:rPr>
                <w:rFonts w:ascii="GHEA Grapalat" w:hAnsi="GHEA Grapalat"/>
                <w:b/>
                <w:color w:val="000000"/>
                <w:sz w:val="24"/>
                <w:szCs w:val="24"/>
                <w:highlight w:val="lightGray"/>
                <w:shd w:val="clear" w:color="auto" w:fill="FFFFFF"/>
                <w:lang w:val="hy-AM"/>
              </w:rPr>
              <w:t>9. ՀՀ տարածքային կառավարման և ենթակառուցվածքների նախարարություն</w:t>
            </w:r>
          </w:p>
        </w:tc>
        <w:tc>
          <w:tcPr>
            <w:tcW w:w="252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20.06.2024 թ.</w:t>
            </w:r>
          </w:p>
        </w:tc>
      </w:tr>
      <w:tr>
        <w:trPr>
          <w:trHeight w:val="440"/>
        </w:trPr>
        <w:tc>
          <w:tcPr>
            <w:tcW w:w="11790" w:type="dxa"/>
            <w:gridSpan w:val="5"/>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Pr>
                <w:rFonts w:ascii="GHEA Grapalat" w:hAnsi="GHEA Grapalat"/>
                <w:color w:val="000000"/>
                <w:sz w:val="24"/>
                <w:szCs w:val="24"/>
                <w:highlight w:val="lightGray"/>
                <w:shd w:val="clear" w:color="auto" w:fill="FFFFFF"/>
                <w:lang w:val="hy-AM"/>
              </w:rPr>
              <w:t>02/08.86/21575-2024</w:t>
            </w:r>
          </w:p>
        </w:tc>
      </w:tr>
      <w:tr>
        <w:trPr>
          <w:trHeight w:val="440"/>
        </w:trPr>
        <w:tc>
          <w:tcPr>
            <w:tcW w:w="9720" w:type="dxa"/>
          </w:tcPr>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Հայաստանի Հանրապետության կառավարության որոշման նախագծի վերաբերյալ ՀՀ տարածքային կառավարման և ենթակառուցվածքների նախարարության իրավասության սահմաններում առաջարկություններ չունենք։</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trPr>
          <w:trHeight w:val="440"/>
        </w:trPr>
        <w:tc>
          <w:tcPr>
            <w:tcW w:w="11790" w:type="dxa"/>
            <w:gridSpan w:val="5"/>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10</w:t>
            </w:r>
            <w:r>
              <w:rPr>
                <w:rFonts w:ascii="GHEA Grapalat" w:hAnsi="GHEA Grapalat"/>
                <w:b/>
                <w:color w:val="000000"/>
                <w:sz w:val="24"/>
                <w:szCs w:val="24"/>
                <w:highlight w:val="lightGray"/>
                <w:shd w:val="clear" w:color="auto" w:fill="FFFFFF"/>
              </w:rPr>
              <w:t>. ՀՀ արդարադատության նախարարություն</w:t>
            </w:r>
          </w:p>
        </w:tc>
        <w:tc>
          <w:tcPr>
            <w:tcW w:w="252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20.06.2024 թ.</w:t>
            </w:r>
          </w:p>
        </w:tc>
      </w:tr>
      <w:tr>
        <w:trPr>
          <w:trHeight w:val="440"/>
        </w:trPr>
        <w:tc>
          <w:tcPr>
            <w:tcW w:w="11790" w:type="dxa"/>
            <w:gridSpan w:val="5"/>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Pr>
                <w:rFonts w:ascii="GHEA Grapalat" w:hAnsi="GHEA Grapalat"/>
                <w:color w:val="000000"/>
                <w:sz w:val="24"/>
                <w:szCs w:val="24"/>
                <w:highlight w:val="lightGray"/>
                <w:shd w:val="clear" w:color="auto" w:fill="FFFFFF"/>
                <w:lang w:val="hy-AM"/>
              </w:rPr>
              <w:t>02/08.86/21575-2024</w:t>
            </w:r>
          </w:p>
        </w:tc>
      </w:tr>
      <w:tr>
        <w:trPr>
          <w:trHeight w:val="440"/>
        </w:trPr>
        <w:tc>
          <w:tcPr>
            <w:tcW w:w="9720" w:type="dxa"/>
          </w:tcPr>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1. Նախագծով նախատեսվում է Հայաստանի Հանրապետության սահմանամերձ բնակավայրերում ընտանիքների բնակարանային մատչելիության ապահովման պետական աջակցության 2022-2025 թվականների ծրագրերում շահառուների շրջանակը դարձնել առավել նպատակային և թիրախային, հնարավորություն տալով միայնակ ծնողներին՝ այրիներին, այդ թվում՝ զոհվածների ընտանիքներին, ևս օգտվել ծրագրից:</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Նկատի ունենալով, որ գործող կարգավորման համաձայն ծրագրի շահառու կարող են հանդիսանալ քաղաքացիական կացության ակտերի գրանցման մարմիններում գրանցված ամուսնության մեջ գտնվող ամուսինները, որոնցից առնվազն մեկն ունի Հայաստանի Հանրապետության քաղաքացիություն՝ հարկ ենք համարում նշել, որ, ըստ էության, Նախագծով առաջարկվող փոփոխությունների արդյունքում ծրագրից օգտվողների շրջանակը նեղանում է՝ անհամաչափ մոտեցում դրսևորվելով սույն Նախագծի ընդունումից հետո շահառու հանդիսացող անձանց նկատմամբ:</w:t>
            </w:r>
          </w:p>
          <w:p>
            <w:p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Ուստի՝ գտնում ենք, որ շահառուների շրջանակը սահմանափակելու վերաբերյալ կարգավորումները խնդրահարույց են՝ գործող կարգավորման շրջանակներում շահառու հանդիսացող այն անձանց լեգիտիմ ակնկալիքների համատեքստում, որոնք դեռևս չեն իրացրել սույն աջակցության ծրագրից օգտվելու իրենց սուբյեկտիվ իրավունքները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pPr>
              <w:rPr>
                <w:rFonts w:ascii="GHEA Grapalat" w:hAnsi="GHEA Grapalat"/>
                <w:b/>
                <w:color w:val="000000"/>
                <w:sz w:val="24"/>
                <w:szCs w:val="24"/>
                <w:shd w:val="clear" w:color="auto" w:fill="FFFFFF"/>
                <w:lang w:val="hy-AM"/>
              </w:rPr>
            </w:pPr>
            <w:r>
              <w:rPr>
                <w:rFonts w:ascii="GHEA Grapalat" w:hAnsi="GHEA Grapalat"/>
                <w:color w:val="000000" w:themeColor="text1"/>
                <w:sz w:val="24"/>
                <w:szCs w:val="24"/>
                <w:lang w:val="hy-AM"/>
              </w:rPr>
              <w:t xml:space="preserve">Փոփոխություններն ուժի մեջ են մտնելու ս.թ. օգոստոսի 1-ից, ինչը հնարավորություն կտա մինչ այդ ծրագրից օգտվելու հարցը պլանավորած, ինչպես նաև արդեն գործընկեր բանկ դիմած շահառուներին վարկավորվել գործող կարգավորումներին համապատասխան։ Սահմանափակումները բխում են ծրագրի նպատակներից և հիմնված են առկա տվյալների վերլուծության արդյունքների վրա։  </w:t>
            </w:r>
            <w:r>
              <w:rPr>
                <w:rFonts w:ascii="GHEA Grapalat" w:hAnsi="GHEA Grapalat"/>
                <w:b/>
                <w:color w:val="000000"/>
                <w:sz w:val="24"/>
                <w:szCs w:val="24"/>
                <w:shd w:val="clear" w:color="auto" w:fill="FFFFFF"/>
                <w:lang w:val="hy-AM"/>
              </w:rPr>
              <w:t xml:space="preserve"> </w:t>
            </w:r>
          </w:p>
        </w:tc>
      </w:tr>
      <w:tr>
        <w:trPr>
          <w:trHeight w:val="440"/>
        </w:trPr>
        <w:tc>
          <w:tcPr>
            <w:tcW w:w="9720" w:type="dxa"/>
          </w:tcPr>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 xml:space="preserve">2. Նախագծի մի շարք կարգավորումներով սահմանվում է, որ ծրագրից կարող է օգտվել առնվազն մեկ անչափահաս երեխա ունեցող միայնակ ծնողը՝ այրին: </w:t>
            </w:r>
          </w:p>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lastRenderedPageBreak/>
              <w:t xml:space="preserve">Այս առումով պարզ չէ, թե ինչով է պայմանավորված միայնակ ծնողի պարագայում միայն այրիին որպես ծրագրի շահառու դիտարկելը, և արդյո՞ք սույն ծրագրից չի կարող օգտվել միայնակ ծնողը: </w:t>
            </w:r>
          </w:p>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 xml:space="preserve">Միաժամանակ հարկ ենք համարում նշել, որ օրինակ՝ «Զինվորական ծառայության և զինծառայողի կարգավիճակի մասին» օրենքի 24-րդ հոդվածի 3-րդ մասով սահմանվել է «միայնակ ծնողի» հասկացությունը՝ համաձայն որի՝ «Սույն հոդվածի 1-ին մասի 1-ին կետի և սույն օրենքի 26-րդ հոդվածի 3-րդ մասի իմաստով քաղաքացին համարվում է միայնակ ծնող ունեցող, եթե` </w:t>
            </w:r>
          </w:p>
          <w:p>
            <w:pPr>
              <w:pStyle w:val="NormalWeb"/>
              <w:shd w:val="clear" w:color="auto" w:fill="FFFFFF"/>
              <w:spacing w:before="0" w:beforeAutospacing="0" w:after="0" w:afterAutospacing="0"/>
              <w:ind w:firstLine="72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1) մյուս ծնողը մահացել է կամ դատական կարգով ճանաչվել է մահացած.</w:t>
            </w:r>
          </w:p>
          <w:p>
            <w:pPr>
              <w:pStyle w:val="NormalWeb"/>
              <w:shd w:val="clear" w:color="auto" w:fill="FFFFFF"/>
              <w:spacing w:before="0" w:beforeAutospacing="0" w:after="0" w:afterAutospacing="0"/>
              <w:ind w:firstLine="72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2) մյուս ծնողն անհայտ է (օրենքով սահմանված կարգով հայրություն կամ մայրություն չի ճանաչվել) կամ դատական կարգով ճանաչվել է անհայտ բացակայող.</w:t>
            </w:r>
          </w:p>
          <w:p>
            <w:pPr>
              <w:pStyle w:val="NormalWeb"/>
              <w:shd w:val="clear" w:color="auto" w:fill="FFFFFF"/>
              <w:spacing w:before="0" w:beforeAutospacing="0" w:after="0" w:afterAutospacing="0"/>
              <w:ind w:firstLine="72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3) մինչև քաղաքացու 18 տարին լրանալն առնվազն հինգ տարի առաջ ծնողներն ամուսնալուծվել են, և ծնողները բնակվում են միմյանցից առանձին.</w:t>
            </w:r>
          </w:p>
          <w:p>
            <w:pPr>
              <w:pStyle w:val="NormalWeb"/>
              <w:shd w:val="clear" w:color="auto" w:fill="FFFFFF"/>
              <w:spacing w:before="0" w:beforeAutospacing="0" w:after="0" w:afterAutospacing="0"/>
              <w:ind w:firstLine="72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4) ծնողների ամուսնությունն օրենքով սահմանված կարգով չի գրանցվել, և ծնողները բնակվում են միմյանցից առանձին:»:</w:t>
            </w:r>
          </w:p>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Հիմք ընդունելով վերոգրյալը՝ առաջարկում ենք վերանայել սույն Նախագծի իմաստով միայնակ ծնողին՝ միայն որպես այրի դիտարկելու վերաբերյալ կարգավորումները: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pPr>
              <w:ind w:firstLine="166"/>
              <w:rPr>
                <w:rFonts w:ascii="GHEA Grapalat" w:hAnsi="GHEA Grapalat"/>
                <w:b/>
                <w:color w:val="000000"/>
                <w:sz w:val="24"/>
                <w:szCs w:val="24"/>
                <w:shd w:val="clear" w:color="auto" w:fill="FFFFFF"/>
                <w:lang w:val="hy-AM"/>
              </w:rPr>
            </w:pPr>
            <w:r>
              <w:rPr>
                <w:rFonts w:ascii="GHEA Grapalat" w:hAnsi="GHEA Grapalat"/>
                <w:color w:val="000000" w:themeColor="text1"/>
                <w:sz w:val="24"/>
                <w:szCs w:val="24"/>
                <w:lang w:val="hy-AM"/>
              </w:rPr>
              <w:t xml:space="preserve">Այս փուլում նախատեսվում է ծրագրում ներառել միայն այրիներին, </w:t>
            </w:r>
            <w:r>
              <w:rPr>
                <w:rFonts w:ascii="GHEA Grapalat" w:hAnsi="GHEA Grapalat"/>
                <w:color w:val="000000" w:themeColor="text1"/>
                <w:sz w:val="24"/>
                <w:szCs w:val="24"/>
                <w:lang w:val="hy-AM"/>
              </w:rPr>
              <w:lastRenderedPageBreak/>
              <w:t xml:space="preserve">առաջարկը լրացուցիչ կքննարկվի ծրագրի՝ առաջիկա բարեփոխումների ժամանակ </w:t>
            </w:r>
            <w:r>
              <w:rPr>
                <w:rFonts w:ascii="GHEA Grapalat" w:hAnsi="GHEA Grapalat"/>
                <w:b/>
                <w:color w:val="000000"/>
                <w:sz w:val="24"/>
                <w:szCs w:val="24"/>
                <w:shd w:val="clear" w:color="auto" w:fill="FFFFFF"/>
                <w:lang w:val="hy-AM"/>
              </w:rPr>
              <w:t xml:space="preserve"> </w:t>
            </w:r>
          </w:p>
        </w:tc>
      </w:tr>
      <w:tr>
        <w:trPr>
          <w:trHeight w:val="440"/>
        </w:trPr>
        <w:tc>
          <w:tcPr>
            <w:tcW w:w="9720" w:type="dxa"/>
          </w:tcPr>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lastRenderedPageBreak/>
              <w:t>3. Նախագծի 4-րդ կետի համաձայն՝ «Սույն որոշման 1-ին կետի 2-րդ ենթակետի գործողությունը տարածվում է նաև սույն որոշման հրապարակման օրվա դրությամբ տրամադրված հիփոթեքային վարկերի վրա, որոնց դեպքում պետական աջակցության գումարի մնացորդն ուղղվում է ծրագրի շրջանակներում կառուցված տան վերանորոգմանը՝ վերանորոգման վարկի ստացման միջոցով։»:</w:t>
            </w:r>
          </w:p>
          <w:p>
            <w:pPr>
              <w:pStyle w:val="NormalWeb"/>
              <w:shd w:val="clear" w:color="auto" w:fill="FFFFFF"/>
              <w:spacing w:before="0" w:beforeAutospacing="0" w:after="0" w:afterAutospacing="0"/>
              <w:jc w:val="both"/>
              <w:rPr>
                <w:rFonts w:ascii="GHEA Grapalat" w:hAnsi="GHEA Grapalat"/>
                <w:color w:val="000000" w:themeColor="text1"/>
                <w:lang w:val="hy-AM"/>
              </w:rPr>
            </w:pPr>
            <w:r>
              <w:rPr>
                <w:rFonts w:ascii="GHEA Grapalat" w:eastAsiaTheme="minorHAnsi" w:hAnsi="GHEA Grapalat" w:cstheme="minorBidi"/>
                <w:color w:val="000000" w:themeColor="text1"/>
                <w:lang w:val="hy-AM"/>
              </w:rPr>
              <w:t xml:space="preserve">Այս առումով անհրաժեշտ է հստակեցնել, թե սույն կետում ինչ վերանորոգման վարկի ստացման մասին է խոսքը, նկատի ունենալով, որ սույն որոշման 1-ին կետի 2-րդ ենթակետով կարգավորվում են միայն հիփոթեքային վարկի տրամադրման պայմանները: Միաժամանակ գտնում ենք, որ սույն դրույթը անհրաժեշտ է նախատեսել ոչ թե որպես անցումային՝ այլ հիմնական դրույթ՝ նկատի ունենալով վերջինիս բովանդակությունը: </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pPr>
              <w:ind w:firstLine="166"/>
              <w:rPr>
                <w:rFonts w:ascii="GHEA Grapalat" w:hAnsi="GHEA Grapalat"/>
                <w:b/>
                <w:color w:val="000000"/>
                <w:sz w:val="24"/>
                <w:szCs w:val="24"/>
                <w:shd w:val="clear" w:color="auto" w:fill="FFFFFF"/>
                <w:lang w:val="hy-AM"/>
              </w:rPr>
            </w:pPr>
            <w:r>
              <w:rPr>
                <w:rFonts w:ascii="GHEA Grapalat" w:hAnsi="GHEA Grapalat"/>
                <w:color w:val="000000" w:themeColor="text1"/>
                <w:sz w:val="24"/>
                <w:szCs w:val="24"/>
                <w:lang w:val="hy-AM"/>
              </w:rPr>
              <w:t xml:space="preserve">Խոսքը վերաբերվում է գումարի տարբերության մասով ձևակերպվող վերանորոգման վարկերին, որի համար գործելու են վարկավորման նույն պայմանները։ Քանի որ դրույթը տարածվելու է բացառապես այդ պահին արդեն վարկավորված և սահմանված պահանջներին բավարարող խիստ սահմանափակ թվով շահառուների վրա և որևէ այլ դեպքում վերանորոգման վարկի ստացման հնարավորություն չկա, </w:t>
            </w:r>
            <w:r>
              <w:rPr>
                <w:rFonts w:ascii="GHEA Grapalat" w:hAnsi="GHEA Grapalat"/>
                <w:color w:val="000000" w:themeColor="text1"/>
                <w:sz w:val="24"/>
                <w:szCs w:val="24"/>
                <w:lang w:val="hy-AM"/>
              </w:rPr>
              <w:lastRenderedPageBreak/>
              <w:t xml:space="preserve">ուստի դրույթը նախատեսվել է որպես անցումային։   </w:t>
            </w:r>
          </w:p>
        </w:tc>
      </w:tr>
      <w:tr>
        <w:trPr>
          <w:trHeight w:val="440"/>
        </w:trPr>
        <w:tc>
          <w:tcPr>
            <w:tcW w:w="12015" w:type="dxa"/>
            <w:gridSpan w:val="6"/>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11</w:t>
            </w:r>
            <w:r>
              <w:rPr>
                <w:rFonts w:ascii="GHEA Grapalat" w:hAnsi="GHEA Grapalat"/>
                <w:b/>
                <w:color w:val="000000"/>
                <w:sz w:val="24"/>
                <w:szCs w:val="24"/>
                <w:highlight w:val="lightGray"/>
                <w:shd w:val="clear" w:color="auto" w:fill="FFFFFF"/>
              </w:rPr>
              <w:t>. ՀՀ Կենտրոնական բանկ</w:t>
            </w:r>
          </w:p>
        </w:tc>
        <w:tc>
          <w:tcPr>
            <w:tcW w:w="2295" w:type="dxa"/>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19.06.2024 թ.</w:t>
            </w:r>
          </w:p>
        </w:tc>
      </w:tr>
      <w:tr>
        <w:trPr>
          <w:trHeight w:val="440"/>
        </w:trPr>
        <w:tc>
          <w:tcPr>
            <w:tcW w:w="12015" w:type="dxa"/>
            <w:gridSpan w:val="6"/>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295" w:type="dxa"/>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06.1-04/222-24</w:t>
            </w:r>
          </w:p>
        </w:tc>
      </w:tr>
      <w:tr>
        <w:trPr>
          <w:trHeight w:val="440"/>
        </w:trPr>
        <w:tc>
          <w:tcPr>
            <w:tcW w:w="9720" w:type="dxa"/>
          </w:tcPr>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Հայաստանի Հանրապետության կենտրոնական բանկը «Հայաստանի Հանրապետության կառավարության 2022 թվականի հունիսի 9-ի N 842-Լ և Հայաստանի Հանրապետության կառավարության 2022 թվականի  հոկտեմբերի 6-ի N 1562-Լ որոշումներում փոփոխություններ և լրացումներ կատարելու մասին» Հայաստանի Հանրապետության կառավարության որոշման լրամշակված նախագծի (այսուհետ՝ Նախագիծ) վերաբերյալ դիտողություններ և առաջարկություններ չունի։</w:t>
            </w:r>
          </w:p>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Միաժամանակ տեղեկացնենք նաև, որ Նախագիծը Հայաստանի Հանրապետության կենտրոնական բանկի կողմից ներկայացվել է Հայաստանի բանկերի միության կարծիքին և վերջինիս վերաբերյալ դիտարկումները ստանալուց հետո դրանք ի լրումն ևս աշխատանքային կարգով կներկայացվեն Հայաստանի Հանրապետության աշխատանքի ու սոցիալական հարցերի նախարարությանը։</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trPr>
          <w:trHeight w:val="440"/>
        </w:trPr>
        <w:tc>
          <w:tcPr>
            <w:tcW w:w="12015" w:type="dxa"/>
            <w:gridSpan w:val="6"/>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12</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նախարարություն</w:t>
            </w:r>
          </w:p>
        </w:tc>
        <w:tc>
          <w:tcPr>
            <w:tcW w:w="2295" w:type="dxa"/>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20.06.2024 թ.</w:t>
            </w:r>
          </w:p>
        </w:tc>
      </w:tr>
      <w:tr>
        <w:trPr>
          <w:trHeight w:val="440"/>
        </w:trPr>
        <w:tc>
          <w:tcPr>
            <w:tcW w:w="12015" w:type="dxa"/>
            <w:gridSpan w:val="6"/>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295" w:type="dxa"/>
            <w:shd w:val="clear" w:color="auto" w:fill="D9D9D9" w:themeFill="background1" w:themeFillShade="D9"/>
          </w:tcPr>
          <w:p>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Pr>
                <w:rFonts w:ascii="GHEA Grapalat" w:hAnsi="GHEA Grapalat"/>
                <w:color w:val="000000"/>
                <w:sz w:val="24"/>
                <w:szCs w:val="24"/>
                <w:highlight w:val="lightGray"/>
                <w:shd w:val="clear" w:color="auto" w:fill="FFFFFF"/>
                <w:lang w:val="hy-AM"/>
              </w:rPr>
              <w:t>02/08.86/21575-2024</w:t>
            </w:r>
          </w:p>
        </w:tc>
      </w:tr>
      <w:tr>
        <w:trPr>
          <w:trHeight w:val="440"/>
        </w:trPr>
        <w:tc>
          <w:tcPr>
            <w:tcW w:w="9720" w:type="dxa"/>
          </w:tcPr>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1. Նախագծով նախատեսվում է բարելավել Ծրագրի իրականացման պայմանները, հստակեցնել որոշ ձևակերպումներ և ի թիվս այլ փոփոխությունների՝ առաջարկվում է Տավուշի մարզի Բաղանիս, Բերքաբեր, Կիրանց և Ոսկեպար բնակավայրերում անհատական բնակելի տուն կառուցելու (կառուցապատումը շարունակելու) նպատակով տրամադրվող հիփոթեքային վարկերի դեպքում տրամադրել նաև 5.0 մլն դրամի հավելում, որի արդյունքում պետական աջակցության չափը հիփոթեքային վարկի մայր գումարի ամսական վճարների մարման համար կկազմի հանրագումարային մինչև 21.0 մլն դրամ՝ 16.0 մլն դրամի փոխարեն, բայց ոչ ավելի, քան ամսական 366.0 հազ</w:t>
            </w:r>
            <w:r>
              <w:rPr>
                <w:rFonts w:ascii="Cambria Math" w:eastAsiaTheme="minorHAnsi" w:hAnsi="Cambria Math" w:cs="Cambria Math"/>
                <w:color w:val="000000" w:themeColor="text1"/>
                <w:lang w:val="hy-AM"/>
              </w:rPr>
              <w:t>․</w:t>
            </w:r>
            <w:r>
              <w:rPr>
                <w:rFonts w:ascii="GHEA Grapalat" w:eastAsiaTheme="minorHAnsi" w:hAnsi="GHEA Grapalat" w:cstheme="minorBidi"/>
                <w:color w:val="000000" w:themeColor="text1"/>
                <w:lang w:val="hy-AM"/>
              </w:rPr>
              <w:t xml:space="preserve"> դրամ՝ 277.0 հազ. դրամի փոխարեն: </w:t>
            </w:r>
          </w:p>
          <w:p>
            <w:pPr>
              <w:pStyle w:val="NormalWeb"/>
              <w:shd w:val="clear" w:color="auto" w:fill="FFFFFF"/>
              <w:spacing w:before="0" w:beforeAutospacing="0" w:after="0" w:afterAutospacing="0"/>
              <w:jc w:val="both"/>
              <w:rPr>
                <w:rFonts w:ascii="GHEA Grapalat" w:eastAsiaTheme="minorHAnsi" w:hAnsi="GHEA Grapalat" w:cstheme="minorBidi"/>
                <w:color w:val="000000" w:themeColor="text1"/>
                <w:lang w:val="hy-AM"/>
              </w:rPr>
            </w:pPr>
            <w:r>
              <w:rPr>
                <w:rFonts w:ascii="GHEA Grapalat" w:eastAsiaTheme="minorHAnsi" w:hAnsi="GHEA Grapalat" w:cstheme="minorBidi"/>
                <w:color w:val="000000" w:themeColor="text1"/>
                <w:lang w:val="hy-AM"/>
              </w:rPr>
              <w:t xml:space="preserve">Նշվածի հետ կապված առաջարկում ենք ՀՀ կառավարության 09.06.2022թ. N 842-Լ որոշման հավելվածի 11-րդ կետում «բոլոր դեպքերում» բառերից հետո նախատեսել </w:t>
            </w:r>
            <w:r>
              <w:rPr>
                <w:rFonts w:ascii="GHEA Grapalat" w:eastAsiaTheme="minorHAnsi" w:hAnsi="GHEA Grapalat" w:cstheme="minorBidi"/>
                <w:color w:val="000000" w:themeColor="text1"/>
                <w:lang w:val="hy-AM"/>
              </w:rPr>
              <w:lastRenderedPageBreak/>
              <w:t>բացառություն 11.2-րդ կետի մասով՝ հաշվի առնելով, որ 11.2-րդ կետի կարգավորումներով հիփոթեքային վարկի մայր գումարի ամսական վճարների մարման համար աջակցության չափը կազմում է 21.0 մլն դրամ:</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trPr>
          <w:trHeight w:val="440"/>
        </w:trPr>
        <w:tc>
          <w:tcPr>
            <w:tcW w:w="9720" w:type="dxa"/>
          </w:tcPr>
          <w:p>
            <w:pPr>
              <w:jc w:val="both"/>
              <w:rPr>
                <w:rFonts w:ascii="GHEA Grapalat" w:hAnsi="GHEA Grapalat"/>
                <w:color w:val="000000" w:themeColor="text1"/>
                <w:sz w:val="24"/>
                <w:szCs w:val="24"/>
                <w:lang w:val="hy-AM"/>
              </w:rPr>
            </w:pPr>
            <w:r>
              <w:rPr>
                <w:rFonts w:ascii="GHEA Grapalat" w:hAnsi="GHEA Grapalat"/>
                <w:sz w:val="24"/>
                <w:szCs w:val="24"/>
                <w:lang w:val="hy-AM"/>
              </w:rPr>
              <w:t xml:space="preserve">2. Միաժամանակ, </w:t>
            </w:r>
            <w:r>
              <w:rPr>
                <w:rFonts w:ascii="GHEA Grapalat" w:hAnsi="GHEA Grapalat" w:cs="Times New Roman"/>
                <w:sz w:val="24"/>
                <w:szCs w:val="24"/>
                <w:lang w:val="hy-AM"/>
              </w:rPr>
              <w:t xml:space="preserve">առաջարկում ենք ՀՀ կառավարության 06.10.2022թ. N 1562-Լ որոշման 1-ին հավելվածի 2-րդ կետի 6-րդ ենթակետով և 2-րդ հավելվածի պայմանագրի 2-րդ կետի 5-րդ ենթակետով ներկայացվող ՝ «աջակցության գումար» սահմանման մեջ հղում կատարել նաև </w:t>
            </w:r>
            <w:r>
              <w:rPr>
                <w:rFonts w:ascii="GHEA Grapalat" w:hAnsi="GHEA Grapalat"/>
                <w:sz w:val="24"/>
                <w:szCs w:val="24"/>
                <w:lang w:val="hy-AM"/>
              </w:rPr>
              <w:t>ՀՀ կառավարության 09.06.2022թ. N 842-Լ որոշման հավելվածի 11.2-րդ կետին, քանի որ դրանով ևս սահմանվում է աջակցության չափ:</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trPr>
          <w:trHeight w:val="440"/>
        </w:trPr>
        <w:tc>
          <w:tcPr>
            <w:tcW w:w="9720" w:type="dxa"/>
          </w:tcPr>
          <w:p>
            <w:pPr>
              <w:jc w:val="both"/>
              <w:rPr>
                <w:rFonts w:ascii="GHEA Grapalat" w:hAnsi="GHEA Grapalat" w:cs="Times New Roman"/>
                <w:sz w:val="24"/>
                <w:szCs w:val="24"/>
                <w:lang w:val="hy-AM"/>
              </w:rPr>
            </w:pPr>
            <w:r>
              <w:rPr>
                <w:rFonts w:ascii="GHEA Grapalat" w:hAnsi="GHEA Grapalat" w:cs="Times New Roman"/>
                <w:sz w:val="24"/>
                <w:szCs w:val="24"/>
                <w:lang w:val="hy-AM"/>
              </w:rPr>
              <w:t>3. Նախագծով առաջարկվում է նաև Ծրագրով աջակցություն ստացող շահառուների թվաքանակը 560-ի փոխարեն սահմանել 2000 շահառու:</w:t>
            </w:r>
          </w:p>
          <w:p>
            <w:pPr>
              <w:jc w:val="both"/>
              <w:rPr>
                <w:rFonts w:ascii="GHEA Grapalat" w:hAnsi="GHEA Grapalat" w:cs="Times New Roman"/>
                <w:sz w:val="24"/>
                <w:szCs w:val="24"/>
                <w:lang w:val="hy-AM"/>
              </w:rPr>
            </w:pPr>
            <w:r>
              <w:rPr>
                <w:rFonts w:ascii="GHEA Grapalat" w:hAnsi="GHEA Grapalat" w:cs="Times New Roman"/>
                <w:sz w:val="24"/>
                <w:szCs w:val="24"/>
                <w:lang w:val="hy-AM"/>
              </w:rPr>
              <w:t xml:space="preserve">Հարկ է նշել նաև, որ կից հիմնավորմամբ բացառում է Նախագծի ընդունման դեպքում </w:t>
            </w:r>
            <w:r>
              <w:rPr>
                <w:rFonts w:ascii="GHEA Grapalat" w:hAnsi="GHEA Grapalat"/>
                <w:sz w:val="24"/>
                <w:szCs w:val="24"/>
                <w:lang w:val="hy-AM"/>
              </w:rPr>
              <w:t>պետական բյուջեում ծախսերի ավելացման հանգամանքը:</w:t>
            </w:r>
          </w:p>
          <w:p>
            <w:pPr>
              <w:jc w:val="both"/>
              <w:rPr>
                <w:rFonts w:ascii="GHEA Grapalat" w:hAnsi="GHEA Grapalat"/>
                <w:sz w:val="24"/>
                <w:szCs w:val="24"/>
                <w:lang w:val="hy-AM"/>
              </w:rPr>
            </w:pPr>
            <w:r>
              <w:rPr>
                <w:rFonts w:ascii="GHEA Grapalat" w:hAnsi="GHEA Grapalat" w:cs="Times New Roman"/>
                <w:sz w:val="24"/>
                <w:szCs w:val="24"/>
                <w:lang w:val="hy-AM"/>
              </w:rPr>
              <w:t xml:space="preserve">Այս կապակցությամբ հայտնում ենք, որ </w:t>
            </w:r>
            <w:r>
              <w:rPr>
                <w:rFonts w:ascii="GHEA Grapalat" w:hAnsi="GHEA Grapalat"/>
                <w:sz w:val="24"/>
                <w:szCs w:val="24"/>
                <w:lang w:val="hy-AM"/>
              </w:rPr>
              <w:t>մայր գումարի</w:t>
            </w:r>
            <w:r>
              <w:rPr>
                <w:rFonts w:ascii="GHEA Grapalat" w:hAnsi="GHEA Grapalat" w:cs="Times New Roman"/>
                <w:sz w:val="24"/>
                <w:szCs w:val="24"/>
                <w:lang w:val="hy-AM"/>
              </w:rPr>
              <w:t xml:space="preserve"> գծով հավելում նախատեսելուց Նախագծով չի դիտարկվել ամսական </w:t>
            </w:r>
            <w:r>
              <w:rPr>
                <w:rFonts w:ascii="GHEA Grapalat" w:hAnsi="GHEA Grapalat"/>
                <w:sz w:val="24"/>
                <w:szCs w:val="24"/>
                <w:lang w:val="hy-AM"/>
              </w:rPr>
              <w:t>տոկոսագումարների մարման համար աջակցության հանրագումարային ծավալների փոփոխություն, ինչպես նաև առավելագույն ամսական չափի սահմանումը, ինչը Նախագծի ընդունման պարագայում, ակնհայտ է, որ կավելանա:</w:t>
            </w:r>
          </w:p>
          <w:p>
            <w:pPr>
              <w:jc w:val="both"/>
              <w:rPr>
                <w:rFonts w:ascii="GHEA Grapalat" w:hAnsi="GHEA Grapalat"/>
                <w:sz w:val="24"/>
                <w:szCs w:val="24"/>
                <w:lang w:val="hy-AM"/>
              </w:rPr>
            </w:pPr>
            <w:r>
              <w:rPr>
                <w:rFonts w:ascii="GHEA Grapalat" w:hAnsi="GHEA Grapalat"/>
                <w:sz w:val="24"/>
                <w:szCs w:val="24"/>
                <w:lang w:val="hy-AM"/>
              </w:rPr>
              <w:t>Հարկ է նշել, որ ներկայումս 2025-2027թթ. ՄԺԾԾ հայտերում ՀՀ աշխատանքի և սոցիալական հարցերի նախարարության կողմից ներկայացվել է Ծրագրի 540 շահառուի ֆինանսավորման հայտ, ինչը նախատեսված է նաև 2024թ-ի պետական բյուջեով: Ընդ որում, նույն քանակի շահառուների հաշվարկով 2025թ-ի համար ներկայացվել է 1,548.1 մլն դրամի ֆինանսավորման հայտ, որն ընդունվել է, սակայն ներկայումս ներկայացված Նախագծով Ծրագրի շրջանակներում նախատեսվում է աջակցություն տրամադրել 2000 շահառուի:</w:t>
            </w:r>
          </w:p>
          <w:p>
            <w:pPr>
              <w:jc w:val="both"/>
              <w:rPr>
                <w:rFonts w:ascii="GHEA Grapalat" w:hAnsi="GHEA Grapalat"/>
                <w:sz w:val="24"/>
                <w:szCs w:val="24"/>
                <w:lang w:val="hy-AM"/>
              </w:rPr>
            </w:pPr>
            <w:r>
              <w:rPr>
                <w:rFonts w:ascii="GHEA Grapalat" w:hAnsi="GHEA Grapalat"/>
                <w:sz w:val="24"/>
                <w:szCs w:val="24"/>
                <w:lang w:val="hy-AM"/>
              </w:rPr>
              <w:t>Այստեղ հատկանշական է, որ եթե Նախագծով առաջարկվող փոփոխությունների հետևանքով ծրագիրը լավարկվի և արդյունքում 2025թ-ի պետական բյուջեով նախատեսված բոլոր շահառուներին տրամադրվի աջակցություն, ապա կունենանք նախատեսված ֆինանսական միջոցների անբավարարություն՝ հետևյալ կերպ.</w:t>
            </w:r>
          </w:p>
          <w:p>
            <w:pPr>
              <w:jc w:val="both"/>
              <w:rPr>
                <w:rFonts w:ascii="GHEA Grapalat" w:hAnsi="GHEA Grapalat"/>
                <w:sz w:val="24"/>
                <w:szCs w:val="24"/>
                <w:lang w:val="hy-AM"/>
              </w:rPr>
            </w:pPr>
            <w:r>
              <w:rPr>
                <w:rFonts w:ascii="GHEA Grapalat" w:hAnsi="GHEA Grapalat"/>
                <w:sz w:val="24"/>
                <w:szCs w:val="24"/>
                <w:lang w:val="hy-AM"/>
              </w:rPr>
              <w:lastRenderedPageBreak/>
              <w:t>Ծրագրի 11-րդ կետով սահմանվել է աջակցության չափը, որը կազմում է հիփոթեքային վարկով անհատական բնակելի տուն կառուցելու (կառուցապատումը շարունակելու) դեպքում հիփոթեքային վարկի մայր գումարի ամսական վճարների մարման համար՝ հանրագումարային մինչև 16.0 մլն դրամ, իսկ տոկոսագումարների մարման համար՝ մինչև 13%, հանրագումարային մինչև 12.7 մլն դրամ։</w:t>
            </w:r>
          </w:p>
          <w:p>
            <w:pPr>
              <w:jc w:val="both"/>
              <w:rPr>
                <w:rFonts w:ascii="GHEA Grapalat" w:hAnsi="GHEA Grapalat"/>
                <w:sz w:val="24"/>
                <w:szCs w:val="24"/>
                <w:lang w:val="hy-AM"/>
              </w:rPr>
            </w:pPr>
            <w:r>
              <w:rPr>
                <w:rFonts w:ascii="GHEA Grapalat" w:hAnsi="GHEA Grapalat"/>
                <w:sz w:val="24"/>
                <w:szCs w:val="24"/>
                <w:lang w:val="hy-AM"/>
              </w:rPr>
              <w:t>Այսինքն, մեկ շահառուի հաշվարկով տրամադրվող աջակցության առավելագույն չափը 10 տարվա կտրվածքով կկազմի 28.7 մլն դրամ, իսկ մեկ տարվա հաշվարկով՝ 2.9 մլն դրամ: Արդյունքում, եթե 2025թ-ի պետական բյուջեով նախատեսված բոլոր 2000 շահառուներին տրամադրվի աջակցություն, ապա տարվա կտրվածքով մայր գումարի և տոկոսագումարի գծով պետական աջակցության անհրաժեշտ գումարը կկազմի 5,800.0 մլն դրամ՝ այն դեպքում, երբ նախատեսված է ընդամենը 1,548.1 մլն դրամ:</w:t>
            </w:r>
          </w:p>
          <w:p>
            <w:pPr>
              <w:jc w:val="both"/>
              <w:rPr>
                <w:rFonts w:ascii="GHEA Grapalat" w:hAnsi="GHEA Grapalat"/>
                <w:sz w:val="24"/>
                <w:szCs w:val="24"/>
                <w:lang w:val="hy-AM"/>
              </w:rPr>
            </w:pPr>
            <w:r>
              <w:rPr>
                <w:rFonts w:ascii="GHEA Grapalat" w:hAnsi="GHEA Grapalat"/>
                <w:sz w:val="24"/>
                <w:szCs w:val="24"/>
                <w:lang w:val="hy-AM"/>
              </w:rPr>
              <w:t>Այս կապակցությամբ հայտնում ենք, որ Նախագծով առաջարկվող փոփոխու</w:t>
            </w:r>
            <w:r>
              <w:rPr>
                <w:rFonts w:ascii="GHEA Grapalat" w:hAnsi="GHEA Grapalat"/>
                <w:sz w:val="24"/>
                <w:szCs w:val="24"/>
                <w:lang w:val="hy-AM"/>
              </w:rPr>
              <w:softHyphen/>
              <w:t>թյուն</w:t>
            </w:r>
            <w:r>
              <w:rPr>
                <w:rFonts w:ascii="GHEA Grapalat" w:hAnsi="GHEA Grapalat"/>
                <w:sz w:val="24"/>
                <w:szCs w:val="24"/>
                <w:lang w:val="hy-AM"/>
              </w:rPr>
              <w:softHyphen/>
              <w:t>ների ընդունման դեպքում շահառու խմբերի ընդլայնմամբ, ինչպես նաև աջակցության ծավալների ավելացմամբ պայմանավորված՝ ակնհայտ է ֆինանսական միջոցների ավելացման անհրաժեշտությունը, որը, սակայն, Նախագծի հիմնավորմամբ բացառվում է:</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pPr>
              <w:rPr>
                <w:rFonts w:ascii="GHEA Grapalat" w:hAnsi="GHEA Grapalat" w:cs="Times New Roman"/>
                <w:sz w:val="24"/>
                <w:szCs w:val="24"/>
                <w:lang w:val="hy-AM"/>
              </w:rPr>
            </w:pPr>
            <w:r>
              <w:rPr>
                <w:rFonts w:ascii="GHEA Grapalat" w:hAnsi="GHEA Grapalat" w:cs="Times New Roman"/>
                <w:sz w:val="24"/>
                <w:szCs w:val="24"/>
                <w:lang w:val="hy-AM"/>
              </w:rPr>
              <w:t xml:space="preserve">Նախագծով ներկայացված 4 բնակավայրերում աջակցության չափի ավելացման վերաբերյալ առաջարկը հիմնված է համապատասխան հանձնարարականի վրա։ </w:t>
            </w:r>
          </w:p>
          <w:p>
            <w:pPr>
              <w:rPr>
                <w:rFonts w:ascii="GHEA Grapalat" w:hAnsi="GHEA Grapalat"/>
                <w:b/>
                <w:color w:val="000000"/>
                <w:sz w:val="24"/>
                <w:szCs w:val="24"/>
                <w:shd w:val="clear" w:color="auto" w:fill="FFFFFF"/>
                <w:lang w:val="hy-AM"/>
              </w:rPr>
            </w:pPr>
            <w:r>
              <w:rPr>
                <w:rFonts w:ascii="GHEA Grapalat" w:hAnsi="GHEA Grapalat" w:cs="Times New Roman"/>
                <w:sz w:val="24"/>
                <w:szCs w:val="24"/>
                <w:lang w:val="hy-AM"/>
              </w:rPr>
              <w:t xml:space="preserve">Ինչ վերաբերվում է շահառուների թվի առավելագույն շեմի, ինչպես նաև շահառուների շրջանակի սահմանափակմանը, այն պայմանավորված է վերջին շրջանում դիմումների կտրուկ ավեկացմամբ, որով գերազանցվել են բոլոր կանխատեսումները, հետևաբար անհրաժեշտություն է առաջացել վերանայել ծրագրի պայմանները, քանի որ գործող իրավակարգավորմամբ շահառուների թվի առավելագույն շեմ սահմանված չէ։ 2025-2027թթ. ՄԺԾԾ հայտերում ներկայացված շահառուների թիվը՝ 540 </w:t>
            </w:r>
            <w:r>
              <w:rPr>
                <w:rFonts w:ascii="GHEA Grapalat" w:hAnsi="GHEA Grapalat" w:cs="Times New Roman"/>
                <w:sz w:val="24"/>
                <w:szCs w:val="24"/>
                <w:lang w:val="hy-AM"/>
              </w:rPr>
              <w:lastRenderedPageBreak/>
              <w:t>շահառու, ներկայացվել է կանխատեսումների հիման վրա, սակայն գործնականում, հատկապես վերջին ամիսներին դիմելիության տեմպերը հանգեցնելու են ՄԺԾԾ հայտերի փոփոխության անհրաժեշտության, ինչի մասով լրացուցիչ քննարկումները կիրականացվեն առաջիկայում։</w:t>
            </w:r>
          </w:p>
        </w:tc>
      </w:tr>
      <w:tr>
        <w:trPr>
          <w:trHeight w:val="440"/>
        </w:trPr>
        <w:tc>
          <w:tcPr>
            <w:tcW w:w="9720" w:type="dxa"/>
          </w:tcPr>
          <w:p>
            <w:pPr>
              <w:jc w:val="both"/>
              <w:rPr>
                <w:rFonts w:ascii="GHEA Grapalat" w:hAnsi="GHEA Grapalat"/>
                <w:sz w:val="24"/>
                <w:szCs w:val="24"/>
                <w:lang w:val="hy-AM"/>
              </w:rPr>
            </w:pPr>
            <w:r>
              <w:rPr>
                <w:rFonts w:ascii="GHEA Grapalat" w:hAnsi="GHEA Grapalat"/>
                <w:sz w:val="24"/>
                <w:szCs w:val="24"/>
                <w:lang w:val="hy-AM"/>
              </w:rPr>
              <w:lastRenderedPageBreak/>
              <w:t xml:space="preserve">4. ՀՀ </w:t>
            </w:r>
            <w:r>
              <w:rPr>
                <w:rFonts w:ascii="GHEA Grapalat" w:hAnsi="GHEA Grapalat" w:cs="Times New Roman"/>
                <w:sz w:val="24"/>
                <w:szCs w:val="24"/>
                <w:lang w:val="hy-AM"/>
              </w:rPr>
              <w:t>կառավարության 06.10.2022թ. N 1562-Լ</w:t>
            </w:r>
            <w:r>
              <w:rPr>
                <w:rFonts w:ascii="GHEA Grapalat" w:hAnsi="GHEA Grapalat"/>
                <w:sz w:val="24"/>
                <w:szCs w:val="24"/>
                <w:lang w:val="hy-AM"/>
              </w:rPr>
              <w:t xml:space="preserve"> որոշման մեջ կատարվող փոփոխություններով առաջարկվում է ուժը կորցրած ճանաչել որոշման 1-ին հավելվածի 10-րդ կետը, որով սահմանվում է, որ եթե վարկի ֆինանսավորման 1-ին փուլի ավարտից հետո գործընկեր կազմակերպության կողմից տրված՝ նախորդ փուլով տրամադրված վարկի գումարի նպատակային օգտագործման մասին տեղեկատվության համաձայն՝ առկա են վարկավորման նախորդ փուլում վարկային միջոցների ոչ նպատակային օգտագործման մասին տեղեկություններ, ապա ՀՀ աշխատանքի և սոցիալական հարցերի նախարարության միասնական սոցիալական ծառայությունը դադարեցնում է ժամանակացույցով նախատեսված հաջորդող ամիսների աջակցության գումարները, իսկ փոխանցումները վերականգնվում են գործընկեր կազմակերպության կողմից վարկավորման նախորդ փուլում վարկային միջոցների նպատակային օգտագործման մասին հավաստում ստանալուց հետո։ Արդյո՞ք նշված կետը թողնելը նպատահարմար չէ՝ հաշվի առնելով, որ ՀՀ կառավարության 09.06.2022թ. N 842-Լ որոշման հավելվածի 12-րդ կետի 5-րդ </w:t>
            </w:r>
            <w:r>
              <w:rPr>
                <w:rFonts w:ascii="GHEA Grapalat" w:hAnsi="GHEA Grapalat"/>
                <w:sz w:val="24"/>
                <w:szCs w:val="24"/>
                <w:lang w:val="hy-AM"/>
              </w:rPr>
              <w:lastRenderedPageBreak/>
              <w:t>ենթակետով նշվում է, որ «2-րդ և 3-րդ փուլերով վարկի տրամադրման համար հիմք է հանդիսանում նախորդ փուլում տրամադրված վարկի գումարի նպատակային օգտագործումը»:</w:t>
            </w:r>
          </w:p>
          <w:p>
            <w:pPr>
              <w:jc w:val="both"/>
              <w:rPr>
                <w:rFonts w:ascii="GHEA Grapalat" w:hAnsi="GHEA Grapalat" w:cs="Sylfaen"/>
                <w:sz w:val="24"/>
                <w:szCs w:val="24"/>
                <w:lang w:val="af-ZA"/>
              </w:rPr>
            </w:pPr>
            <w:r>
              <w:rPr>
                <w:rFonts w:ascii="GHEA Grapalat" w:hAnsi="GHEA Grapalat" w:cs="Sylfaen"/>
                <w:sz w:val="24"/>
                <w:szCs w:val="24"/>
                <w:lang w:val="hy-AM"/>
              </w:rPr>
              <w:t xml:space="preserve">Հաշվի առնելով վերոգրյալը՝ հայտնում ենք, որ </w:t>
            </w:r>
            <w:r>
              <w:rPr>
                <w:rFonts w:ascii="GHEA Grapalat" w:hAnsi="GHEA Grapalat"/>
                <w:sz w:val="24"/>
                <w:szCs w:val="24"/>
                <w:lang w:val="hy-AM"/>
              </w:rPr>
              <w:t>Ն</w:t>
            </w:r>
            <w:r>
              <w:rPr>
                <w:rFonts w:ascii="GHEA Grapalat" w:hAnsi="GHEA Grapalat" w:cs="Sylfaen"/>
                <w:sz w:val="24"/>
                <w:szCs w:val="24"/>
                <w:lang w:val="hy-AM"/>
              </w:rPr>
              <w:t>ախագծի</w:t>
            </w:r>
            <w:r>
              <w:rPr>
                <w:rFonts w:ascii="GHEA Grapalat" w:hAnsi="GHEA Grapalat" w:cs="Sylfaen"/>
                <w:sz w:val="24"/>
                <w:szCs w:val="24"/>
                <w:lang w:val="af-ZA"/>
              </w:rPr>
              <w:t xml:space="preserve"> </w:t>
            </w:r>
            <w:r>
              <w:rPr>
                <w:rFonts w:ascii="GHEA Grapalat" w:hAnsi="GHEA Grapalat"/>
                <w:bCs/>
                <w:noProof/>
                <w:sz w:val="24"/>
                <w:szCs w:val="24"/>
                <w:lang w:val="hy-AM"/>
              </w:rPr>
              <w:t>վերաբերյալ վերջնական դիրքորոշում կարող ենք հայտնել վերը թվարկված դիտարկումների և հարցադրումների մասով համապատասխան պարզաբանումներ ստանալուց հետո</w:t>
            </w:r>
            <w:r>
              <w:rPr>
                <w:rFonts w:ascii="GHEA Grapalat" w:hAnsi="GHEA Grapalat" w:cs="Sylfaen"/>
                <w:sz w:val="24"/>
                <w:szCs w:val="24"/>
                <w:lang w:val="af-ZA"/>
              </w:rPr>
              <w:t>:</w:t>
            </w:r>
          </w:p>
          <w:p>
            <w:pPr>
              <w:jc w:val="both"/>
              <w:rPr>
                <w:rFonts w:ascii="GHEA Grapalat" w:hAnsi="GHEA Grapalat" w:cs="Times New Roman"/>
                <w:sz w:val="24"/>
                <w:szCs w:val="24"/>
                <w:lang w:val="hy-AM"/>
              </w:rPr>
            </w:pPr>
            <w:r>
              <w:rPr>
                <w:rFonts w:ascii="GHEA Grapalat" w:hAnsi="GHEA Grapalat" w:cs="Sylfaen"/>
                <w:sz w:val="24"/>
                <w:szCs w:val="24"/>
                <w:lang w:val="hy-AM"/>
              </w:rPr>
              <w:t>Միաժամանակ, հաշվի առնելով 2024 թվականի և 2025-2027թթ ՄԺԾԾ հարկաբյուջետային սահմանափակումները, առաջարկում ենք ձեռնպահ մնալ հավելյալ ծախսային պարտավորություններ առաջացնող նախագծերի շրջանառումից, կամ դրա անհրաժեշտության պարագայում ներկայացնել առաջարկություններ նույն չափով այլ՝ ոչ առաջնահերթ կամ ոչ արդյունավետ բյուջետային ծախսեր կրճատելու վերաբերյալ:</w:t>
            </w:r>
          </w:p>
        </w:tc>
        <w:tc>
          <w:tcPr>
            <w:tcW w:w="4590" w:type="dxa"/>
            <w:gridSpan w:val="6"/>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Չի ընդունվել </w:t>
            </w:r>
          </w:p>
          <w:p>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Որոշման 1-ին հավելվածի 10-րդ կետը ուժը կորցրած ճանաչելու անհրաժեշտությունը </w:t>
            </w:r>
            <w:r>
              <w:rPr>
                <w:rFonts w:ascii="GHEA Grapalat" w:hAnsi="GHEA Grapalat" w:cs="Sylfaen"/>
                <w:sz w:val="24"/>
                <w:szCs w:val="24"/>
                <w:lang w:val="hy-AM"/>
              </w:rPr>
              <w:t xml:space="preserve">բխում է նախորդիվ իրականացված փոփոխություններից, ըստ որոնց ուժը կորցրած էին ճանաչվել 842-Լ որոշման հավելվածի 13-րդ կետի 3-րդ և 4-րդ ենթակետերը, ինչը հնարավորություն է տալիս գործընկեր ֆինանսական կազմակերպություններին վարկավորումն իրականացնել առանց լրացուցիչ գրավի պահանջի։ Փոխարենը, 842-Լ որոշման </w:t>
            </w:r>
            <w:r>
              <w:rPr>
                <w:rFonts w:ascii="GHEA Grapalat" w:hAnsi="GHEA Grapalat" w:cs="Sylfaen"/>
                <w:sz w:val="24"/>
                <w:szCs w:val="24"/>
                <w:lang w:val="hy-AM"/>
              </w:rPr>
              <w:lastRenderedPageBreak/>
              <w:t xml:space="preserve">հավելվածի 13.1-ին կետով սահմանվել են գործընկեր կազմակերպության կողմից փաստացի տրամադրված գումարները շահառուի կողմից փոխհամաձայնեցված եղանակով կամ դատական կարգով պետությանը վերադարձման դեպքերը։ </w:t>
            </w:r>
          </w:p>
        </w:tc>
      </w:tr>
    </w:tbl>
    <w:p>
      <w:pPr>
        <w:spacing w:line="240" w:lineRule="auto"/>
        <w:rPr>
          <w:sz w:val="24"/>
          <w:szCs w:val="24"/>
          <w:lang w:val="hy-AM"/>
        </w:rPr>
      </w:pPr>
    </w:p>
    <w:sectPr>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E460BE0"/>
    <w:multiLevelType w:val="hybridMultilevel"/>
    <w:tmpl w:val="F5BE2BA6"/>
    <w:lvl w:ilvl="0" w:tplc="639E447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
  </w:num>
  <w:num w:numId="3">
    <w:abstractNumId w:val="10"/>
  </w:num>
  <w:num w:numId="4">
    <w:abstractNumId w:val="8"/>
  </w:num>
  <w:num w:numId="5">
    <w:abstractNumId w:val="5"/>
  </w:num>
  <w:num w:numId="6">
    <w:abstractNumId w:val="6"/>
  </w:num>
  <w:num w:numId="7">
    <w:abstractNumId w:val="4"/>
  </w:num>
  <w:num w:numId="8">
    <w:abstractNumId w:val="11"/>
  </w:num>
  <w:num w:numId="9">
    <w:abstractNumId w:val="13"/>
  </w:num>
  <w:num w:numId="10">
    <w:abstractNumId w:val="0"/>
  </w:num>
  <w:num w:numId="11">
    <w:abstractNumId w:val="12"/>
  </w:num>
  <w:num w:numId="12">
    <w:abstractNumId w:val="9"/>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pPr>
      <w:spacing w:line="240" w:lineRule="exact"/>
    </w:pPr>
    <w:rPr>
      <w:rFonts w:ascii="Arial" w:eastAsia="Times New Roman" w:hAnsi="Arial" w:cs="Arial"/>
      <w:sz w:val="20"/>
      <w:szCs w:val="20"/>
      <w:lang w:val="en-GB"/>
    </w:rPr>
  </w:style>
  <w:style w:type="character" w:customStyle="1" w:styleId="BodyTextChar">
    <w:name w:val="Body Text Char"/>
    <w:link w:val="BodyText"/>
    <w:rPr>
      <w:rFonts w:ascii="Arial" w:eastAsia="Arial" w:hAnsi="Arial" w:cs="Arial"/>
      <w:shd w:val="clear" w:color="auto" w:fill="FFFFFF"/>
    </w:rPr>
  </w:style>
  <w:style w:type="paragraph" w:styleId="BodyText">
    <w:name w:val="Body Text"/>
    <w:basedOn w:val="Normal"/>
    <w:link w:val="BodyTextChar"/>
    <w:qFormat/>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86243078">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981035877">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77181423">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3233</TotalTime>
  <Pages>15</Pages>
  <Words>3638</Words>
  <Characters>26148</Characters>
  <Application>Microsoft Office Word</Application>
  <DocSecurity>0</DocSecurity>
  <Lines>661</Lines>
  <Paragraphs>150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https://mul2-mss.gov.am/tasks/1829664/oneclick/Ampopatert-15.docx?token=e67e389ed34ef35e559835eb7da49656</cp:keywords>
  <dc:description/>
  <cp:lastModifiedBy>Davit Khachatryan</cp:lastModifiedBy>
  <cp:revision>169</cp:revision>
  <dcterms:created xsi:type="dcterms:W3CDTF">2020-11-20T05:26:00Z</dcterms:created>
  <dcterms:modified xsi:type="dcterms:W3CDTF">2024-06-21T07:45:00Z</dcterms:modified>
</cp:coreProperties>
</file>