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D71" w:rsidRDefault="00024375">
      <w:pPr>
        <w:pStyle w:val="headingtitleStyle"/>
      </w:pPr>
      <w:bookmarkStart w:id="0" w:name="_Toc1"/>
      <w:bookmarkStart w:id="1" w:name="_GoBack"/>
      <w:bookmarkEnd w:id="1"/>
      <w:r>
        <w:t>Ամփոփաթերթ</w:t>
      </w:r>
      <w:bookmarkEnd w:id="0"/>
    </w:p>
    <w:p w:rsidR="00D36D71" w:rsidRDefault="00024375" w:rsidP="00E85A4B">
      <w:pPr>
        <w:pStyle w:val="headingtitleStyle"/>
      </w:pPr>
      <w:bookmarkStart w:id="2" w:name="_Toc2"/>
      <w:r>
        <w:t>ՀԱՇՄԱՆԴԱՄՈՒԹՅՈՒՆ ՈՒՆԵՑՈՂ ԱՆՁԱՆՑ ԱՋԱԿՑՈՂ ՄԻՋՈՑՆԵՐ ՏՐԱՄԱԴՐԵԼՈՒ ԵՎ ԴՐԱՆՑ ՎԵՐԱՆՈՐՈԳՈՒՄՆ ԻՐԱԿԱՆԱՑՆԵԼՈՒ ԿԱՐԳԸ ԵՎ ՊԱՅՄԱՆՆԵՐԸ, ԱՋԱԿՑՈՂ ՄԻՋՈՑՆԵՐԻ ՑԱՆԿԸ, ՊԵՏԱԿԱՆ ՀԱՎԱՍՏԱԳՐԵՐԻ ԵՎ ԴՐԱՆՑ ՀԻՄԱՆ ՎՐԱ ՏՐԱՄԱԴՐՎՈՂ ԱՋԱԿՑՈՂ ՄԻՋՈՑՆԵՐԻ ՎԵՐԱՆՈՐՈԳՄԱՆ ՓՈԽՀԱՏՈՒՑՄԱՆ ԳՈՒՄԱՐԻ ՉԱՓԸ՝ ԱՌԱՆՑ ՊԵՏԱԿԱՆ ՀԱՎԱՍՏԱԳՐԵՐԻ ՏՐԱՄԱԴՐՎՈՂ ԱՋԱԿՑՈՂ ՄԻՋՈՑՆԵՐԻ ԵՎ ԴՐԱՆՑ ՎԵՐԱՆՈՐՈԳՄԱՆ ՓՈԽՀԱՏՈՒՑՄԱՆ ԳՈՒՄԱՐԻ ՉԱՓԸ ՀԱՍՏԱՏԵԼՈՒ ՄԱՍԻՆ  ՀՀ ԿԱՌԱՎԱՐՈՒԹՅԱՆ ՈՐՈՇՄԱՆ</w:t>
      </w:r>
      <w:r w:rsidR="00E85A4B">
        <w:t xml:space="preserve"> </w:t>
      </w:r>
      <w:r>
        <w:t>նախագծի վերաբերյալ</w:t>
      </w:r>
      <w:bookmarkEnd w:id="2"/>
    </w:p>
    <w:tbl>
      <w:tblPr>
        <w:tblW w:w="0" w:type="auto"/>
        <w:tblInd w:w="10" w:type="dxa"/>
        <w:tblCellMar>
          <w:left w:w="10" w:type="dxa"/>
          <w:right w:w="10" w:type="dxa"/>
        </w:tblCellMar>
        <w:tblLook w:val="0000" w:firstRow="0" w:lastRow="0" w:firstColumn="0" w:lastColumn="0" w:noHBand="0" w:noVBand="0"/>
      </w:tblPr>
      <w:tblGrid>
        <w:gridCol w:w="464"/>
        <w:gridCol w:w="2227"/>
        <w:gridCol w:w="4814"/>
        <w:gridCol w:w="3672"/>
        <w:gridCol w:w="2768"/>
      </w:tblGrid>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w:t>
            </w:r>
          </w:p>
          <w:p w:rsidR="00D36D71" w:rsidRDefault="00024375">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Կատարված փոփոխությունը</w:t>
            </w:r>
          </w:p>
        </w:tc>
      </w:tr>
      <w:tr w:rsidR="00D36D71">
        <w:tc>
          <w:tcPr>
            <w:tcW w:w="500" w:type="dxa"/>
            <w:tcBorders>
              <w:top w:val="single" w:sz="1" w:space="0" w:color="000000"/>
              <w:left w:val="single" w:sz="1" w:space="0" w:color="000000"/>
              <w:bottom w:val="single" w:sz="1" w:space="0" w:color="000000"/>
              <w:right w:val="single" w:sz="1" w:space="0" w:color="000000"/>
            </w:tcBorders>
            <w:vAlign w:val="center"/>
          </w:tcPr>
          <w:p w:rsidR="00D36D71" w:rsidRDefault="00D36D71">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D36D71" w:rsidRDefault="00024375">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D36D71" w:rsidRDefault="00024375">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D36D71" w:rsidRDefault="00024375">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D36D71" w:rsidRDefault="00024375">
            <w:pPr>
              <w:jc w:val="center"/>
            </w:pPr>
            <w:r>
              <w:rPr>
                <w:rFonts w:ascii="GHEA Grapalat" w:eastAsia="GHEA Grapalat" w:hAnsi="GHEA Grapalat" w:cs="GHEA Grapalat"/>
                <w:color w:val="000000"/>
                <w:sz w:val="22"/>
                <w:szCs w:val="22"/>
              </w:rPr>
              <w:t>4</w:t>
            </w: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Ցանկից անհրաժեշտ է հեռացնել այն ապրանքները, որոնք չեն համապատասխանում «Հաշմանդամություն ունեցող անձանց իրավունքների մասին» ՀՀ օրենքի 3-րդ հոդվածի 1-ին մասի 7-րդ կետի սահմանմանը, այդ թվում՝ բժշկական միջամտության փոխպատվաստվող լինելու հիմքով։</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 Հստակեցված չէ, թե որ ապրանքների մասին է։ Այդպիսիք ցանկում առկա չեն։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Հաշվի առնելով «Տնտեսական մրցակցության պաշտպանության մասին» ՀՀ օրենքի պահանջները՝ անհրաժեշտ է հավելված 2-ում՝ աղյուսակում, խուսափել որևէ ընկերության կողմից տրամադրվող աջակցող միջոցի «բրենդային» անվանումն օգտագործելուց։ Ուստի, առաջարկում ենք «Քայլաբեր» բառը փոխարինել տվյալ աջակցող միջոցի անվանումով։</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Առաջարկն ընդունվել է։ «Քայլաբեր» բառը փոխարինվել է «քայլքի իմիտատոր» բառերով։</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Առաջարկում ենք սահմանել որակավորված կազմակերպությունների կողմից պայմանագրային պարտավորությունները կատարելու մշտադիտարկման և վերահսկողության գործուն մեխանիզմներ, այդ թվում՝ նրանց վերաբերյալ բողոքներ քննելու կարգը։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ՀՀ աշխատանքի և սոցիալական հարցերի նախարարի 2023 </w:t>
            </w:r>
            <w:proofErr w:type="gramStart"/>
            <w:r>
              <w:rPr>
                <w:rFonts w:ascii="GHEA Grapalat" w:eastAsia="GHEA Grapalat" w:hAnsi="GHEA Grapalat" w:cs="GHEA Grapalat"/>
                <w:color w:val="000000"/>
                <w:sz w:val="22"/>
                <w:szCs w:val="22"/>
              </w:rPr>
              <w:t>թվականի  նոյեմբերի</w:t>
            </w:r>
            <w:proofErr w:type="gramEnd"/>
            <w:r>
              <w:rPr>
                <w:rFonts w:ascii="GHEA Grapalat" w:eastAsia="GHEA Grapalat" w:hAnsi="GHEA Grapalat" w:cs="GHEA Grapalat"/>
                <w:color w:val="000000"/>
                <w:sz w:val="22"/>
                <w:szCs w:val="22"/>
              </w:rPr>
              <w:t xml:space="preserve">  16-ի N 170-Ա/1 հրամանի համաձայն, նախարարությունն իրավունք ունի ցանկացած ժամանակ ստուգել ծառայությունների մատուցման ընթացքը և աջակցող միջոցի որակը և այլն։ Միաժամանակ, նախարարությունն իր տարեկան ծրագրերով իրականացնում է  նախարարության կողմից մատուցվող և համակարգվող ծառայությունների մշտադիտարկում։</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ժամանակավոր օգտագործման համար աջակցող միջոց տրամադրվում է անձի բնակության վայրի առաջնային բժշկական օգնությունը և սպասարկումն իրականացնող կամ մասնագիտացված բժշկական կազմակերպության կողմից տրված մասնագիտական եզրակացության հիման վրա: Առաջարկում ենք հստակեցնել, թե որ դեպքերում և ինչ ընթացակարգով է կազմակերպվելու գործընթացը։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Առաջարկն ընդունվել է։ Համապատասխան բաժինը լրացվել է նոր կետով (67-րդ)։</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Նախագծով անհրաժեշտ է սահմանել աջակցող միջոցը վերանորոգման հանձնելու պարագայում ժամանակավոր աջակցող միջոց օգտագործելու պայմանները: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 Նախագծով սահմանված է ժամանակավոր օգտագործման համար աջակցող միջոցի տրամադրման պայմանները։</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Առաջարկում ենք նախագծով սահմանել հնարավորություն, որի համաձայն տեղական ինքնակառավարման մարմինը կարող է տրամադրել լրավճարներ կամ սուբսիդիաներ այնպիսի աջակցող միջոցների տրամադրման համար, որոնք ներառված չեն ցանկում, սակայն անհրաժեշտ կարող են լինել հաշմանդամություն ունեցող անձի անկախ կյանքի իրավունքն ապահովելու համար: Այս կարգավորումը նաև կարող է կիրառելի լինել </w:t>
            </w:r>
            <w:r>
              <w:rPr>
                <w:rFonts w:ascii="GHEA Grapalat" w:eastAsia="GHEA Grapalat" w:hAnsi="GHEA Grapalat" w:cs="GHEA Grapalat"/>
                <w:color w:val="000000"/>
                <w:sz w:val="22"/>
                <w:szCs w:val="22"/>
              </w:rPr>
              <w:lastRenderedPageBreak/>
              <w:t>այն քաղաքացիների համար, որոնք հայտնվել են կյանքի դժվարին իրավիճակում, այդ թվում՝ սոցիալապես անապահով են։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Առաջարկը   չի ընդունվել։ Ցանկում չներառված պարագաները սուբսիդիաներով կամ հավելավճարով կարող են տրամադրվել առանց այս կարգի դրույթների։</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Առաջարկում ենք նախագծով կարգավորել նաև այն դեպքերը, երբ նախարարությունը դիմումի հիման վրա և առանց հավաստագրի տրամադրում է աջակցող միջոցներ, օրինակ, երբ դրանք որպես նվիրատվություն է ստացվել։ Առաջարկում ենք պահպանել և կարգավորել այդ հնարավորությունը՝ հաշվի առնելով այդ մեխանիզմի կողմից առաջարկվող ճկունությունը և արձագանքի հնարավորությունը, երբ, օրինակ, կան այլ ձևական (ֆորմալ) խնդիրներ։</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Նման դեպքերում աջակցող միջոցները տրամադրվում են դիմումի համաձայն և սույն նախագծում նախատեսելու անհրաժեշտությունը բացակայում է։</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Նախագծի համաձայն՝ «Շահառուն կամ նրա ներկայացուցիչը կամ տասնչորս տարեկան չդարձած անչափահասների կամ խնամակալության տակ գտնվող քաղաքացիների օրինական ներկայացուցիչները` ծնողը, որդեգրողը կամ խնամակալը հավաստագիր ձեռք բերելու նպատակով առձեռն կամ Հայաստանի Հանրապետության օրենսդրությամբ սահմանված կարգով առցանց (էլեկտրոնային) եղանակով՝ էլեկտրոնային ստորագրությամբ դիմում է ներկայացնում ՄՍԾ կամ դրա </w:t>
            </w:r>
            <w:r>
              <w:rPr>
                <w:rFonts w:ascii="GHEA Grapalat" w:eastAsia="GHEA Grapalat" w:hAnsi="GHEA Grapalat" w:cs="GHEA Grapalat"/>
                <w:color w:val="000000"/>
                <w:sz w:val="22"/>
                <w:szCs w:val="22"/>
              </w:rPr>
              <w:lastRenderedPageBreak/>
              <w:t>տարածքային կենտրոն»։ Առաջարկում ենք հանել «էլեկտրոնային ստորագրություն» ձևակերպումը՝ հաշվի առնելով դրա հնարավոր նեղ մեկնաբանությունը, ինչպես նաև այն հանգամանքը, որ էլեկտրոնային (չսքանավորված) ստորագրության կիրառումը դեռևս մեծ չէ։</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Առաջարկը  չի</w:t>
            </w:r>
            <w:proofErr w:type="gramEnd"/>
            <w:r>
              <w:rPr>
                <w:rFonts w:ascii="GHEA Grapalat" w:eastAsia="GHEA Grapalat" w:hAnsi="GHEA Grapalat" w:cs="GHEA Grapalat"/>
                <w:color w:val="000000"/>
                <w:sz w:val="22"/>
                <w:szCs w:val="22"/>
              </w:rPr>
              <w:t xml:space="preserve"> ընդունվել։ Նշված դրույթով կարգավորվում են գործնականում ի հայտ եկած խնդիրները։</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Հիմք ընդունելով «Անձնական տվյալների պաշտպանության մասին» ՀՀ օրենքի պահանջները՝ առաջարկում ենք սահմանել պահանջ, որ կազմակերպությունները պետք է ունենան անձնական տվյալների մշակման ընթացակարգեր, այդ թվում՝ տվյալների ոչնչացման, երբևէ մշակված տվյալները տվյալների սուբյեկտին տրամադրելու վերաբերյալ և այլ կարգավորումներ։</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Ներկայացված առաջարկը դուրս է նախագծի կարգավորման շրջանակից։</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Հիմք ընդունելով «Անձնական տվյալների պաշտպանության մասին» ՀՀ օրենքի 23-րդ հոդվածի 3-րդ մասի պահանջները՝ առաջարկում ենք սահմանել պահանջ, որ նախքան ծառյությունների մատուցումը կազմակերպությունները պետք է ՀՀ ԱՆ Անձնական տվյալների պաշտպանության գործակալությանը հայտնեն կենսաչափական և հատուկ կատեգորիայի տվյալների մշակման մտադրության մասին։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11</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Կոռուպցիայի կանխարգելման և հակակոռուպցիոն ջանքերի տեսանկյունից կարևոր է նախատեսել բարեվարքության պարտավորություններ կազմակերպությունների համար, այդ թվում՝ իրենց ծառայություններից հնարավոր օգտվողների վերաբերյալ անձնական տվյալները նախքան վերջիններիս դիմելը մշակելու արգելքը: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 Ներկայացված առաջարկը դուրս է նախագծի կարգավորման շրջանակից։</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12</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նախարարությունում ստեղծվում է մշտապես գործող որակավորման հանձնաժողով՝ կազմակերպությունների ընտրության և պայմանագրերի կնքման գործընթացը կազմակերպելու նպատակով: Առաջարկում ենք սահմանել նաև, որ հանձնաժողովում կարող են ընդգրկվել հաշմանդամություն ունեցող անձանց հարցերով զբաղվող հասարակական կազմակերպություններ, որոնք չեն գտնվում շահերի բախման իրավիճակներում, այդ թվում՝ չեն հանդիսանում որակավորված կազմակերպություն։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 է։ ՀՀ ԱՍՀ նախարարի հրամանով հստակ սահմանված է որակավորման հանձնաժողովի կազմը, կազմակերպությունների որակավորման կարգն ու պայմանները և այլ մասնագետների ներգրավման անհրաժեշտությունը բացակայում է։</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13</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lastRenderedPageBreak/>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 xml:space="preserve">Առաջարկում ենք նախագծով սահմանել հավաստագրման գործընթացում իրականությանը չհամապատասխանող </w:t>
            </w:r>
            <w:r>
              <w:rPr>
                <w:rFonts w:ascii="GHEA Grapalat" w:eastAsia="GHEA Grapalat" w:hAnsi="GHEA Grapalat" w:cs="GHEA Grapalat"/>
                <w:color w:val="000000"/>
                <w:sz w:val="22"/>
                <w:szCs w:val="22"/>
              </w:rPr>
              <w:lastRenderedPageBreak/>
              <w:t>փաստաթղթեր ներկայացնելու դեպքերում կարգավորումներ։</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 xml:space="preserve">Առաջարկը   չի ընդունվել։ Հիշատակված կարգավորումները նախատեսված են ՀՀ աշխատանքի և սոցիալական հարցերի </w:t>
            </w:r>
            <w:r>
              <w:rPr>
                <w:rFonts w:ascii="GHEA Grapalat" w:eastAsia="GHEA Grapalat" w:hAnsi="GHEA Grapalat" w:cs="GHEA Grapalat"/>
                <w:color w:val="000000"/>
                <w:sz w:val="22"/>
                <w:szCs w:val="22"/>
              </w:rPr>
              <w:lastRenderedPageBreak/>
              <w:t>նախարարի 2023 թվականի  նոյեմբերի  16-ի N 170-Ա/1 հրամանի N3 հավելվածում, ուստի՝ նախագծում նախատեսել նպատակահարմար չի։</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14</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կազմակերպության կողմից ներկրվող աջակցող միջոցները և դրանց բաղկացուցիչ մասերը (պատրաստման նյութերը և դետալներ) պետք է համապատասխանեն միջազգային կամ միջպետական կամ եվրոպական ստանդարտներին և ունենան այդ ստանդարտների համապատասխանության հավաստագիր կամ հայտարարագիր։ Առաջարկում ենք «միջազգային» բառից առաջ լրացնել «ազգային կամ» բառերով։</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Առաջարկն  ընդունվել է։</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15</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Նախագծի համաձայն՝ կազմակերպության կողմից ներկրվող աջակցող միջոցները և դրանց բաղկացուցիչ մասերը (պատրաստման նյութերը և դետալներ) պետք է համապատասխանեն միջազգային կամ միջպետական կամ եվրոպական ստանդարտներին և ունենան այդ ստանդարտների համապատասխանության հավաստագիր կամ հայտարարագիր։ Հարկ է նկատել, որ համապատասխանության </w:t>
            </w:r>
            <w:r>
              <w:rPr>
                <w:rFonts w:ascii="GHEA Grapalat" w:eastAsia="GHEA Grapalat" w:hAnsi="GHEA Grapalat" w:cs="GHEA Grapalat"/>
                <w:color w:val="000000"/>
                <w:sz w:val="22"/>
                <w:szCs w:val="22"/>
              </w:rPr>
              <w:lastRenderedPageBreak/>
              <w:t>հայտարարագիրը բավարար չէ արձանագրելու, որ աջակցող միջոցները համապատասխանում են չափանիշներին: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Առաջարկը  չի</w:t>
            </w:r>
            <w:proofErr w:type="gramEnd"/>
            <w:r>
              <w:rPr>
                <w:rFonts w:ascii="GHEA Grapalat" w:eastAsia="GHEA Grapalat" w:hAnsi="GHEA Grapalat" w:cs="GHEA Grapalat"/>
                <w:color w:val="000000"/>
                <w:sz w:val="22"/>
                <w:szCs w:val="22"/>
              </w:rPr>
              <w:t xml:space="preserve"> ընդունվել։ ՀՀ աշխատանքի և սոցիալական հարցերի նախարարի 2023 թվականի  նոյեմբերի  16-ի N 170-Ա/1 հրամանի N3 հավելվածում կարգավորված են հնարավոր ռիսկերը։</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16</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Առաջարկում ենք նախագծով երաշխավորել, որ կազմակերպչական և հաշվետվողականության գործընթացներն իրականացվում են էլեկտրոնային՝ միասնական տեղեկատվական համակարգի միջոցով, այդ թվում՝ գրանցամատյանների վարումը, անձնական քարտերի մշակումը, հավաստագրերի ձևավորումը, աջակցող միջոցներ ստացող անձի հաշվառումը, աջակցող միջոցներ տրամադրող կազմակերպությունների հաշվառումը, հաշվետվությունների ստեղծումը, մահացած անձանց տվյալների ինքնաշխատ թարմացումը և այլն։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Գործընթացներն իրականացվում են էլեկտրոնային համակարգի միջոցով։ Օրենսդրական բոլոր փոփոխություններից հետո այն համապատասխանեցում է դրանց՝ ՀՀ ԱՍՀ նախարարի 2015 թվականի հունվարի 9-ի 86-Ա/1 հրամանի համաձայն։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17</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Առաջարկում ենք սահմանել նաև պայման, որ անձինք պետք է կարողանան աջակցող միջոցները ստանալ իրենց մոտ սպասարկման վայրերում կամ մոբիլ եղանակով, եթե կազմակերպությունը չունի սպասարկման վայր տվյալ մարզում (Երևանում)։</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Նախագծով սահմանվում է կազմակերպություններին ներկայացվող նվազագույն պահանջները (կարևորագույն)։ Հարկ է նշել, որ աջակցող միջոց ստանալու համար շահառուն դիմում է իր նախընտրած կազմակերպություն։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18</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Անհրաժեշտ է սահմանել հավաստագրման հնարավորություն այն կազմակերպությունների համար, որոնք տրամադրում են որոշ աջակցող միջոցներ, որոնք կարող են տրամադրվել առցանց գործիքների, այդ թվում՝ էլեկտրոնային խանութների միջոցով։ Տվյալ դեպքում կազմակերպությունները չեն կարող հավաստագրվել սպասարկման կետի պարտադիրության պատճառով, մինչդեռ ծառայությունները (այդ թվում՝ փորձարկումը) կարող են տրամադրել մոբիլ եղանակով։</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Նման մեխանիզմների ներդրումը հնարավոր կլինի ամրագրել լրացուցիչ ուսումնասիրությունների կամ հետազոտությունների արդյունքում։ Հետևաբար, ներկայումս նպատակահարմար չենք համարում նման դրույթները հապշտապ ամրագրել։</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19</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Կազմակերպությունների ընտրության համար սահմանված որակավորման չափանիշները ոչ միշտ են հստակ և չափելի։ Առաջարկում ենք նաև որոշ չափանիշներ պայմանավորել կազմակերպության կողմից տրամադրվող աջակցող միջոցներով, ներառյալ ծառայությունների տեսակներով, ինչի պայմաններում հնարավոր կլինի ապահովել ավելի արդյունավետ հավաստագրման համակարգ։</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Առաջարկությունը հստակ չէ։</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20</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lastRenderedPageBreak/>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 xml:space="preserve">Սահմանված աջակցող միջոցի վերանորոգման կամ փոփոխման համար որակավորված կազմակերպությանը դիմելու համար կրկին անգամ փաստաթղթեր ներկայացնելու համար անհրաժեշտություն առկա չէ, քանի որ, եթե </w:t>
            </w:r>
            <w:r>
              <w:rPr>
                <w:rFonts w:ascii="GHEA Grapalat" w:eastAsia="GHEA Grapalat" w:hAnsi="GHEA Grapalat" w:cs="GHEA Grapalat"/>
                <w:color w:val="000000"/>
                <w:sz w:val="22"/>
                <w:szCs w:val="22"/>
              </w:rPr>
              <w:lastRenderedPageBreak/>
              <w:t>անձը ստացել է աջակցող միջոց, ապա այդ անձը նույնականացված է։ Նախագծում անհրաժեշտ է նախատեսել կարգավորում այն մասին, որ որակավորված կազմակերպություն դիմելու համար անհրաժեշտ է ներկայացնել միայն անձը հաստատող փաստաթուղթ, իսկ այդ կազմակերպությունը մյուս փաստաթղթերը կարող է ստանալ էլեկտրոնային համակարգով կամ հարցման միջոցով։</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Առաջարկը  չի</w:t>
            </w:r>
            <w:proofErr w:type="gramEnd"/>
            <w:r>
              <w:rPr>
                <w:rFonts w:ascii="GHEA Grapalat" w:eastAsia="GHEA Grapalat" w:hAnsi="GHEA Grapalat" w:cs="GHEA Grapalat"/>
                <w:color w:val="000000"/>
                <w:sz w:val="22"/>
                <w:szCs w:val="22"/>
              </w:rPr>
              <w:t xml:space="preserve"> ընդուվել։ Նախագծում այդպես էլ սահմանված է՝ աջակցող միջոցն ստանալու համար շահառուն ներկայանում է կազմակերպություն՝ </w:t>
            </w:r>
            <w:r>
              <w:rPr>
                <w:rFonts w:ascii="GHEA Grapalat" w:eastAsia="GHEA Grapalat" w:hAnsi="GHEA Grapalat" w:cs="GHEA Grapalat"/>
                <w:color w:val="000000"/>
                <w:sz w:val="22"/>
                <w:szCs w:val="22"/>
              </w:rPr>
              <w:lastRenderedPageBreak/>
              <w:t>ներկայացնելով անձը հաստատող փաստաթուղթը։ Այլ փաստաթղթերի պահանջ սահմանված չէ, դրանք արտացոլված են համակարգում։</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21</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եթե ՄՍԾ-ն տնօրինում է պահանջվող փաստաթղթերը, ապա դրանք կրկին չեն ներկայացվում։ Անհրաժեշտ է պարզաբանել, թե, օրինակ, որ դեպքերում կարող է Միասնական սոցիալական ծառայությունը չունենալ բժշկասոցիալական փորձաքննության որոշումը, ֆունկցիոնալության գնահատման որոշումը, վերականգնողական անհատական ծրագիրը կամ ծառայությունների անհատական ծրագիրը։ Անհրաժեշտ է ներկայացվող փաստաթղթերի ցանկում նշել այնպիսի կարգավորումներ, որոնք հնարավորություն կտան պահանջել պահանջվող փաստաթղթերը, եթե դրանք չեն կարող հասանելի լինել վարչական մարմնին այլ կերպ, քան անձի կողմից ներկայացնելն է։</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Փաստաթղթերը պահանջվում են միայն այն դեպքում եթե ՄՍԾ-ում առկա փաստաթղթերը իրավազոր չեն։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22</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եթե անձը, ելնելով առողջական վիճակից՝ հենաշարժական ֆունկցիայի խիստ արտահայտված խանգարումների դեպքում, չի կարող ներկայանալ ՄՍԾ և դրա մասին նշել է դիմումում, ներկայացնելով տնային կամ հիվանդանոցային պայմաններում եզրակացությունը տրամադրելու բժշկական հիմքեր, ապա ՄՍԾ-ն սահմանված եզրակացությունը տրամադրում է շահառուի գտնվելու վայրում կամ շահառուի հետ կամ ՄՍԾ տարածքային կենտրոնի աշխատակցի կողմից տեսակապ ապահովելու միջոցով, եթե դրա հնարավորությունը կա։  Առաջարկում ենք հանել «՝ հենաշարժական ֆունկցիայի խիստ արտահայտված խանգարումների դեպքում,» բառերը՝ հաշվի առնելով դրա խիստ բժշկական լինելը, ինչպես նաև այլ հիմքերի դեպքում հիմնավոր անհրաժեշտությունը։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 Տվյալ դեպքում բժշկական ձևակերպում է տրված, որով սահմանվում է բացառություն այն անձանց համար, ովքեր առողջական խնդիրներով պայմանավորված՝ ունեն տեղաշարժվելու դժվարություններ։</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23</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Նախագծի համաձայն՝ ձայնալարերի պրոթեզների և ձայնաստեղծ սարքերի, լսողական սարքերի, կոխլեար իմպլանտի խոսակցական պրոցեսորի մասերի (պարագաների) դեպքում անձի կարիքներին չհամապատասխանող աջակցող միջոցների վերաբերյալ համապատասխան եզրակացություն ստանալու համար ՄՍԾ-ին է </w:t>
            </w:r>
            <w:r>
              <w:rPr>
                <w:rFonts w:ascii="GHEA Grapalat" w:eastAsia="GHEA Grapalat" w:hAnsi="GHEA Grapalat" w:cs="GHEA Grapalat"/>
                <w:color w:val="000000"/>
                <w:sz w:val="22"/>
                <w:szCs w:val="22"/>
              </w:rPr>
              <w:lastRenderedPageBreak/>
              <w:t>ներկայացվում նաև համապատասխան մասնագիտական եզրակացությունը: Առաջարկում ենք հստակեցնել, թե որ դեպքում ում կողմից է տրամադրվում մասնագիտական եզրակացությունը։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Առաջարկն  ընդունվել</w:t>
            </w:r>
            <w:proofErr w:type="gramEnd"/>
            <w:r>
              <w:rPr>
                <w:rFonts w:ascii="GHEA Grapalat" w:eastAsia="GHEA Grapalat" w:hAnsi="GHEA Grapalat" w:cs="GHEA Grapalat"/>
                <w:color w:val="000000"/>
                <w:sz w:val="22"/>
                <w:szCs w:val="22"/>
              </w:rPr>
              <w:t xml:space="preserve"> է։ Նախագծում սահմանվել է, որ նշված եզրակացությունը տրամադրվում է քիթ-կոկորդ-ականջաբանի կողմից։</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24</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Միասնական սոցիալական ծառայությունն աջակցող միջոցների վերաբերյալ տրամադրում է համապատասխան եզրակացություն։ Այնուամենայնիվ, առկա չեն դրա իրավական հետևանքների և պարտադիրության մասին կանոններ: Լիարժեք նշված չէ այն իրավահարաբերության փոփոխությունը, որն ակնկալվում է նման եզրակացության առկայության պարագայում:</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Բոլոր այն դեպքերում, երբ Միասնական սոցիալական ծառայությունը տրամադրում է եզրակացություն՝ դա հանդիսանում հավաստագիր ձեռք բերման նախապայման։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25</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Աջակցող միջոցները կազմակերպության կողմից անձին տրամադրվում են դրա օգտագործման ձևը սովորեցնելուց ու աջակցող միջոցի օգտագործման և պահպանման ձևի վերաբերյալ գրավոր հուշաթերթիկ տրամադրելուց հետո։ Անհրաժեշտ է սահմանել, որ աջակցող միջոցների տեխնիկական փաստաթղթերը, այդ թվում՝ օգտագործման ուղեցույցները պետք է հասանելի լինեն հայերենով, իսկ </w:t>
            </w:r>
            <w:r>
              <w:rPr>
                <w:rFonts w:ascii="GHEA Grapalat" w:eastAsia="GHEA Grapalat" w:hAnsi="GHEA Grapalat" w:cs="GHEA Grapalat"/>
                <w:color w:val="000000"/>
                <w:sz w:val="22"/>
                <w:szCs w:val="22"/>
              </w:rPr>
              <w:lastRenderedPageBreak/>
              <w:t>անհրաժեշտության դեպքում՝ նաև հեշտ ընթերցվող տարբերակով։</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Առաջարկը  չի</w:t>
            </w:r>
            <w:proofErr w:type="gramEnd"/>
            <w:r>
              <w:rPr>
                <w:rFonts w:ascii="GHEA Grapalat" w:eastAsia="GHEA Grapalat" w:hAnsi="GHEA Grapalat" w:cs="GHEA Grapalat"/>
                <w:color w:val="000000"/>
                <w:sz w:val="22"/>
                <w:szCs w:val="22"/>
              </w:rPr>
              <w:t xml:space="preserve"> ընդունվել։ Առաջարկը սույն նախագծի կարգավորման առարկա չէ, նման պահանջ սահմանված է այլ իրավական ակտերով։</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26</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աջակցող միջոցները կազմակերպության կողմից անձին տրամադրվում են անհատական հարմարեցումից հետո։ Անհատական հարմարացումները կարող են իրականացվել հաշմանդամություն ունեցող անձի բնակության վայրում, այդ իսկ պատճառով առկա չէ որևէ անհրաժեշտություն ներկայացուցչի դեպքում հարմարեցման պարտավորությունը բացառելու:</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Դրույթը սխալ և կիսով է մեկնաբանվել։ Աջակցող միջոցները կազմակերպության կողմից անձին տրամադրվում են փորձարկումից, անհատական հարմարեցումից և դրա օգտագործման ձևը սովորեցնելուց ու աջակցող միջոցի օգտագործման և պահպանման ձևի վերաբերյալ գրավոր հուշաթերթիկ տրամադրելուց հետո, եթե շահառուն աջակցող միջոց ստանալու համար դիմում է անձամբ, ոչ թե ներկայացուցչի միջոցով։ Ներկայացուցչի միջոցով աջակցող միջոցներ ստանալու դեպքում՝ ներկայացուցչին տրամադրվում է դրա օգտագործման և պահպանման մասին գրավոր հուշաթերթիկ, ինչպես նաև դրա օգտագործման ձևի վերաբերյալ անհրաժեշտ խորհրդատվություն, իսկ փորձարկումը, անհատական հարմարեցումը և դրա </w:t>
            </w:r>
            <w:r>
              <w:rPr>
                <w:rFonts w:ascii="GHEA Grapalat" w:eastAsia="GHEA Grapalat" w:hAnsi="GHEA Grapalat" w:cs="GHEA Grapalat"/>
                <w:color w:val="000000"/>
                <w:sz w:val="22"/>
                <w:szCs w:val="22"/>
              </w:rPr>
              <w:lastRenderedPageBreak/>
              <w:t>օգտագործման ձևը սովորեցնելն իրականացվում է անձի գտնվելու վայրում:</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27</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աջակցող միջոցները կազմակերպության կողմից անձին տրամադրվում են փորձարկումից հետո։ Անհրաժեշտ է ներառել փորձարկման կարգը և պայմանները (ներառյալ ոչ կարճաժամկետ փորձարկման) սահմանող դրույթներ։</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  Դրա անհրաժեշտությունը չկա։ Մասնագետներն այն իրականացնում են իրենց մասնագիտական մոտեցումներին համապատասխան։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28</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զինծառայության հետ կապված պատճառական կապերով հաշմանդամություն ունեցող անձանց, զինծառայության ժամանակ ստացած վիրավորման կամ զինծառայության ժամանակ ստացած վնասվածքի հետևանքով վերջույթի անդամահատում ունեցող անձանց տրամադրվում է բարձր ֆունկցիոնալ ակտիվության աստիճանի պրոթեզ։ Այս կարգավորումը տարբերակված մոտեցում է նախատեսում ըստ հաշմանդամության առաջացման պատճառի և հակասում է Հաշմանդամություն ունեցող անձանց իրավունքների մասին կոնվենցիայի 5-րդ հոդվածին՝ ստեղծելով հաշմանդամության առաջացման պատճառի վրա հիմնված իրավունքների հիերարխիա։</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Յուրաքանչյուր պետություն ծառայություններ է տրամադրում իր ֆինանսական հնարավորություններից ելնելով։ Այնուամենայնիվ, հետագա քննարկումների ժամանակ նախագծում լրացում է կատարվել և ֆունկցիոնալ պրոթեզ ստանալու իրավունք է տրվում նաև վերին կամ ստորին զույգ վերջույթը անդամատված անձանց՝ անկախ հաշմանդամության պատճառական կապից։ Ֆինանսական հնարավորություններից ելնելով, հետագայում կդիտարկվի նաև շահառուների այլ շրջանակ։</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29</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դեկտեմբերի 15-31-ն ընկած ժամանակահատվածում աջակցող միջոցներ չեն տրամադրվում, ընդ որում, նշված օրերը հավաստագրի հիման վրա տրվող աջակցող միջոցների դեպքում՝ օրացուցային օրերի մեջ չեն հաշվարկվում։ Նշված դրույթը չի կարող ընդունելի լինել, քանի որ այն «վարչական հարմարության» և «կամայական բացառման» օրինակ է, չի համապատասախանում մարդու իրավունքների մի շարք սկզբունքների, այդ թվում՝ հավասարության սկզբունքին։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Նման կարգավորման սահմանումը պայմանավորված է ՀՀ պետական բյուջետային համակարգի առանձնահատկություններով։</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30</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հավաստագիրն ուժի մեջ է տրամադրելուց հետո 180 օրացուցային օր։ Անհրաժեշտ է սահմանել հավաստագրի ժամկետն օբյեկտիվ հիմքերով բաց թողնելու դեպքում ժամկետը վերականգնելու հնարավորություն կամ նախատեսել կանոն այն մասին, որ ժամկետը բաց թողնելը խոչընդոտ չէ դիմումը կրկին ներկայացնելու համար: Սահմանված ժամկետի խախտմամբ իրավունքի դադարեցումը չի պաշտպանում որևէ իրավունք և անհրաժեշտ չէ ժողովրդավարական հասարակարգում:</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Սույն նախագծով հավասատագրի ժամկետը բաց թողնելու դեպքում կրկին դիմելու արգելք սահմանված չէ։ Շահառուն կարող է բաց թողնված ժամանակից հետո դիմել, ստանալ նոր հավաստագիր և իրացնել իր իրավունքը։</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31</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«Հաշմանդամություն ունեցող անձանց </w:t>
            </w:r>
            <w:r>
              <w:rPr>
                <w:rFonts w:ascii="GHEA Grapalat" w:eastAsia="GHEA Grapalat" w:hAnsi="GHEA Grapalat" w:cs="GHEA Grapalat"/>
                <w:color w:val="000000"/>
                <w:sz w:val="22"/>
                <w:szCs w:val="22"/>
              </w:rPr>
              <w:lastRenderedPageBreak/>
              <w:t>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 xml:space="preserve">Նախագծով անհրաժեշտ է հստակեցնել մեթոդաբանությունը, որի հիման վրա </w:t>
            </w:r>
            <w:r>
              <w:rPr>
                <w:rFonts w:ascii="GHEA Grapalat" w:eastAsia="GHEA Grapalat" w:hAnsi="GHEA Grapalat" w:cs="GHEA Grapalat"/>
                <w:color w:val="000000"/>
                <w:sz w:val="22"/>
                <w:szCs w:val="22"/>
              </w:rPr>
              <w:lastRenderedPageBreak/>
              <w:t>սահմանվում են աջակցող միջոցների օգտագործման ժամկետները։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Առաջարկը  չի</w:t>
            </w:r>
            <w:proofErr w:type="gramEnd"/>
            <w:r>
              <w:rPr>
                <w:rFonts w:ascii="GHEA Grapalat" w:eastAsia="GHEA Grapalat" w:hAnsi="GHEA Grapalat" w:cs="GHEA Grapalat"/>
                <w:color w:val="000000"/>
                <w:sz w:val="22"/>
                <w:szCs w:val="22"/>
              </w:rPr>
              <w:t xml:space="preserve"> ընդունվել։  Աջակցող միջոցների օգտագործման </w:t>
            </w:r>
            <w:r>
              <w:rPr>
                <w:rFonts w:ascii="GHEA Grapalat" w:eastAsia="GHEA Grapalat" w:hAnsi="GHEA Grapalat" w:cs="GHEA Grapalat"/>
                <w:color w:val="000000"/>
                <w:sz w:val="22"/>
                <w:szCs w:val="22"/>
              </w:rPr>
              <w:lastRenderedPageBreak/>
              <w:t>ժամկետները սահմանվում են դրանց տեխնիկական նկարագրերի, միջազգային փորձի ուսումնասիրությունների արդյունքում։</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32</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հավաստագրերը և հավաստագրերի հիման վրա տրամադրվող աջակցող միջոցների վերանորոգումը, ինչպես նաև առանց հավաստագրի տրամադրվող աջակցող միջոցները հատկացվում են և դրանց վերանորոգման փոխհատուցման գումարի գնային արժեքը սահմանվում է` Հայաստանի Հանրապետության պետական բյուջեով նախատեսված և նախարարությանը հատկացված ֆինանսական միջոցների շրջանակներում։ Առաջարկում ենք նախագծով սահմանել գնագոյացման (արժեքի որոշման) սկզբունքները և մեթոդաբանությունը։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Առկա են մի շարք հանգամանքներ որոնք ազդում են գնագոյացման վրա (արտադրման երկիր, արտարժույթի տատանումներ, բեռնափոխադրման արժեքը և այլն) և նախագծում թվել դրանք՝ գտնում ենք ոչ նպատակահարմար։</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33</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Նախագծի համաձայն՝ աջակցող միջոցները (բացառությամբ պրոթեզի կոշիկի, բրդյա-բամբակյա և սիլիկոնե գուլպաների, ստորին վերջույթի պրոթեզի պատյանի) տրամադրվում են պետական հավաստագրերի հիման վրա: Անհրաժեշտ են հավելյալ հիմնավորումներ, թե ինչու է բացառությունը սահմանվել նշված միջոցների դեպքում։</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Առաջարկն  ընդունվել</w:t>
            </w:r>
            <w:proofErr w:type="gramEnd"/>
            <w:r>
              <w:rPr>
                <w:rFonts w:ascii="GHEA Grapalat" w:eastAsia="GHEA Grapalat" w:hAnsi="GHEA Grapalat" w:cs="GHEA Grapalat"/>
                <w:color w:val="000000"/>
                <w:sz w:val="22"/>
                <w:szCs w:val="22"/>
              </w:rPr>
              <w:t xml:space="preserve"> է ի գիտություն։ Հիշատակված պարագաները տրամադրվում են ստորին վերջույթը պրոթեզավորված անձանց կամ վերին կամ ստորին վերջույթի պրոթեզ կրող հաշմանդամություն ունեցող անձանց և անհրաժեշտ են </w:t>
            </w:r>
            <w:r>
              <w:rPr>
                <w:rFonts w:ascii="GHEA Grapalat" w:eastAsia="GHEA Grapalat" w:hAnsi="GHEA Grapalat" w:cs="GHEA Grapalat"/>
                <w:color w:val="000000"/>
                <w:sz w:val="22"/>
                <w:szCs w:val="22"/>
              </w:rPr>
              <w:lastRenderedPageBreak/>
              <w:t>պրոթեզի շահագործման ժամանակ։ Այսինքն, այդ պարագաների տրամադրումը փոխկապակցված է այլ աջակցող միջոցների տրամադրման հետ։</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34</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Անհրաժեշտ է հստակեցնել, թե որ դեպքերում և ում կողմից է տրամադրվում աջակցող միջոցների երաշխավորության մասին տեղեկանքը։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ընդունվել։ Աջակցող միջոցների երաշխավորության վերաբերյալ տեղեկանքը տրամադրվում է ՄՍԾ անձի ֆունկցիոնալության գնահատման և աջակցող միջոցներով ապահովման վարչության կողմից, որն արտացոլված է ձև N 4-ում։</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35</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Անհրաժեշտ է շտկել համարակալման խնդիրները՝ համաձայն «Նորմատիվ իրավական ակտերի մասին» ՀՀ օրենքի 14-րդ հոդվածի պահանջների։ Համարակալման խնդրի պատճառով առաջարկները ներկայացնում ենք ոչ թե հստակ կետերին հղում անելով, այլ ըստ դրանց բովանդակության։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Առաջարկն  ընդունվել</w:t>
            </w:r>
            <w:proofErr w:type="gramEnd"/>
            <w:r>
              <w:rPr>
                <w:rFonts w:ascii="GHEA Grapalat" w:eastAsia="GHEA Grapalat" w:hAnsi="GHEA Grapalat" w:cs="GHEA Grapalat"/>
                <w:color w:val="000000"/>
                <w:sz w:val="22"/>
                <w:szCs w:val="22"/>
              </w:rPr>
              <w:t xml:space="preserve"> է մասնակի։ Համարակալման հետ կապված սխալ եղել է մեկ կետում, որը շտկվել է։</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36</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lastRenderedPageBreak/>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Առաջարկում ենք սահմանել արտակարգ իրավիճակներում աջակցող միջոցների տրամադրման առանձնահատկությունները, այդ թվում՝ պարզեցված ընթացակարգերը։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Արտակարգ իրավիճակներում նախարարությունը հրատապ մշակում է  պարզեցված ընթացակարգեր՝ հաշվի առնելով </w:t>
            </w:r>
            <w:r>
              <w:rPr>
                <w:rFonts w:ascii="GHEA Grapalat" w:eastAsia="GHEA Grapalat" w:hAnsi="GHEA Grapalat" w:cs="GHEA Grapalat"/>
                <w:color w:val="000000"/>
                <w:sz w:val="22"/>
                <w:szCs w:val="22"/>
              </w:rPr>
              <w:lastRenderedPageBreak/>
              <w:t>տվյալ իրավիճակի առանձնահատկությունները։</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37</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Առաջարկում ենք նախատեսել աջակցող միջոց ստացած անձանց գոհունակության գնահատման և հետադարձ կապի մեխանիզմներ։</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ընդունվել</w:t>
            </w:r>
            <w:proofErr w:type="gramEnd"/>
            <w:r>
              <w:rPr>
                <w:rFonts w:ascii="GHEA Grapalat" w:eastAsia="GHEA Grapalat" w:hAnsi="GHEA Grapalat" w:cs="GHEA Grapalat"/>
                <w:color w:val="000000"/>
                <w:sz w:val="22"/>
                <w:szCs w:val="22"/>
              </w:rPr>
              <w:t xml:space="preserve"> է ի գիտություն։ Այս հարցը նախարարության կողմից դիտարկվում է միասնական էլեկտրոնային համակարգի համատեքստում, որտեղ յուրաքանչյուր շահառու կունենա իր անձնական էջը՝ հետադարձ կապի համար։</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38</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Առաջարկում ենք նախագծով ներդնել հաշմանդամություն ունեցող անձանց իրավունքների պաշտպանության գործուն կառուցակարգ, որը հնարավորություն կտա արտադատական կարգով և ողջամիտ ժամկետներում լուծել աջակցող միջոցների տրամադրման հետ կապված վեճերը: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Անձի ֆունկցիոնալության գնահատման ոլորտում ընդունվող որոշումները կարող են բողոքարկվել «Վարչարարության հիմունքների և վարչական վարույթի մասին» օրենքի համաձայն։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39</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Նախագծում առկա չեն կարիքի գնահատման, հրահանգավորման, ուսուցման, տեղեկատվության, մշտադիտարկման և գնահատման արդյունավետ կարգավորումներ: Ի թիվս այլ կարգավորումների, առաջարկում ենք նախատեսել ՀՀ աշխատանքի և սոցիալական հարցերի նախարարի կողմից </w:t>
            </w:r>
            <w:r>
              <w:rPr>
                <w:rFonts w:ascii="GHEA Grapalat" w:eastAsia="GHEA Grapalat" w:hAnsi="GHEA Grapalat" w:cs="GHEA Grapalat"/>
                <w:color w:val="000000"/>
                <w:sz w:val="22"/>
                <w:szCs w:val="22"/>
              </w:rPr>
              <w:lastRenderedPageBreak/>
              <w:t>համապատասխան հրամաններ ընդունելու պարտականություն։</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Առաջարկը  չի</w:t>
            </w:r>
            <w:proofErr w:type="gramEnd"/>
            <w:r>
              <w:rPr>
                <w:rFonts w:ascii="GHEA Grapalat" w:eastAsia="GHEA Grapalat" w:hAnsi="GHEA Grapalat" w:cs="GHEA Grapalat"/>
                <w:color w:val="000000"/>
                <w:sz w:val="22"/>
                <w:szCs w:val="22"/>
              </w:rPr>
              <w:t xml:space="preserve"> ընդունվել է։ ՀՀ կառավարաության որոշման նախագծով ՀՀ ԱՍՀ նախարարին չի կարող վերապահվել հրամանների ընդունման լիազորություն։</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lastRenderedPageBreak/>
              <w:t>40</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«Հաշմանդամություն ունեցող անձանց իրավունքների օրակարգ» ՀԿ</w:t>
            </w:r>
          </w:p>
          <w:p w:rsidR="00D36D71" w:rsidRDefault="00024375">
            <w:pPr>
              <w:jc w:val="center"/>
            </w:pPr>
            <w:r>
              <w:rPr>
                <w:rFonts w:ascii="GHEA Grapalat" w:eastAsia="GHEA Grapalat" w:hAnsi="GHEA Grapalat" w:cs="GHEA Grapalat"/>
                <w:color w:val="000000"/>
                <w:sz w:val="22"/>
                <w:szCs w:val="22"/>
              </w:rPr>
              <w:t>12.02.2024 19:45:31</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Նախագծում հաշվի չեն առնվել Մրցակցության պաշտպանության հանձնաժողովի՝ աջակցող միջոցների տրամադրման ոլորտում իրականացված ուսումնասիրության եզրակացություններն ու առաջարկությունները։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Առաջարկը   չի ընունվել։ Առաջարկը հստակ չէ։ Մրցակցության պաշտպանության հանձնաժողովի ներկայացրած առաջարկություններն ուսումանսիրվել են և հիմք են ընդունվել սույն նախագծի մշակման համար։</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r w:rsidR="00D36D71">
        <w:tc>
          <w:tcPr>
            <w:tcW w:w="5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41</w:t>
            </w:r>
          </w:p>
        </w:tc>
        <w:tc>
          <w:tcPr>
            <w:tcW w:w="225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Ներառական իրավական բարեփոխումների կոալիցիա</w:t>
            </w:r>
          </w:p>
          <w:p w:rsidR="00D36D71" w:rsidRDefault="00024375">
            <w:pPr>
              <w:jc w:val="center"/>
            </w:pPr>
            <w:r>
              <w:rPr>
                <w:rFonts w:ascii="GHEA Grapalat" w:eastAsia="GHEA Grapalat" w:hAnsi="GHEA Grapalat" w:cs="GHEA Grapalat"/>
                <w:color w:val="000000"/>
                <w:sz w:val="22"/>
                <w:szCs w:val="22"/>
              </w:rPr>
              <w:t>12.02.2024 12:36:30</w:t>
            </w:r>
          </w:p>
        </w:tc>
        <w:tc>
          <w:tcPr>
            <w:tcW w:w="52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r>
              <w:rPr>
                <w:rFonts w:ascii="GHEA Grapalat" w:eastAsia="GHEA Grapalat" w:hAnsi="GHEA Grapalat" w:cs="GHEA Grapalat"/>
                <w:color w:val="000000"/>
                <w:sz w:val="22"/>
                <w:szCs w:val="22"/>
              </w:rPr>
              <w:t xml:space="preserve">Նախագծի X-րդ կետով (համարակալման վրիպումների պատճառով կետի թիվը պարզ չէ) սահմանված է, որ «Դեկտեմբերի 15-31-ը ընկած ժամանակահատվածում աջակցող միջոցներ չեն տրամադրվում, ընդ որում, նշված օրերը հավաստագրի հիման վրա տրվող աջակցող միջոցների դեպքում՝ օրացուցային օրերի մեջ չեն հաշվարկվում։» Առաջարկում ենք վերացնել նշված կետով ամրագրվող ժամկետային սահմանափակումը հետևյալ հիմնավորմամբ. «Հաշմանդամություն ունեցող անձանց իրավունքների մասին» ՀՀ օրենքը հաշմանդամություն ունեցող անձանց իրավունքների ապահովման, խթանման և պաշտպանության պետական քաղաքականության հիմնական </w:t>
            </w:r>
            <w:r>
              <w:rPr>
                <w:rFonts w:ascii="GHEA Grapalat" w:eastAsia="GHEA Grapalat" w:hAnsi="GHEA Grapalat" w:cs="GHEA Grapalat"/>
                <w:color w:val="000000"/>
                <w:sz w:val="22"/>
                <w:szCs w:val="22"/>
              </w:rPr>
              <w:lastRenderedPageBreak/>
              <w:t>ուղղությունների շրջանակում արձանագրում է հաշմանդամություն ունեցող անձանց տրամադրվող աջակցող միջոցների մատչելիության, հասանելիության և հասցեականության ապահովումը։  Աջակցող միջոցները հաշմանդամություն ունեցող անձի իրավունքները և ազատությունները մյուսների հետ հավասար կերպով իրացնելու համար անհրաժեշտ պայման են, որոնց բացակայությունը միջավայրային արգելքները, հետևաբար, նաև իրավունքների իրացման արգելքերը հաղթահարելու խոչընդոտող գործոններ են։ Աջակցող միջոցների մերժումը որոշակի ժամանակահատվածում փաստացի հանգեցնում է և նշանակում է հաշմանդամություն ունեցող անձանց իրավունքների և ազատությունների սահմանափակում։  Իսկ ՀՀ կառավարության որոշմամբ որոշակի ժամկետով իրավունքի սահմանափակման ամրագրումը հակասում է իրավունքների սահմանափակման օրինականության սահմանադրական սկզբունքին։  Անթույլատրելի է իրավունքի ապահովման համար տեխնիկական խոչընդոտների լուծման միջոցներ ձեռնարկելու փոխարեն սահմանափակել այդ իրավունքը։</w:t>
            </w:r>
          </w:p>
        </w:tc>
        <w:tc>
          <w:tcPr>
            <w:tcW w:w="3800" w:type="dxa"/>
            <w:tcBorders>
              <w:top w:val="single" w:sz="1" w:space="0" w:color="000000"/>
              <w:left w:val="single" w:sz="1" w:space="0" w:color="000000"/>
              <w:bottom w:val="single" w:sz="1" w:space="0" w:color="000000"/>
              <w:right w:val="single" w:sz="1" w:space="0" w:color="000000"/>
            </w:tcBorders>
          </w:tcPr>
          <w:p w:rsidR="00D36D71" w:rsidRDefault="00024375">
            <w:pPr>
              <w:jc w:val="center"/>
            </w:pPr>
            <w:proofErr w:type="gramStart"/>
            <w:r>
              <w:rPr>
                <w:rFonts w:ascii="GHEA Grapalat" w:eastAsia="GHEA Grapalat" w:hAnsi="GHEA Grapalat" w:cs="GHEA Grapalat"/>
                <w:color w:val="000000"/>
                <w:sz w:val="22"/>
                <w:szCs w:val="22"/>
              </w:rPr>
              <w:lastRenderedPageBreak/>
              <w:t>Առաջարկը  չի</w:t>
            </w:r>
            <w:proofErr w:type="gramEnd"/>
            <w:r>
              <w:rPr>
                <w:rFonts w:ascii="GHEA Grapalat" w:eastAsia="GHEA Grapalat" w:hAnsi="GHEA Grapalat" w:cs="GHEA Grapalat"/>
                <w:color w:val="000000"/>
                <w:sz w:val="22"/>
                <w:szCs w:val="22"/>
              </w:rPr>
              <w:t xml:space="preserve"> ընդունվել։ Նման կարգավորման սահմանումը պայմանավորված է ՀՀ պետական բյուջետային համակարգի առանձնահատկություններով։</w:t>
            </w:r>
          </w:p>
        </w:tc>
        <w:tc>
          <w:tcPr>
            <w:tcW w:w="3000" w:type="dxa"/>
            <w:tcBorders>
              <w:top w:val="single" w:sz="1" w:space="0" w:color="000000"/>
              <w:left w:val="single" w:sz="1" w:space="0" w:color="000000"/>
              <w:bottom w:val="single" w:sz="1" w:space="0" w:color="000000"/>
              <w:right w:val="single" w:sz="1" w:space="0" w:color="000000"/>
            </w:tcBorders>
          </w:tcPr>
          <w:p w:rsidR="00D36D71" w:rsidRDefault="00D36D71">
            <w:pPr>
              <w:jc w:val="center"/>
            </w:pPr>
          </w:p>
        </w:tc>
      </w:tr>
    </w:tbl>
    <w:p w:rsidR="00024375" w:rsidRDefault="00024375"/>
    <w:sectPr w:rsidR="00024375">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D71"/>
    <w:rsid w:val="00024375"/>
    <w:rsid w:val="000E4542"/>
    <w:rsid w:val="0038707B"/>
    <w:rsid w:val="007B29AD"/>
    <w:rsid w:val="00D36D71"/>
    <w:rsid w:val="00E85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18A0A0-0F71-4D84-8310-5C3E629F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3854</Words>
  <Characters>21974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https://mul2-mss.gov.am/tasks/1819087/oneclick/Ampopatert-e-draft.docx?token=9d35872f3c1a21b59fe78c854252e845</cp:keywords>
  <dc:description/>
  <cp:lastModifiedBy>Arthur.Kesoyan</cp:lastModifiedBy>
  <cp:revision>2</cp:revision>
  <dcterms:created xsi:type="dcterms:W3CDTF">2024-04-15T12:28:00Z</dcterms:created>
  <dcterms:modified xsi:type="dcterms:W3CDTF">2024-04-15T12:28:00Z</dcterms:modified>
  <cp:category/>
</cp:coreProperties>
</file>