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5D87" w:rsidRPr="00AB75B4" w:rsidRDefault="00435D87" w:rsidP="00434484">
      <w:pPr>
        <w:tabs>
          <w:tab w:val="left" w:pos="6390"/>
        </w:tabs>
        <w:spacing w:line="360" w:lineRule="auto"/>
        <w:ind w:right="459" w:firstLine="720"/>
        <w:jc w:val="center"/>
        <w:rPr>
          <w:rFonts w:ascii="GHEA Grapalat" w:hAnsi="GHEA Grapalat"/>
          <w:b/>
        </w:rPr>
      </w:pPr>
      <w:r w:rsidRPr="00AB75B4">
        <w:rPr>
          <w:rFonts w:ascii="GHEA Grapalat" w:hAnsi="GHEA Grapalat"/>
          <w:b/>
        </w:rPr>
        <w:t>ՀԻՄՆԱՎՈՐՈՒՄ</w:t>
      </w:r>
    </w:p>
    <w:p w:rsidR="00AB75B4" w:rsidRPr="0048602D" w:rsidRDefault="00AB75B4" w:rsidP="00434484">
      <w:pPr>
        <w:pStyle w:val="NormalWeb"/>
        <w:spacing w:before="0" w:beforeAutospacing="0" w:after="0" w:afterAutospacing="0" w:line="360" w:lineRule="auto"/>
        <w:ind w:right="459" w:firstLine="720"/>
        <w:jc w:val="center"/>
        <w:rPr>
          <w:rFonts w:ascii="GHEA Grapalat" w:hAnsi="GHEA Grapalat"/>
          <w:b/>
          <w:bCs/>
          <w:noProof/>
          <w:color w:val="000000"/>
          <w:shd w:val="clear" w:color="auto" w:fill="FFFFFF"/>
        </w:rPr>
      </w:pPr>
      <w:r w:rsidRPr="00AB75B4">
        <w:rPr>
          <w:rFonts w:ascii="GHEA Grapalat" w:hAnsi="GHEA Grapalat"/>
          <w:b/>
          <w:bCs/>
          <w:noProof/>
          <w:color w:val="000000"/>
          <w:shd w:val="clear" w:color="auto" w:fill="FFFFFF"/>
        </w:rPr>
        <w:t>«ՀԱՅԱՍՏԱՆԻ ՀԱՆՐԱՊԵՏՈՒԹՅԱՆ ԿԱՌԱՎԱՐՈՒԹՅԱՆ 2011 ԹՎԱԿԱՆԻ ՀՈԿՏԵՄԲԵՐԻ 20-Ի N 1510-Ն ՈՐՈՇՄԱՆ ՄԵՋ ԼՐԱՑՈՒՄՆԵՐ ԿԱՏԱՐԵԼՈՒ ՄԱՍԻՆ» ՀՀ ԿԱՌԱՎԱՐՈՒԹՅԱՆ ՈՐՈՇՄԱՆ ՆԱԽԱԳԾԻ</w:t>
      </w:r>
      <w:r w:rsidR="0048602D">
        <w:rPr>
          <w:rFonts w:ascii="GHEA Grapalat" w:hAnsi="GHEA Grapalat"/>
          <w:b/>
          <w:bCs/>
          <w:noProof/>
          <w:color w:val="000000"/>
          <w:shd w:val="clear" w:color="auto" w:fill="FFFFFF"/>
          <w:lang w:val="en-US"/>
        </w:rPr>
        <w:t xml:space="preserve"> </w:t>
      </w:r>
      <w:r w:rsidRPr="00AB75B4">
        <w:rPr>
          <w:rFonts w:ascii="GHEA Grapalat" w:hAnsi="GHEA Grapalat"/>
          <w:b/>
        </w:rPr>
        <w:t>ԸՆԴՈՒՆՄԱՆ</w:t>
      </w:r>
    </w:p>
    <w:p w:rsidR="00AB75B4" w:rsidRPr="00AB75B4" w:rsidRDefault="00AB75B4" w:rsidP="00434484">
      <w:pPr>
        <w:autoSpaceDE w:val="0"/>
        <w:autoSpaceDN w:val="0"/>
        <w:adjustRightInd w:val="0"/>
        <w:spacing w:line="360" w:lineRule="auto"/>
        <w:ind w:right="459" w:firstLine="720"/>
        <w:jc w:val="both"/>
        <w:rPr>
          <w:rFonts w:ascii="GHEA Grapalat" w:hAnsi="GHEA Grapalat" w:cs="GHEA Grapalat"/>
          <w:b/>
          <w:bCs/>
          <w:color w:val="000000"/>
          <w:u w:val="single"/>
          <w:lang w:eastAsia="fr-FR"/>
        </w:rPr>
      </w:pPr>
    </w:p>
    <w:p w:rsidR="00AB75B4" w:rsidRPr="00373200" w:rsidRDefault="00AB75B4" w:rsidP="00434484">
      <w:pPr>
        <w:autoSpaceDE w:val="0"/>
        <w:autoSpaceDN w:val="0"/>
        <w:adjustRightInd w:val="0"/>
        <w:spacing w:line="360" w:lineRule="auto"/>
        <w:ind w:right="397" w:firstLine="720"/>
        <w:jc w:val="both"/>
        <w:rPr>
          <w:rFonts w:ascii="GHEA Grapalat" w:hAnsi="GHEA Grapalat" w:cs="GHEA Grapalat"/>
          <w:b/>
          <w:bCs/>
          <w:color w:val="000000"/>
          <w:u w:val="single"/>
          <w:lang w:eastAsia="fr-FR"/>
        </w:rPr>
      </w:pPr>
      <w:r w:rsidRPr="00373200">
        <w:rPr>
          <w:rFonts w:ascii="GHEA Grapalat" w:hAnsi="GHEA Grapalat" w:cs="GHEA Grapalat"/>
          <w:b/>
          <w:bCs/>
          <w:color w:val="000000"/>
          <w:u w:val="single"/>
          <w:lang w:eastAsia="fr-FR"/>
        </w:rPr>
        <w:t>Ընթացիկ իրավիճակը և իրավական ակտի ընդունման անհրաժեշտությունը</w:t>
      </w:r>
    </w:p>
    <w:p w:rsidR="00AB75B4" w:rsidRPr="00373200" w:rsidRDefault="00AB75B4" w:rsidP="00434484">
      <w:pPr>
        <w:pStyle w:val="ListParagraph"/>
        <w:ind w:left="26" w:right="397" w:firstLine="720"/>
        <w:rPr>
          <w:rFonts w:ascii="GHEA Grapalat" w:hAnsi="GHEA Grapalat" w:cstheme="minorHAnsi"/>
          <w:sz w:val="24"/>
          <w:szCs w:val="24"/>
        </w:rPr>
      </w:pPr>
      <w:r w:rsidRPr="00373200">
        <w:rPr>
          <w:rFonts w:ascii="GHEA Grapalat" w:hAnsi="GHEA Grapalat" w:cstheme="minorHAnsi"/>
          <w:sz w:val="24"/>
          <w:szCs w:val="24"/>
        </w:rPr>
        <w:t>Պրոբացիայի ծառայության ծառայողների կատարողականի գնահատման հարաբերությունները կարգավորվում են «Պրոբացիայի ծառայության մասին» և «Քաղաքացիական ծառայության մասին» ՀՀ օրենքներով։ Հարկ է նշել, որ առկա իրավական կարգավորումների ուսումնասիրությունը վկայում է, որ  օրենսդրությամբ պրոբացիայի ծառայողների համար սահմանված չեն առանձնահատուկ կարգավորումներ, և վերջիններիս գործունեության գնահատման համար կիրառվում է քաղաքացիական ծառայության համակարգում գործող կատարողականի գնահատման համակարգը:</w:t>
      </w:r>
    </w:p>
    <w:p w:rsidR="00AB75B4" w:rsidRPr="00373200" w:rsidRDefault="00AB75B4" w:rsidP="00434484">
      <w:pPr>
        <w:spacing w:line="360" w:lineRule="auto"/>
        <w:ind w:right="397" w:firstLine="720"/>
        <w:jc w:val="both"/>
        <w:rPr>
          <w:rFonts w:ascii="GHEA Grapalat" w:hAnsi="GHEA Grapalat" w:cs="Sylfaen"/>
          <w:iCs/>
          <w:shd w:val="clear" w:color="auto" w:fill="FFFFFF"/>
        </w:rPr>
      </w:pPr>
      <w:r w:rsidRPr="00373200">
        <w:rPr>
          <w:rFonts w:ascii="GHEA Grapalat" w:hAnsi="GHEA Grapalat"/>
          <w:iCs/>
          <w:color w:val="000000"/>
        </w:rPr>
        <w:t xml:space="preserve">Հարկ է նշել, որ </w:t>
      </w:r>
      <w:r w:rsidRPr="00373200">
        <w:rPr>
          <w:rFonts w:ascii="GHEA Grapalat" w:hAnsi="GHEA Grapalat" w:cs="Sylfaen"/>
          <w:iCs/>
          <w:shd w:val="clear" w:color="auto" w:fill="FFFFFF"/>
        </w:rPr>
        <w:t>Պրոբացիայի ծառայության ներկայիս գնահատման համակարգը չի ապահովում անհրաժեշտ արդյունավետություն, չի նպաստում ծառայությունում աշխատող անձանց իրական առաջխաղացմանը, կատարվող աշխատանքների որակի բարելավմանը, հնարավոր խնդիրների, թերությունների վերհանմանը և դրանց հետևողական լուծմանը։</w:t>
      </w:r>
    </w:p>
    <w:p w:rsidR="00AB75B4" w:rsidRPr="00373200" w:rsidRDefault="00AB75B4" w:rsidP="00434484">
      <w:pPr>
        <w:spacing w:line="360" w:lineRule="auto"/>
        <w:ind w:right="397" w:firstLine="720"/>
        <w:jc w:val="both"/>
        <w:rPr>
          <w:rFonts w:ascii="GHEA Grapalat" w:hAnsi="GHEA Grapalat" w:cs="Sylfaen"/>
          <w:iCs/>
          <w:shd w:val="clear" w:color="auto" w:fill="FFFFFF"/>
        </w:rPr>
      </w:pPr>
      <w:r w:rsidRPr="00373200">
        <w:rPr>
          <w:rFonts w:ascii="GHEA Grapalat" w:hAnsi="GHEA Grapalat" w:cs="Sylfaen"/>
          <w:iCs/>
          <w:shd w:val="clear" w:color="auto" w:fill="FFFFFF"/>
        </w:rPr>
        <w:t xml:space="preserve"> Նշվածը պայմանավորում է պրոբացիայի ծառայությունում գնահատման նոր համակարգի ներդրման անհրաժեշտությունը։ </w:t>
      </w:r>
    </w:p>
    <w:p w:rsidR="00AB75B4" w:rsidRPr="00373200" w:rsidRDefault="00AB75B4" w:rsidP="00434484">
      <w:pPr>
        <w:spacing w:line="360" w:lineRule="auto"/>
        <w:ind w:right="397" w:firstLine="720"/>
        <w:jc w:val="both"/>
        <w:rPr>
          <w:rFonts w:ascii="GHEA Grapalat" w:hAnsi="GHEA Grapalat"/>
        </w:rPr>
      </w:pPr>
      <w:r w:rsidRPr="00373200">
        <w:rPr>
          <w:rFonts w:ascii="GHEA Grapalat" w:hAnsi="GHEA Grapalat" w:cs="Sylfaen"/>
          <w:iCs/>
          <w:shd w:val="clear" w:color="auto" w:fill="FFFFFF"/>
        </w:rPr>
        <w:t xml:space="preserve">Պրոբացիայի ծառայության համար կատարողականի գնահատման առանձնահատկությունների սահմանման անհրաժեշտությունը բխում է նաև 2023 դեկտեմբերի 22-ին ընդունված </w:t>
      </w:r>
      <w:r w:rsidRPr="00373200">
        <w:rPr>
          <w:rFonts w:ascii="GHEA Grapalat" w:hAnsi="GHEA Grapalat"/>
        </w:rPr>
        <w:t>«Պրոբացիայի ծառայության մասին» ՀՀ օրենքից, որի արդյունքում պրոբացիայի ծառայությունը առանձնացվեց որպես պետական ծառայության առանձին տեսակ՝ իրեն բնորոշ առանձնահատկություններով պայմանավորված։</w:t>
      </w:r>
    </w:p>
    <w:p w:rsidR="00AB75B4" w:rsidRPr="00373200" w:rsidRDefault="00AB75B4" w:rsidP="00434484">
      <w:pPr>
        <w:spacing w:line="360" w:lineRule="auto"/>
        <w:ind w:right="397" w:firstLine="720"/>
        <w:jc w:val="both"/>
        <w:rPr>
          <w:rFonts w:ascii="GHEA Grapalat" w:hAnsi="GHEA Grapalat"/>
          <w:color w:val="000000"/>
          <w:shd w:val="clear" w:color="auto" w:fill="FFFFFF"/>
        </w:rPr>
      </w:pPr>
      <w:r w:rsidRPr="00373200">
        <w:rPr>
          <w:rFonts w:ascii="GHEA Grapalat" w:hAnsi="GHEA Grapalat"/>
        </w:rPr>
        <w:t xml:space="preserve">Այս կապակցությամբ հարկ է նշել, որ «Պրոբացիայի ծառայության մասին» ՀՀ օրենքի 19-րդ հոդվածով սահմանվեց, որ </w:t>
      </w:r>
      <w:r w:rsidRPr="00373200">
        <w:rPr>
          <w:rFonts w:ascii="GHEA Grapalat" w:hAnsi="GHEA Grapalat"/>
          <w:color w:val="000000"/>
          <w:shd w:val="clear" w:color="auto" w:fill="FFFFFF"/>
        </w:rPr>
        <w:t xml:space="preserve">Պրոբացիայի ծառայողի կատարողականի գնահատման հետ կապված հարաբերությունները կարգավորվում են «Քաղաքացիական ծառայության մասին» օրենքով: «Քաղաքացիական ծառայության մասին» 18-րդ հոդվածի 5-րդ մասի համաձայն «Քաղաքացիական ծառայողի կատարողականի </w:t>
      </w:r>
      <w:r w:rsidRPr="00373200">
        <w:rPr>
          <w:rFonts w:ascii="GHEA Grapalat" w:hAnsi="GHEA Grapalat"/>
          <w:color w:val="000000"/>
          <w:shd w:val="clear" w:color="auto" w:fill="FFFFFF"/>
        </w:rPr>
        <w:lastRenderedPageBreak/>
        <w:t>գնահատման</w:t>
      </w:r>
      <w:r w:rsidRPr="00373200">
        <w:rPr>
          <w:rFonts w:ascii="Sylfaen" w:hAnsi="Sylfaen"/>
          <w:color w:val="000000"/>
          <w:shd w:val="clear" w:color="auto" w:fill="FFFFFF"/>
        </w:rPr>
        <w:t> </w:t>
      </w:r>
      <w:hyperlink r:id="rId9" w:history="1">
        <w:r w:rsidRPr="00373200">
          <w:rPr>
            <w:rFonts w:ascii="GHEA Grapalat" w:hAnsi="GHEA Grapalat"/>
          </w:rPr>
          <w:t>կարգը</w:t>
        </w:r>
      </w:hyperlink>
      <w:r w:rsidRPr="00373200">
        <w:rPr>
          <w:rFonts w:ascii="Sylfaen" w:hAnsi="Sylfaen"/>
        </w:rPr>
        <w:t> </w:t>
      </w:r>
      <w:r w:rsidRPr="00373200">
        <w:rPr>
          <w:rFonts w:ascii="GHEA Grapalat" w:hAnsi="GHEA Grapalat"/>
          <w:color w:val="000000"/>
          <w:shd w:val="clear" w:color="auto" w:fill="FFFFFF"/>
        </w:rPr>
        <w:t>սահմանում է Կառավարությունը՝ հաշվի առնելով համապատասխան մարմինների առանձնահատկությունները»:</w:t>
      </w:r>
    </w:p>
    <w:p w:rsidR="00AB75B4" w:rsidRPr="00373200" w:rsidRDefault="00AB75B4" w:rsidP="00434484">
      <w:pPr>
        <w:spacing w:line="360" w:lineRule="auto"/>
        <w:ind w:right="397" w:firstLine="720"/>
        <w:jc w:val="both"/>
        <w:rPr>
          <w:rFonts w:ascii="GHEA Grapalat" w:hAnsi="GHEA Grapalat"/>
          <w:color w:val="000000"/>
        </w:rPr>
      </w:pPr>
      <w:r w:rsidRPr="00373200">
        <w:rPr>
          <w:rFonts w:ascii="GHEA Grapalat" w:hAnsi="GHEA Grapalat"/>
          <w:color w:val="000000"/>
          <w:shd w:val="clear" w:color="auto" w:fill="FFFFFF"/>
        </w:rPr>
        <w:t xml:space="preserve">Այսպես, </w:t>
      </w:r>
      <w:r w:rsidRPr="00373200">
        <w:rPr>
          <w:rFonts w:ascii="GHEA Grapalat" w:hAnsi="GHEA Grapalat"/>
          <w:color w:val="000000"/>
        </w:rPr>
        <w:t xml:space="preserve">կատարողականի գնահատման հարաբերությունները կարգավորող ՀՀ կառավարության </w:t>
      </w:r>
      <w:r w:rsidRPr="00373200">
        <w:rPr>
          <w:rFonts w:ascii="GHEA Grapalat" w:hAnsi="GHEA Grapalat"/>
          <w:color w:val="000000"/>
          <w:shd w:val="clear" w:color="auto" w:fill="FFFFFF"/>
        </w:rPr>
        <w:t>2011 թվականի</w:t>
      </w:r>
      <w:r w:rsidRPr="00373200">
        <w:rPr>
          <w:rFonts w:ascii="Sylfaen" w:hAnsi="Sylfaen"/>
          <w:color w:val="000000"/>
          <w:shd w:val="clear" w:color="auto" w:fill="FFFFFF"/>
        </w:rPr>
        <w:t> </w:t>
      </w:r>
      <w:r w:rsidRPr="00373200">
        <w:rPr>
          <w:rFonts w:ascii="GHEA Grapalat" w:hAnsi="GHEA Grapalat"/>
          <w:color w:val="000000"/>
          <w:shd w:val="clear" w:color="auto" w:fill="FFFFFF"/>
        </w:rPr>
        <w:t>հոկտեմբերի 20-ի N 1510-Ն</w:t>
      </w:r>
      <w:r w:rsidRPr="00373200">
        <w:rPr>
          <w:rFonts w:ascii="GHEA Grapalat" w:hAnsi="GHEA Grapalat"/>
          <w:color w:val="000000"/>
        </w:rPr>
        <w:t xml:space="preserve"> որոշման ուսումնասիրությունը ցույց է տալիս, որ նույն որոշմամբ կատարողականի գնահատման մասով առանձնահատկություններ են սահմանված Քրեակատարողական ծառայության, Փրկարար ծառայության, Հարկադիր կատարումն ապահովող ծառայության համար, իսկ  պրոբացիայի ծառայողների համար գործում է քաղաքացիական ծառայության ընդհանուր համակարգին բնորոշ կատարողականի գնահատման կարգը: </w:t>
      </w:r>
    </w:p>
    <w:p w:rsidR="00AB75B4" w:rsidRPr="00373200" w:rsidRDefault="00AB75B4" w:rsidP="00434484">
      <w:pPr>
        <w:spacing w:line="360" w:lineRule="auto"/>
        <w:ind w:right="397" w:firstLine="720"/>
        <w:jc w:val="both"/>
        <w:rPr>
          <w:rFonts w:ascii="GHEA Grapalat" w:hAnsi="GHEA Grapalat"/>
          <w:color w:val="000000"/>
        </w:rPr>
      </w:pPr>
      <w:r w:rsidRPr="00373200">
        <w:rPr>
          <w:rFonts w:ascii="GHEA Grapalat" w:hAnsi="GHEA Grapalat"/>
          <w:color w:val="000000"/>
        </w:rPr>
        <w:t xml:space="preserve">Մինչդեռ, հաշվի առնելով պրոբացիայի ծառայության՝ որպես պետական ծառայության առանձին տեսակի առանձնացումը՝ անհրաժեշտ է առանձնահատուկ մոտեցում որդեգրել նաև պրոբացիայի ծառայության դեպքում՝ </w:t>
      </w:r>
      <w:r w:rsidRPr="00373200">
        <w:rPr>
          <w:rFonts w:ascii="GHEA Grapalat" w:hAnsi="GHEA Grapalat"/>
          <w:iCs/>
          <w:shd w:val="clear" w:color="auto" w:fill="FFFFFF"/>
        </w:rPr>
        <w:t>արդյունքում բարեփոխելով պրոբացիայի ծառայության գնահատման համակարգը։ Նշվածը պայմանավորված է նաև այն հանգամանքով, որ ներկայիս գնահատման համակարգը չի ապահովում անհրաժեշտ արդյունավետություն, չի նպաստում ծառայությունում աշխատող անձանց իրական առաջխաղացմանը,</w:t>
      </w:r>
      <w:r w:rsidRPr="00373200">
        <w:rPr>
          <w:rFonts w:ascii="GHEA Grapalat" w:hAnsi="GHEA Grapalat"/>
          <w:color w:val="000000"/>
        </w:rPr>
        <w:t xml:space="preserve"> </w:t>
      </w:r>
      <w:r w:rsidRPr="00373200">
        <w:rPr>
          <w:rFonts w:ascii="GHEA Grapalat" w:hAnsi="GHEA Grapalat"/>
          <w:iCs/>
          <w:shd w:val="clear" w:color="auto" w:fill="FFFFFF"/>
        </w:rPr>
        <w:t>կատարվող աշխատանքների որակի բարելավմանը, հնարավոր խնդիրների, թերությունների վերհանմանը և դրանց հետևողական լուծմանը։</w:t>
      </w:r>
    </w:p>
    <w:p w:rsidR="00AB75B4" w:rsidRPr="00373200" w:rsidRDefault="00AB75B4" w:rsidP="00434484">
      <w:pPr>
        <w:spacing w:line="360" w:lineRule="auto"/>
        <w:ind w:right="397" w:firstLine="720"/>
        <w:jc w:val="both"/>
        <w:rPr>
          <w:rFonts w:ascii="GHEA Grapalat" w:hAnsi="GHEA Grapalat"/>
          <w:b/>
          <w:bCs/>
          <w:iCs/>
          <w:shd w:val="clear" w:color="auto" w:fill="FFFFFF"/>
        </w:rPr>
      </w:pPr>
      <w:r w:rsidRPr="00373200">
        <w:rPr>
          <w:rFonts w:ascii="GHEA Grapalat" w:hAnsi="GHEA Grapalat"/>
          <w:iCs/>
          <w:shd w:val="clear" w:color="auto" w:fill="FFFFFF"/>
        </w:rPr>
        <w:t xml:space="preserve">Նշված հիմնահարցի կապակցությամբ հարկ է անդրադառնալ նաև </w:t>
      </w:r>
      <w:r w:rsidRPr="00373200">
        <w:rPr>
          <w:rFonts w:ascii="GHEA Grapalat" w:hAnsi="GHEA Grapalat"/>
          <w:b/>
          <w:bCs/>
          <w:iCs/>
          <w:shd w:val="clear" w:color="auto" w:fill="FFFFFF"/>
        </w:rPr>
        <w:t>միջազգային փորձի ուսումնասիրությանը։</w:t>
      </w:r>
    </w:p>
    <w:p w:rsidR="00AB75B4" w:rsidRPr="00373200" w:rsidRDefault="00AB75B4" w:rsidP="00434484">
      <w:pPr>
        <w:spacing w:line="360" w:lineRule="auto"/>
        <w:ind w:right="397" w:firstLine="720"/>
        <w:jc w:val="both"/>
        <w:rPr>
          <w:rFonts w:ascii="GHEA Grapalat" w:hAnsi="GHEA Grapalat"/>
        </w:rPr>
      </w:pPr>
      <w:r w:rsidRPr="00373200">
        <w:rPr>
          <w:rFonts w:ascii="GHEA Grapalat" w:hAnsi="GHEA Grapalat"/>
          <w:iCs/>
          <w:shd w:val="clear" w:color="auto" w:fill="FFFFFF"/>
        </w:rPr>
        <w:t xml:space="preserve">Այսպես, </w:t>
      </w:r>
      <w:r w:rsidRPr="00373200">
        <w:rPr>
          <w:rFonts w:ascii="GHEA Grapalat" w:hAnsi="GHEA Grapalat"/>
          <w:b/>
        </w:rPr>
        <w:t xml:space="preserve">Եվրոպայի խորհրդի՝ </w:t>
      </w:r>
      <w:r w:rsidRPr="00373200">
        <w:rPr>
          <w:rFonts w:ascii="GHEA Grapalat" w:hAnsi="GHEA Grapalat"/>
          <w:bCs/>
        </w:rPr>
        <w:t>Քրեակատարողական հիմնարկների և Պրոբացիայի ծառայության անձնակազմի հավաքագրման, ընտրության, կրթության, վերապատրաստման և մասնագիտական զարգացման ուղեցույցը սահմանում է, որ (2019 թվական Ուղեցույց 11) անհրաժեշտ է մշակել անձնակազմի բոլոր անդամների կատարողականի տարեկան գնահատման թափանցիկ համակարգ, որը կնպաստի նրանց աշխատանքային առաջխաղացմանը և մասնագիտական զարգացմանը։</w:t>
      </w:r>
      <w:r w:rsidRPr="00373200">
        <w:rPr>
          <w:rFonts w:ascii="GHEA Grapalat" w:hAnsi="GHEA Grapalat"/>
        </w:rPr>
        <w:t xml:space="preserve"> ԵԽ ուղեցույցում նշվում է նաև, որ գնահատումներ իրականացնող անձնակազմը պետք է համապատասխան վերապատրաստում անցնի՝ արդարացի գնահատման համակարգ ապահովելու համար։</w:t>
      </w:r>
    </w:p>
    <w:p w:rsidR="00AB75B4" w:rsidRPr="00373200" w:rsidRDefault="00AB75B4" w:rsidP="00434484">
      <w:pPr>
        <w:spacing w:line="360" w:lineRule="auto"/>
        <w:ind w:right="397" w:firstLine="720"/>
        <w:jc w:val="both"/>
        <w:rPr>
          <w:rFonts w:ascii="GHEA Grapalat" w:hAnsi="GHEA Grapalat"/>
        </w:rPr>
      </w:pPr>
      <w:r w:rsidRPr="00373200">
        <w:rPr>
          <w:rFonts w:ascii="GHEA Grapalat" w:hAnsi="GHEA Grapalat"/>
        </w:rPr>
        <w:lastRenderedPageBreak/>
        <w:t xml:space="preserve">Այսպես, օրինակ՝ </w:t>
      </w:r>
      <w:r w:rsidRPr="00373200">
        <w:rPr>
          <w:rFonts w:ascii="GHEA Grapalat" w:hAnsi="GHEA Grapalat"/>
          <w:b/>
          <w:bCs/>
        </w:rPr>
        <w:t>Իռլանդիայում</w:t>
      </w:r>
      <w:r w:rsidRPr="00373200">
        <w:rPr>
          <w:rFonts w:ascii="GHEA Grapalat" w:hAnsi="GHEA Grapalat"/>
        </w:rPr>
        <w:t xml:space="preserve"> պրոբացիայի ծառայության անձնակազմը քաղաքացիական ծառայողներ են: Գնահատումն իրականացվում է քաղաքացիական տարեկան կտրվածքով, որի նպատակն է կառավարել և բարելավել կատարողական արդյունքներն անհատական մակարդակով ՝ քաղաքացիական ծառայության ներկայիս և ապագա բարեփոխումներն արդյունավետ իրականացնելու համար: Գնահատումն իրականացվում է անմիջական ղեկավարի կողմից՝ անձնակազմի գնահատման համար հատուկ մշակված էլեկտրոնային համակարգով: Այն իրականացվում է 3 փուլով (նպատակների սահմանում, կիսամյակային գնահատում, տարեվերջյան գնահատում), ընդ որում՝  արդյունքը կարող է լինել բավարար կամ անբավարար: </w:t>
      </w:r>
    </w:p>
    <w:p w:rsidR="00AB75B4" w:rsidRPr="00373200" w:rsidRDefault="00AB75B4" w:rsidP="00434484">
      <w:pPr>
        <w:spacing w:line="360" w:lineRule="auto"/>
        <w:ind w:right="397" w:firstLine="720"/>
        <w:jc w:val="both"/>
        <w:rPr>
          <w:rFonts w:ascii="GHEA Grapalat" w:hAnsi="GHEA Grapalat"/>
        </w:rPr>
      </w:pPr>
      <w:r w:rsidRPr="00373200">
        <w:rPr>
          <w:rFonts w:ascii="GHEA Grapalat" w:hAnsi="GHEA Grapalat"/>
        </w:rPr>
        <w:t xml:space="preserve">Իռլանդիայում նպատակների սահմանումը գործընթացի կարևոր փուլ է, որն ունի հետևյալ կառուցվածքը. նպատակներ և հարակից առաջադրանքներ (պարտադիր), յուրաքանչյուր նպատակի հետ կապված իրավասություններ (պարտադիր), ուսուցման կարիքներ (ըստ անհրաժեշտության), անձի աշխատանքային առաջխաղացում (ըստ ցանկության), հետադարձ կապը համապատասխան փուլերում (ըստ ցանկության): </w:t>
      </w:r>
    </w:p>
    <w:p w:rsidR="00AB75B4" w:rsidRPr="00373200" w:rsidRDefault="00AB75B4" w:rsidP="00434484">
      <w:pPr>
        <w:spacing w:line="360" w:lineRule="auto"/>
        <w:ind w:right="397" w:firstLine="720"/>
        <w:jc w:val="both"/>
        <w:rPr>
          <w:rFonts w:ascii="GHEA Grapalat" w:hAnsi="GHEA Grapalat"/>
        </w:rPr>
      </w:pPr>
      <w:r w:rsidRPr="00373200">
        <w:rPr>
          <w:rFonts w:ascii="GHEA Grapalat" w:hAnsi="GHEA Grapalat"/>
          <w:b/>
          <w:bCs/>
        </w:rPr>
        <w:t>Սլովենիայում</w:t>
      </w:r>
      <w:r w:rsidRPr="00373200">
        <w:rPr>
          <w:rFonts w:ascii="GHEA Grapalat" w:hAnsi="GHEA Grapalat"/>
        </w:rPr>
        <w:t xml:space="preserve"> պրոբացիայի ծառայության անձնակազմը նույնպես քաղաքացիական ծառայողներ են: Գնահատման արդյունքներով նախատեսվում է պարգևատրման տրամադրում, ծառայողական աստիճանի և աշխատավարձի բարձրացում: Գնահատման ոլորտներն են անձնակազմի կատարողականը, անկախությունը, ստեղծագործական մոտեցումները և ճշգրիտ աշխատանքը, աշխատանքի հուսալիությունը, համագործակցությունը, աշխատանքի կազմակերպումը և աշխատանքի հետ կապված այլ ունակությունները:</w:t>
      </w:r>
    </w:p>
    <w:p w:rsidR="00AB75B4" w:rsidRPr="00373200" w:rsidRDefault="00AB75B4" w:rsidP="00434484">
      <w:pPr>
        <w:spacing w:line="360" w:lineRule="auto"/>
        <w:ind w:right="397" w:firstLine="720"/>
        <w:jc w:val="both"/>
        <w:rPr>
          <w:rFonts w:ascii="GHEA Grapalat" w:hAnsi="GHEA Grapalat"/>
        </w:rPr>
      </w:pPr>
      <w:r w:rsidRPr="00373200">
        <w:rPr>
          <w:rFonts w:ascii="GHEA Grapalat" w:hAnsi="GHEA Grapalat"/>
        </w:rPr>
        <w:t xml:space="preserve"> Գնահատումը կատարվում է ղեկավարի կողմից տարեկան կտրվածքով կամ աշխատավարձի վերանայման նկատառումներից ելնելով (տարեկան առնվազն երկու անգամ): Անմիջական ղեկավարն ամբողջ տարվա ընթացքում վերահսկում է պրոբացիայի ծառայողների աշխատանքը, այնուհետև գնահատում է այն որոշակի չափորոշիչների հիման վրա: Գնահատման արդյունքներն են՝ գերազանց, շատ լավ, լավ և բավարար (կատարողական), կամ տրվում են աշխատավարձի վրա ազդող միավորներ։ </w:t>
      </w:r>
    </w:p>
    <w:p w:rsidR="00AB75B4" w:rsidRPr="00373200" w:rsidRDefault="00AB75B4" w:rsidP="00434484">
      <w:pPr>
        <w:spacing w:line="360" w:lineRule="auto"/>
        <w:ind w:right="397" w:firstLine="720"/>
        <w:jc w:val="both"/>
        <w:rPr>
          <w:rFonts w:ascii="GHEA Grapalat" w:hAnsi="GHEA Grapalat"/>
        </w:rPr>
      </w:pPr>
      <w:r w:rsidRPr="00373200">
        <w:rPr>
          <w:rFonts w:ascii="GHEA Grapalat" w:hAnsi="GHEA Grapalat"/>
          <w:b/>
          <w:bCs/>
        </w:rPr>
        <w:lastRenderedPageBreak/>
        <w:t>Ռումինիայում</w:t>
      </w:r>
      <w:r w:rsidRPr="00373200">
        <w:rPr>
          <w:rFonts w:ascii="GHEA Grapalat" w:hAnsi="GHEA Grapalat"/>
        </w:rPr>
        <w:t xml:space="preserve"> պրոբացիայի հարցերով խորհրդականները Արդարադատության նախարարության հանրային ծառայողների հատուկ կատեգորիա են: Գնահատման արդյունքները կարող են հանգեցնել աշխատանքային առաջխաղացման, վերապատրաստման և շարունակական մասնագիտական զարգացման կարիքների բացահայտման, պարգևատրման, աշխատանքից ազատման: Գնահատումների նպատակներն երկու ոլորտներում են՝ աշխատանք և կատարողական արդյունք, մասնագիտական </w:t>
      </w:r>
      <w:r w:rsidRPr="00373200">
        <w:t>​​</w:t>
      </w:r>
      <w:r w:rsidRPr="00373200">
        <w:rPr>
          <w:rFonts w:ascii="GHEA Grapalat" w:hAnsi="GHEA Grapalat"/>
        </w:rPr>
        <w:t xml:space="preserve">ներուժ: Գնահատման միավորներն են՝ 1.00- 3.00 = շատ ցածր, 3.01-5.00 = ցածր, 5.01-7.00 = բավարար, 7.01-9.00 = լավ, 9.01-10.00 = շատ լավ։ Գնահատման դրական արդյունքներն են՝ աշխատանքային առաջխաղացումը, դասընթացավարման հնարավորությունը, պարգևատրումները: </w:t>
      </w:r>
    </w:p>
    <w:p w:rsidR="00AB75B4" w:rsidRPr="00373200" w:rsidRDefault="00AB75B4" w:rsidP="00434484">
      <w:pPr>
        <w:spacing w:line="360" w:lineRule="auto"/>
        <w:ind w:right="397" w:firstLine="720"/>
        <w:jc w:val="both"/>
        <w:rPr>
          <w:rFonts w:ascii="GHEA Grapalat" w:hAnsi="GHEA Grapalat"/>
        </w:rPr>
      </w:pPr>
      <w:r w:rsidRPr="00373200">
        <w:rPr>
          <w:rFonts w:ascii="GHEA Grapalat" w:hAnsi="GHEA Grapalat"/>
        </w:rPr>
        <w:t xml:space="preserve">Բացասական արդյունքները հետևյալն են՝ 1 տարվա ընթացքում շատ ցածր և ցածր միավորները կարող են հանգեցնել աշխատանքային առաջխաղացման կասեցման, երկու տարի անընդմեջ շատ ցածր և ցածր միավորները կարող են հանգեցնել աշխատանքից ազատման, 5 տարվա ընթացքում 3 անգամ ցածր միավորների դեպքում՝ աշխատանքից ազատման։  1-ից մինչև 5 միավոր հավաքող անձնակազմի համար կարող են առաջարկվել աջակցության միջոցառումներ՝ նրանց կատարողական արդյունքը բարելավելու համար:  </w:t>
      </w:r>
    </w:p>
    <w:p w:rsidR="00AB75B4" w:rsidRPr="00373200" w:rsidRDefault="00AB75B4" w:rsidP="00434484">
      <w:pPr>
        <w:spacing w:line="360" w:lineRule="auto"/>
        <w:ind w:right="397" w:firstLine="720"/>
        <w:jc w:val="both"/>
        <w:rPr>
          <w:rFonts w:ascii="GHEA Grapalat" w:hAnsi="GHEA Grapalat"/>
          <w:iCs/>
          <w:shd w:val="clear" w:color="auto" w:fill="FFFFFF"/>
        </w:rPr>
      </w:pPr>
    </w:p>
    <w:p w:rsidR="00AB75B4" w:rsidRPr="00373200" w:rsidRDefault="00AB75B4" w:rsidP="00434484">
      <w:pPr>
        <w:spacing w:line="360" w:lineRule="auto"/>
        <w:ind w:right="397" w:firstLine="720"/>
        <w:jc w:val="both"/>
        <w:rPr>
          <w:rFonts w:ascii="GHEA Grapalat" w:hAnsi="GHEA Grapalat" w:cs="Sylfaen"/>
          <w:b/>
          <w:u w:val="single"/>
        </w:rPr>
      </w:pPr>
      <w:r w:rsidRPr="00373200">
        <w:rPr>
          <w:rFonts w:ascii="GHEA Grapalat" w:hAnsi="GHEA Grapalat" w:cs="Sylfaen"/>
          <w:b/>
          <w:u w:val="single"/>
        </w:rPr>
        <w:t>Առաջարկվող կարգավորման բնույթը</w:t>
      </w:r>
    </w:p>
    <w:p w:rsidR="00AB75B4" w:rsidRPr="00373200" w:rsidRDefault="00AB75B4" w:rsidP="00434484">
      <w:pPr>
        <w:autoSpaceDE w:val="0"/>
        <w:autoSpaceDN w:val="0"/>
        <w:adjustRightInd w:val="0"/>
        <w:spacing w:line="360" w:lineRule="auto"/>
        <w:ind w:right="397" w:firstLine="720"/>
        <w:jc w:val="both"/>
        <w:rPr>
          <w:rFonts w:ascii="GHEA Grapalat" w:eastAsiaTheme="minorEastAsia" w:hAnsi="GHEA Grapalat"/>
          <w:bCs/>
          <w:lang w:eastAsia="ru-RU"/>
        </w:rPr>
      </w:pPr>
      <w:r w:rsidRPr="00373200">
        <w:rPr>
          <w:rFonts w:ascii="GHEA Grapalat" w:eastAsiaTheme="minorEastAsia" w:hAnsi="GHEA Grapalat"/>
          <w:bCs/>
          <w:lang w:eastAsia="ru-RU"/>
        </w:rPr>
        <w:t>Նախագծով ներկայացվում են հետևյալ հիմնական կարգավորումները</w:t>
      </w:r>
      <w:r w:rsidR="00F42A03" w:rsidRPr="00373200">
        <w:rPr>
          <w:rFonts w:ascii="GHEA Grapalat" w:eastAsiaTheme="minorEastAsia" w:hAnsi="GHEA Grapalat"/>
          <w:bCs/>
          <w:lang w:eastAsia="ru-RU"/>
        </w:rPr>
        <w:t>.</w:t>
      </w:r>
    </w:p>
    <w:p w:rsidR="00AB75B4" w:rsidRPr="00373200" w:rsidRDefault="00AB75B4" w:rsidP="00434484">
      <w:pPr>
        <w:autoSpaceDE w:val="0"/>
        <w:autoSpaceDN w:val="0"/>
        <w:adjustRightInd w:val="0"/>
        <w:spacing w:line="360" w:lineRule="auto"/>
        <w:ind w:right="397" w:firstLine="720"/>
        <w:jc w:val="both"/>
        <w:rPr>
          <w:rFonts w:ascii="GHEA Grapalat" w:eastAsiaTheme="minorEastAsia" w:hAnsi="GHEA Grapalat"/>
          <w:bCs/>
          <w:lang w:eastAsia="ru-RU"/>
        </w:rPr>
      </w:pPr>
      <w:r w:rsidRPr="00373200">
        <w:rPr>
          <w:rFonts w:ascii="GHEA Grapalat" w:eastAsiaTheme="minorEastAsia" w:hAnsi="GHEA Grapalat"/>
          <w:bCs/>
          <w:lang w:eastAsia="ru-RU"/>
        </w:rPr>
        <w:t>Նախատեսվում է՝</w:t>
      </w:r>
    </w:p>
    <w:p w:rsidR="00AB75B4" w:rsidRPr="00373200" w:rsidRDefault="00AB75B4" w:rsidP="00434484">
      <w:pPr>
        <w:pStyle w:val="ListParagraph"/>
        <w:numPr>
          <w:ilvl w:val="0"/>
          <w:numId w:val="21"/>
        </w:numPr>
        <w:autoSpaceDE w:val="0"/>
        <w:autoSpaceDN w:val="0"/>
        <w:adjustRightInd w:val="0"/>
        <w:ind w:right="397" w:firstLine="720"/>
        <w:rPr>
          <w:rFonts w:ascii="GHEA Grapalat" w:eastAsiaTheme="minorEastAsia" w:hAnsi="GHEA Grapalat"/>
          <w:bCs/>
          <w:sz w:val="24"/>
          <w:szCs w:val="24"/>
          <w:lang w:eastAsia="ru-RU"/>
        </w:rPr>
      </w:pPr>
      <w:r w:rsidRPr="00373200">
        <w:rPr>
          <w:rFonts w:ascii="GHEA Grapalat" w:eastAsia="Times New Roman" w:hAnsi="GHEA Grapalat"/>
          <w:color w:val="000000"/>
          <w:sz w:val="24"/>
          <w:szCs w:val="24"/>
        </w:rPr>
        <w:t xml:space="preserve">Տարեկան աշխատանքային ծրագիրը կազմելիս հաշվի առնել Կառավարության ծրագրով և ոլորտային ռազմավարություններով պրոբացիայի ծառայության համար ամրագրված նպատակները և խնդիրները, տվյալ ստորաբաժանման </w:t>
      </w:r>
      <w:r w:rsidRPr="00373200">
        <w:rPr>
          <w:rFonts w:ascii="GHEA Grapalat" w:eastAsia="Times New Roman" w:hAnsi="GHEA Grapalat" w:cs="Calibri"/>
          <w:color w:val="000000"/>
          <w:sz w:val="24"/>
          <w:szCs w:val="24"/>
        </w:rPr>
        <w:t>(</w:t>
      </w:r>
      <w:r w:rsidRPr="00373200">
        <w:rPr>
          <w:rFonts w:ascii="GHEA Grapalat" w:eastAsia="Times New Roman" w:hAnsi="GHEA Grapalat"/>
          <w:color w:val="000000"/>
          <w:sz w:val="24"/>
          <w:szCs w:val="24"/>
        </w:rPr>
        <w:t>բաժնի</w:t>
      </w:r>
      <w:r w:rsidRPr="00373200">
        <w:rPr>
          <w:rFonts w:ascii="GHEA Grapalat" w:eastAsia="Times New Roman" w:hAnsi="GHEA Grapalat" w:cs="Calibri"/>
          <w:color w:val="000000"/>
          <w:sz w:val="24"/>
          <w:szCs w:val="24"/>
        </w:rPr>
        <w:t>)</w:t>
      </w:r>
      <w:r w:rsidRPr="00373200">
        <w:rPr>
          <w:rFonts w:ascii="GHEA Grapalat" w:eastAsia="Times New Roman" w:hAnsi="GHEA Grapalat"/>
          <w:color w:val="000000"/>
          <w:sz w:val="24"/>
          <w:szCs w:val="24"/>
        </w:rPr>
        <w:t xml:space="preserve"> իրավասություններին առնչվող, տվյալ մարմնի կանոնադրությամբ սահմանված նպատակները և խնդիրները, ծառայողի պաշտոնի անձնագիրը</w:t>
      </w:r>
    </w:p>
    <w:p w:rsidR="00AB75B4" w:rsidRPr="00373200" w:rsidRDefault="00AB75B4" w:rsidP="00434484">
      <w:pPr>
        <w:pStyle w:val="ListParagraph"/>
        <w:numPr>
          <w:ilvl w:val="0"/>
          <w:numId w:val="21"/>
        </w:numPr>
        <w:shd w:val="clear" w:color="auto" w:fill="FFFFFF"/>
        <w:ind w:right="397" w:firstLine="720"/>
        <w:rPr>
          <w:rFonts w:ascii="GHEA Grapalat" w:eastAsia="Times New Roman" w:hAnsi="GHEA Grapalat"/>
          <w:color w:val="000000"/>
          <w:sz w:val="24"/>
          <w:szCs w:val="24"/>
        </w:rPr>
      </w:pPr>
      <w:r w:rsidRPr="00373200">
        <w:rPr>
          <w:rFonts w:ascii="GHEA Grapalat" w:eastAsia="Times New Roman" w:hAnsi="GHEA Grapalat"/>
          <w:color w:val="000000"/>
          <w:sz w:val="24"/>
          <w:szCs w:val="24"/>
        </w:rPr>
        <w:t xml:space="preserve">Աշխատանքային ծրագրերում ընդգրկվել ծառայողի կողմից փաստացի իրականացվող աշխատանքները, ինչպես նաև </w:t>
      </w:r>
      <w:r w:rsidRPr="00373200">
        <w:rPr>
          <w:rFonts w:ascii="GHEA Grapalat" w:hAnsi="GHEA Grapalat"/>
          <w:color w:val="000000"/>
          <w:sz w:val="24"/>
          <w:szCs w:val="24"/>
          <w:shd w:val="clear" w:color="auto" w:fill="FFFFFF"/>
        </w:rPr>
        <w:t xml:space="preserve">մասնագիտական գիտելիքների, </w:t>
      </w:r>
      <w:r w:rsidRPr="00373200">
        <w:rPr>
          <w:rFonts w:ascii="GHEA Grapalat" w:hAnsi="GHEA Grapalat"/>
          <w:sz w:val="24"/>
          <w:szCs w:val="24"/>
        </w:rPr>
        <w:lastRenderedPageBreak/>
        <w:t xml:space="preserve">աշխատանքային հմտությունների կատարելագործմանը  </w:t>
      </w:r>
      <w:r w:rsidRPr="00373200">
        <w:rPr>
          <w:rFonts w:ascii="GHEA Grapalat" w:hAnsi="GHEA Grapalat"/>
          <w:color w:val="000000"/>
          <w:sz w:val="24"/>
          <w:szCs w:val="24"/>
          <w:shd w:val="clear" w:color="auto" w:fill="FFFFFF"/>
        </w:rPr>
        <w:t>և աճին ուղղված</w:t>
      </w:r>
      <w:r w:rsidRPr="00373200">
        <w:rPr>
          <w:rFonts w:ascii="Sylfaen" w:hAnsi="Sylfaen"/>
          <w:color w:val="000000"/>
          <w:sz w:val="24"/>
          <w:szCs w:val="24"/>
          <w:shd w:val="clear" w:color="auto" w:fill="FFFFFF"/>
        </w:rPr>
        <w:t> </w:t>
      </w:r>
      <w:r w:rsidRPr="00373200">
        <w:rPr>
          <w:rFonts w:ascii="GHEA Grapalat" w:hAnsi="GHEA Grapalat"/>
          <w:color w:val="000000"/>
          <w:sz w:val="24"/>
          <w:szCs w:val="24"/>
          <w:shd w:val="clear" w:color="auto" w:fill="FFFFFF"/>
        </w:rPr>
        <w:t xml:space="preserve"> միջոցառումներին </w:t>
      </w:r>
      <w:r w:rsidRPr="00373200">
        <w:rPr>
          <w:rFonts w:ascii="GHEA Grapalat" w:hAnsi="GHEA Grapalat" w:cs="Calibri"/>
          <w:color w:val="000000"/>
          <w:sz w:val="24"/>
          <w:szCs w:val="24"/>
          <w:shd w:val="clear" w:color="auto" w:fill="FFFFFF"/>
        </w:rPr>
        <w:t>(վերապատրաստում, սեմինար, դասընթաց, գիտական և գիտատեխնիկական գործունեություն, այլ միջոցառումներ)</w:t>
      </w:r>
      <w:r w:rsidRPr="00373200">
        <w:rPr>
          <w:rFonts w:ascii="GHEA Grapalat" w:hAnsi="GHEA Grapalat"/>
          <w:color w:val="000000"/>
          <w:sz w:val="24"/>
          <w:szCs w:val="24"/>
          <w:shd w:val="clear" w:color="auto" w:fill="FFFFFF"/>
        </w:rPr>
        <w:t xml:space="preserve"> մասնակցության վերաբերյալ տվյալները</w:t>
      </w:r>
      <w:r w:rsidRPr="00373200">
        <w:rPr>
          <w:rFonts w:ascii="GHEA Grapalat" w:eastAsia="Times New Roman" w:hAnsi="GHEA Grapalat"/>
          <w:color w:val="000000"/>
          <w:sz w:val="24"/>
          <w:szCs w:val="24"/>
        </w:rPr>
        <w:t xml:space="preserve"> </w:t>
      </w:r>
    </w:p>
    <w:p w:rsidR="00AB75B4" w:rsidRPr="00373200" w:rsidRDefault="00AB75B4" w:rsidP="00434484">
      <w:pPr>
        <w:pStyle w:val="ListParagraph"/>
        <w:numPr>
          <w:ilvl w:val="0"/>
          <w:numId w:val="21"/>
        </w:numPr>
        <w:shd w:val="clear" w:color="auto" w:fill="FFFFFF"/>
        <w:ind w:right="397" w:firstLine="720"/>
        <w:rPr>
          <w:rFonts w:ascii="GHEA Grapalat" w:eastAsia="Times New Roman" w:hAnsi="GHEA Grapalat"/>
          <w:color w:val="000000"/>
          <w:sz w:val="24"/>
          <w:szCs w:val="24"/>
        </w:rPr>
      </w:pPr>
      <w:r w:rsidRPr="00373200">
        <w:rPr>
          <w:rFonts w:ascii="GHEA Grapalat" w:eastAsia="Times New Roman" w:hAnsi="GHEA Grapalat"/>
          <w:color w:val="000000"/>
          <w:sz w:val="24"/>
          <w:szCs w:val="24"/>
        </w:rPr>
        <w:t>Տարեկան աշխատանքային ծրագիրը կազմվել անմիջական ղեկավարի և ծառայողի կողմից համատեղ</w:t>
      </w:r>
    </w:p>
    <w:p w:rsidR="00AB75B4" w:rsidRPr="00373200" w:rsidRDefault="00AB75B4" w:rsidP="00434484">
      <w:pPr>
        <w:pStyle w:val="ListParagraph"/>
        <w:numPr>
          <w:ilvl w:val="0"/>
          <w:numId w:val="21"/>
        </w:numPr>
        <w:shd w:val="clear" w:color="auto" w:fill="FFFFFF"/>
        <w:ind w:right="397" w:firstLine="720"/>
        <w:rPr>
          <w:rFonts w:ascii="GHEA Grapalat" w:eastAsia="Times New Roman" w:hAnsi="GHEA Grapalat"/>
          <w:color w:val="000000"/>
          <w:sz w:val="24"/>
          <w:szCs w:val="24"/>
        </w:rPr>
      </w:pPr>
      <w:r w:rsidRPr="00373200">
        <w:rPr>
          <w:rFonts w:ascii="GHEA Grapalat" w:eastAsia="Times New Roman" w:hAnsi="GHEA Grapalat"/>
          <w:color w:val="000000"/>
          <w:sz w:val="24"/>
          <w:szCs w:val="24"/>
        </w:rPr>
        <w:t>Կատարողականի գնահատումն իրականացնել e-probation էլեկտրոնային համակարգի միջոցով` հաշվի առնելով  հաշվետու ժամանակաշրջանում աշխատանքային ծրագրով նախատեսված աշխատանքները ժամանակին, ամբողջ ծավալով, պատշաճ որակով իրականացնելը</w:t>
      </w:r>
    </w:p>
    <w:p w:rsidR="00AB75B4" w:rsidRPr="00373200" w:rsidRDefault="00AB75B4" w:rsidP="00434484">
      <w:pPr>
        <w:pStyle w:val="ListParagraph"/>
        <w:numPr>
          <w:ilvl w:val="0"/>
          <w:numId w:val="21"/>
        </w:numPr>
        <w:shd w:val="clear" w:color="auto" w:fill="FFFFFF"/>
        <w:ind w:right="397" w:firstLine="720"/>
        <w:rPr>
          <w:rFonts w:ascii="GHEA Grapalat" w:eastAsia="Times New Roman" w:hAnsi="GHEA Grapalat"/>
          <w:color w:val="000000"/>
          <w:sz w:val="24"/>
          <w:szCs w:val="24"/>
        </w:rPr>
      </w:pPr>
      <w:r w:rsidRPr="00373200">
        <w:rPr>
          <w:rFonts w:ascii="GHEA Grapalat" w:eastAsia="Times New Roman" w:hAnsi="GHEA Grapalat"/>
          <w:color w:val="000000"/>
          <w:sz w:val="24"/>
          <w:szCs w:val="24"/>
        </w:rPr>
        <w:t>Ծառայողի կատարողականը գնահատել՝ հիմք ընդունելով ինքնագնահատման մասին թերթիկը և նրա աշխատանքային ծրագրով հաստատված կատարողականի գնահատման ցուցիչները</w:t>
      </w:r>
    </w:p>
    <w:p w:rsidR="00AB75B4" w:rsidRPr="00373200" w:rsidRDefault="00AB75B4" w:rsidP="00434484">
      <w:pPr>
        <w:pStyle w:val="ListParagraph"/>
        <w:numPr>
          <w:ilvl w:val="0"/>
          <w:numId w:val="21"/>
        </w:numPr>
        <w:autoSpaceDE w:val="0"/>
        <w:autoSpaceDN w:val="0"/>
        <w:adjustRightInd w:val="0"/>
        <w:ind w:right="397" w:firstLine="720"/>
        <w:rPr>
          <w:rFonts w:ascii="GHEA Grapalat" w:eastAsiaTheme="minorEastAsia" w:hAnsi="GHEA Grapalat"/>
          <w:bCs/>
          <w:sz w:val="24"/>
          <w:szCs w:val="24"/>
          <w:lang w:eastAsia="ru-RU"/>
        </w:rPr>
      </w:pPr>
      <w:r w:rsidRPr="00373200">
        <w:rPr>
          <w:rFonts w:ascii="GHEA Grapalat" w:hAnsi="GHEA Grapalat"/>
          <w:sz w:val="24"/>
          <w:szCs w:val="24"/>
        </w:rPr>
        <w:t xml:space="preserve">1 տարվա համար առավելագույն հնարավոր միավոր սահմանել 100 միավորը, որը հատկացվելու է՝ հաշվի առնելով աշխատանքների կատարման ժամանակը, ծավալը և որակը։ </w:t>
      </w:r>
      <w:r w:rsidRPr="00373200">
        <w:rPr>
          <w:rFonts w:ascii="GHEA Grapalat" w:eastAsia="Times New Roman" w:hAnsi="GHEA Grapalat"/>
          <w:color w:val="000000"/>
          <w:sz w:val="24"/>
          <w:szCs w:val="24"/>
        </w:rPr>
        <w:t xml:space="preserve">Կատարողականի գնահատման համար նախատեսված 100 միավորից 70-ը հատկացնել փաստացի իրականացվող աշխատանքների գնահատմանը, 30-ը` </w:t>
      </w:r>
      <w:r w:rsidRPr="00373200">
        <w:rPr>
          <w:rFonts w:ascii="GHEA Grapalat" w:hAnsi="GHEA Grapalat"/>
          <w:color w:val="000000"/>
          <w:sz w:val="24"/>
          <w:szCs w:val="24"/>
          <w:shd w:val="clear" w:color="auto" w:fill="FFFFFF"/>
        </w:rPr>
        <w:t xml:space="preserve">մասնագիտական գիտելիքների, </w:t>
      </w:r>
      <w:r w:rsidRPr="00373200">
        <w:rPr>
          <w:rFonts w:ascii="GHEA Grapalat" w:hAnsi="GHEA Grapalat"/>
          <w:sz w:val="24"/>
          <w:szCs w:val="24"/>
        </w:rPr>
        <w:t xml:space="preserve">աշխատանքային հմտությունների կատարելագործմանը </w:t>
      </w:r>
      <w:r w:rsidRPr="00373200">
        <w:rPr>
          <w:rFonts w:ascii="GHEA Grapalat" w:hAnsi="GHEA Grapalat"/>
          <w:color w:val="000000"/>
          <w:sz w:val="24"/>
          <w:szCs w:val="24"/>
          <w:shd w:val="clear" w:color="auto" w:fill="FFFFFF"/>
        </w:rPr>
        <w:t>և աճին ուղղված</w:t>
      </w:r>
      <w:r w:rsidRPr="00373200">
        <w:rPr>
          <w:rFonts w:ascii="Sylfaen" w:hAnsi="Sylfaen"/>
          <w:color w:val="000000"/>
          <w:sz w:val="24"/>
          <w:szCs w:val="24"/>
          <w:shd w:val="clear" w:color="auto" w:fill="FFFFFF"/>
        </w:rPr>
        <w:t> </w:t>
      </w:r>
      <w:r w:rsidRPr="00373200">
        <w:rPr>
          <w:rFonts w:ascii="GHEA Grapalat" w:hAnsi="GHEA Grapalat"/>
          <w:color w:val="000000"/>
          <w:sz w:val="24"/>
          <w:szCs w:val="24"/>
          <w:shd w:val="clear" w:color="auto" w:fill="FFFFFF"/>
        </w:rPr>
        <w:t xml:space="preserve"> միջոցառումներին մասնակցությանը:  Ըստ այդմ, 70-100 միավորը համարվելու է կատարողականի դրական գնահատական, իսկ 70-ից ցածրը՝ բացասական</w:t>
      </w:r>
    </w:p>
    <w:p w:rsidR="00AB75B4" w:rsidRPr="00373200" w:rsidRDefault="00AB75B4" w:rsidP="00434484">
      <w:pPr>
        <w:pStyle w:val="ListParagraph"/>
        <w:numPr>
          <w:ilvl w:val="0"/>
          <w:numId w:val="21"/>
        </w:numPr>
        <w:shd w:val="clear" w:color="auto" w:fill="FFFFFF"/>
        <w:ind w:right="397" w:firstLine="720"/>
        <w:rPr>
          <w:rFonts w:ascii="GHEA Grapalat" w:eastAsia="Times New Roman" w:hAnsi="GHEA Grapalat"/>
          <w:color w:val="000000"/>
          <w:sz w:val="24"/>
          <w:szCs w:val="24"/>
        </w:rPr>
      </w:pPr>
      <w:r w:rsidRPr="00373200">
        <w:rPr>
          <w:rFonts w:ascii="GHEA Grapalat" w:eastAsia="Times New Roman" w:hAnsi="GHEA Grapalat"/>
          <w:color w:val="000000"/>
          <w:sz w:val="24"/>
          <w:szCs w:val="24"/>
        </w:rPr>
        <w:t xml:space="preserve">Կատարողականի տարեկան գնահատման դրական արդյունքները հիմք ընդունել ծառայողների պարգևատրման, վերապատրաստման կարիքների գնահատման, ծառայողների նկատմամբ «Քաղաքացիական ծառայության մասին», «Պրոբացիայի ծառայության մասին» </w:t>
      </w:r>
      <w:r w:rsidRPr="00373200">
        <w:rPr>
          <w:rFonts w:ascii="GHEA Grapalat" w:hAnsi="GHEA Grapalat"/>
          <w:color w:val="000000"/>
          <w:sz w:val="24"/>
          <w:szCs w:val="24"/>
          <w:shd w:val="clear" w:color="auto" w:fill="FFFFFF"/>
        </w:rPr>
        <w:t>օրենքներով սահմանված խրախուսանքի տեսակների կիրառման համար:</w:t>
      </w:r>
      <w:r w:rsidRPr="00373200">
        <w:rPr>
          <w:rFonts w:ascii="Sylfaen" w:hAnsi="Sylfaen"/>
          <w:color w:val="000000"/>
          <w:sz w:val="24"/>
          <w:szCs w:val="24"/>
          <w:shd w:val="clear" w:color="auto" w:fill="FFFFFF"/>
        </w:rPr>
        <w:t> </w:t>
      </w:r>
    </w:p>
    <w:p w:rsidR="0051098F" w:rsidRPr="00373200" w:rsidRDefault="0051098F" w:rsidP="00434484">
      <w:pPr>
        <w:pStyle w:val="ListParagraph"/>
        <w:shd w:val="clear" w:color="auto" w:fill="FFFFFF"/>
        <w:ind w:left="1080" w:right="397" w:firstLine="720"/>
        <w:rPr>
          <w:rFonts w:ascii="GHEA Grapalat" w:eastAsia="Times New Roman" w:hAnsi="GHEA Grapalat"/>
          <w:color w:val="000000"/>
          <w:sz w:val="24"/>
          <w:szCs w:val="24"/>
        </w:rPr>
      </w:pPr>
    </w:p>
    <w:p w:rsidR="00373200" w:rsidRDefault="00373200" w:rsidP="00434484">
      <w:pPr>
        <w:shd w:val="clear" w:color="auto" w:fill="FFFFFF"/>
        <w:spacing w:line="360" w:lineRule="auto"/>
        <w:ind w:right="397" w:firstLine="720"/>
        <w:jc w:val="both"/>
        <w:rPr>
          <w:rFonts w:ascii="GHEA Grapalat" w:hAnsi="GHEA Grapalat"/>
          <w:b/>
          <w:color w:val="000000"/>
          <w:u w:val="single"/>
          <w:lang w:val="en-US" w:eastAsia="ru-RU"/>
        </w:rPr>
      </w:pPr>
    </w:p>
    <w:p w:rsidR="00AB75B4" w:rsidRPr="00373200" w:rsidRDefault="00AB75B4" w:rsidP="00434484">
      <w:pPr>
        <w:shd w:val="clear" w:color="auto" w:fill="FFFFFF"/>
        <w:spacing w:line="360" w:lineRule="auto"/>
        <w:ind w:right="397" w:firstLine="720"/>
        <w:jc w:val="both"/>
        <w:rPr>
          <w:rFonts w:ascii="GHEA Grapalat" w:hAnsi="GHEA Grapalat"/>
          <w:b/>
          <w:color w:val="000000"/>
          <w:u w:val="single"/>
          <w:lang w:eastAsia="ru-RU"/>
        </w:rPr>
      </w:pPr>
      <w:r w:rsidRPr="00373200">
        <w:rPr>
          <w:rFonts w:ascii="GHEA Grapalat" w:hAnsi="GHEA Grapalat"/>
          <w:b/>
          <w:color w:val="000000"/>
          <w:u w:val="single"/>
          <w:lang w:eastAsia="ru-RU"/>
        </w:rPr>
        <w:lastRenderedPageBreak/>
        <w:t>Ակնկալվող արդյունքը</w:t>
      </w:r>
    </w:p>
    <w:p w:rsidR="00AB75B4" w:rsidRPr="00373200" w:rsidRDefault="00AB75B4" w:rsidP="00434484">
      <w:pPr>
        <w:spacing w:line="360" w:lineRule="auto"/>
        <w:ind w:right="397" w:firstLine="720"/>
        <w:jc w:val="both"/>
        <w:rPr>
          <w:rFonts w:ascii="GHEA Grapalat" w:hAnsi="GHEA Grapalat"/>
          <w:color w:val="000000"/>
        </w:rPr>
      </w:pPr>
      <w:r w:rsidRPr="00373200">
        <w:rPr>
          <w:rFonts w:ascii="GHEA Grapalat" w:hAnsi="GHEA Grapalat"/>
          <w:bCs/>
          <w:color w:val="000000"/>
          <w:lang w:eastAsia="ru-RU"/>
        </w:rPr>
        <w:t xml:space="preserve">Նախագծի ընդունման արդյունքում ակնկալվում է բարելավել պրոբացիայի ծառայության կատարողականի գնահատման համակարգը, </w:t>
      </w:r>
      <w:r w:rsidRPr="00373200">
        <w:rPr>
          <w:rFonts w:ascii="GHEA Grapalat" w:hAnsi="GHEA Grapalat"/>
          <w:iCs/>
          <w:shd w:val="clear" w:color="auto" w:fill="FFFFFF"/>
        </w:rPr>
        <w:t>նպաստել ծառայությունում աշխատող անձանց իրական առաջխաղացմանը,</w:t>
      </w:r>
      <w:r w:rsidRPr="00373200">
        <w:rPr>
          <w:rFonts w:ascii="GHEA Grapalat" w:hAnsi="GHEA Grapalat"/>
          <w:color w:val="000000"/>
        </w:rPr>
        <w:t xml:space="preserve"> </w:t>
      </w:r>
      <w:r w:rsidRPr="00373200">
        <w:rPr>
          <w:rFonts w:ascii="GHEA Grapalat" w:hAnsi="GHEA Grapalat"/>
          <w:iCs/>
          <w:shd w:val="clear" w:color="auto" w:fill="FFFFFF"/>
        </w:rPr>
        <w:t>կատարվող աշխատանքների որակի բարելավմանը, հնարավոր խնդիրների, թերությունների վերհանմանը և դրանց հետևողական լուծմանը։</w:t>
      </w:r>
    </w:p>
    <w:p w:rsidR="00AB75B4" w:rsidRPr="00373200" w:rsidRDefault="00AB75B4" w:rsidP="00434484">
      <w:pPr>
        <w:spacing w:line="360" w:lineRule="auto"/>
        <w:ind w:right="397" w:firstLine="720"/>
        <w:jc w:val="both"/>
        <w:rPr>
          <w:rFonts w:ascii="GHEA Grapalat" w:hAnsi="GHEA Grapalat"/>
          <w:bCs/>
          <w:color w:val="000000"/>
          <w:lang w:eastAsia="ru-RU"/>
        </w:rPr>
      </w:pPr>
      <w:r w:rsidRPr="00373200">
        <w:rPr>
          <w:rFonts w:ascii="GHEA Grapalat" w:hAnsi="GHEA Grapalat"/>
          <w:bCs/>
          <w:color w:val="000000"/>
          <w:lang w:eastAsia="ru-RU"/>
        </w:rPr>
        <w:t xml:space="preserve"> </w:t>
      </w:r>
    </w:p>
    <w:p w:rsidR="00AB75B4" w:rsidRPr="00373200" w:rsidRDefault="00AB75B4" w:rsidP="00434484">
      <w:pPr>
        <w:spacing w:line="360" w:lineRule="auto"/>
        <w:ind w:right="397" w:firstLine="720"/>
        <w:jc w:val="both"/>
        <w:rPr>
          <w:rFonts w:ascii="GHEA Grapalat" w:hAnsi="GHEA Grapalat" w:cs="Sylfaen"/>
          <w:b/>
          <w:bCs/>
          <w:u w:val="single"/>
        </w:rPr>
      </w:pPr>
      <w:r w:rsidRPr="00373200">
        <w:rPr>
          <w:rFonts w:ascii="GHEA Grapalat" w:hAnsi="GHEA Grapalat" w:cs="Sylfaen"/>
          <w:b/>
          <w:bCs/>
          <w:u w:val="single"/>
        </w:rPr>
        <w:t>Նախագծի մշակման գործընթացում ներգրավված ինստիտուտները</w:t>
      </w:r>
    </w:p>
    <w:p w:rsidR="00AB75B4" w:rsidRPr="00373200" w:rsidRDefault="00AB75B4" w:rsidP="00434484">
      <w:pPr>
        <w:spacing w:line="360" w:lineRule="auto"/>
        <w:ind w:right="397" w:firstLine="720"/>
        <w:jc w:val="both"/>
        <w:rPr>
          <w:rFonts w:ascii="GHEA Grapalat" w:hAnsi="GHEA Grapalat"/>
          <w:color w:val="000000"/>
          <w:shd w:val="clear" w:color="auto" w:fill="FFFFFF"/>
        </w:rPr>
      </w:pPr>
      <w:r w:rsidRPr="00373200">
        <w:rPr>
          <w:rFonts w:ascii="GHEA Grapalat" w:hAnsi="GHEA Grapalat" w:cs="Sylfaen"/>
          <w:bCs/>
        </w:rPr>
        <w:t xml:space="preserve">Նախագիծը մշակվել է </w:t>
      </w:r>
      <w:r w:rsidR="0051098F" w:rsidRPr="00373200">
        <w:rPr>
          <w:rFonts w:ascii="GHEA Grapalat" w:hAnsi="GHEA Grapalat"/>
          <w:color w:val="000000"/>
          <w:shd w:val="clear" w:color="auto" w:fill="FFFFFF"/>
        </w:rPr>
        <w:t xml:space="preserve"> Ա</w:t>
      </w:r>
      <w:r w:rsidRPr="00373200">
        <w:rPr>
          <w:rFonts w:ascii="GHEA Grapalat" w:hAnsi="GHEA Grapalat"/>
          <w:color w:val="000000"/>
          <w:shd w:val="clear" w:color="auto" w:fill="FFFFFF"/>
        </w:rPr>
        <w:t>րդարադատության նախարարության կողմից:</w:t>
      </w:r>
    </w:p>
    <w:p w:rsidR="00F42A03" w:rsidRPr="00373200" w:rsidRDefault="00F42A03" w:rsidP="00434484">
      <w:pPr>
        <w:spacing w:line="360" w:lineRule="auto"/>
        <w:ind w:right="397" w:firstLine="720"/>
        <w:jc w:val="both"/>
        <w:rPr>
          <w:rFonts w:ascii="GHEA Grapalat" w:hAnsi="GHEA Grapalat"/>
          <w:color w:val="000000"/>
          <w:shd w:val="clear" w:color="auto" w:fill="FFFFFF"/>
        </w:rPr>
      </w:pPr>
    </w:p>
    <w:p w:rsidR="00AB75B4" w:rsidRPr="00373200" w:rsidRDefault="00AB75B4" w:rsidP="00434484">
      <w:pPr>
        <w:spacing w:line="360" w:lineRule="auto"/>
        <w:ind w:right="397" w:firstLine="720"/>
        <w:jc w:val="both"/>
        <w:rPr>
          <w:rFonts w:ascii="GHEA Grapalat" w:hAnsi="GHEA Grapalat" w:cs="Sylfaen"/>
          <w:b/>
          <w:bCs/>
          <w:u w:val="single"/>
        </w:rPr>
      </w:pPr>
      <w:r w:rsidRPr="00373200">
        <w:rPr>
          <w:rFonts w:ascii="GHEA Grapalat" w:hAnsi="GHEA Grapalat" w:cs="Sylfaen"/>
          <w:b/>
          <w:u w:val="single"/>
        </w:rPr>
        <w:t>Նախագծի ընդունման</w:t>
      </w:r>
      <w:r w:rsidRPr="00373200">
        <w:rPr>
          <w:rFonts w:ascii="Sylfaen" w:hAnsi="Sylfaen" w:cs="Calibri"/>
          <w:b/>
          <w:bCs/>
          <w:u w:val="single"/>
        </w:rPr>
        <w:t> </w:t>
      </w:r>
      <w:r w:rsidRPr="00373200">
        <w:rPr>
          <w:rFonts w:ascii="GHEA Grapalat" w:hAnsi="GHEA Grapalat" w:cs="Sylfaen"/>
          <w:b/>
          <w:u w:val="single"/>
        </w:rPr>
        <w:t>կապակ</w:t>
      </w:r>
      <w:bookmarkStart w:id="0" w:name="_GoBack"/>
      <w:bookmarkEnd w:id="0"/>
      <w:r w:rsidRPr="00373200">
        <w:rPr>
          <w:rFonts w:ascii="GHEA Grapalat" w:hAnsi="GHEA Grapalat" w:cs="Sylfaen"/>
          <w:b/>
          <w:u w:val="single"/>
        </w:rPr>
        <w:t xml:space="preserve">ցությամբ </w:t>
      </w:r>
      <w:r w:rsidRPr="00373200">
        <w:rPr>
          <w:rFonts w:ascii="Sylfaen" w:hAnsi="Sylfaen" w:cs="Calibri"/>
          <w:b/>
          <w:bCs/>
          <w:u w:val="single"/>
        </w:rPr>
        <w:t> </w:t>
      </w:r>
      <w:r w:rsidRPr="00373200">
        <w:rPr>
          <w:rFonts w:ascii="GHEA Grapalat" w:hAnsi="GHEA Grapalat" w:cs="Sylfaen"/>
          <w:b/>
          <w:u w:val="single"/>
        </w:rPr>
        <w:t>այլ իրավական ակտերի ընդունման անհրաժեշտությունը</w:t>
      </w:r>
      <w:r w:rsidRPr="00373200">
        <w:rPr>
          <w:rFonts w:ascii="Sylfaen" w:hAnsi="Sylfaen" w:cs="Calibri"/>
          <w:b/>
          <w:u w:val="single"/>
        </w:rPr>
        <w:t> </w:t>
      </w:r>
      <w:r w:rsidRPr="00373200">
        <w:rPr>
          <w:rFonts w:ascii="GHEA Grapalat" w:hAnsi="GHEA Grapalat" w:cs="Sylfaen"/>
          <w:b/>
          <w:u w:val="single"/>
        </w:rPr>
        <w:t>և պետական բյուջեի եկամուտներում և ծախսերում սպասվելիք փոփոխությունները.</w:t>
      </w:r>
    </w:p>
    <w:p w:rsidR="00AB75B4" w:rsidRPr="00373200" w:rsidRDefault="00AB75B4" w:rsidP="00434484">
      <w:pPr>
        <w:shd w:val="clear" w:color="auto" w:fill="FFFFFF"/>
        <w:spacing w:line="360" w:lineRule="auto"/>
        <w:ind w:right="397" w:firstLine="720"/>
        <w:jc w:val="both"/>
        <w:rPr>
          <w:rFonts w:ascii="GHEA Grapalat" w:hAnsi="GHEA Grapalat" w:cs="Sylfaen"/>
          <w:bCs/>
          <w:color w:val="000000" w:themeColor="text1"/>
          <w:lang w:val="en-US"/>
        </w:rPr>
      </w:pPr>
      <w:r w:rsidRPr="00373200">
        <w:rPr>
          <w:rFonts w:ascii="GHEA Grapalat" w:hAnsi="GHEA Grapalat" w:cs="Sylfaen"/>
          <w:bCs/>
          <w:color w:val="000000" w:themeColor="text1"/>
          <w:lang w:eastAsia="ru-RU"/>
        </w:rPr>
        <w:t xml:space="preserve">Նախագծի </w:t>
      </w:r>
      <w:r w:rsidRPr="00373200">
        <w:rPr>
          <w:rFonts w:ascii="GHEA Grapalat" w:hAnsi="GHEA Grapalat"/>
          <w:color w:val="000000" w:themeColor="text1"/>
        </w:rPr>
        <w:t>ընդունման</w:t>
      </w:r>
      <w:r w:rsidRPr="00373200">
        <w:rPr>
          <w:rFonts w:ascii="GHEA Grapalat" w:hAnsi="GHEA Grapalat" w:cs="Times Armenian"/>
          <w:color w:val="000000" w:themeColor="text1"/>
        </w:rPr>
        <w:t xml:space="preserve"> </w:t>
      </w:r>
      <w:r w:rsidRPr="00373200">
        <w:rPr>
          <w:rFonts w:ascii="GHEA Grapalat" w:hAnsi="GHEA Grapalat" w:cs="Sylfaen"/>
          <w:color w:val="000000" w:themeColor="text1"/>
        </w:rPr>
        <w:t xml:space="preserve">կապակցությամբ այլ իրավական ակտերում փոփոխություններ և լրացումներ կատարելու անհրաժեշտությունը բացակայում է։ Նախագծի ընդունման կապակցությամբ </w:t>
      </w:r>
      <w:r w:rsidRPr="00373200">
        <w:rPr>
          <w:rFonts w:ascii="GHEA Grapalat" w:hAnsi="GHEA Grapalat" w:cs="Sylfaen"/>
          <w:bCs/>
        </w:rPr>
        <w:t>պետական բյուջեի եկամուտներում և ծախսերում փոփոխություններ չեն նախատեսվում։</w:t>
      </w:r>
    </w:p>
    <w:p w:rsidR="00373200" w:rsidRPr="00373200" w:rsidRDefault="00373200" w:rsidP="00434484">
      <w:pPr>
        <w:shd w:val="clear" w:color="auto" w:fill="FFFFFF"/>
        <w:spacing w:line="360" w:lineRule="auto"/>
        <w:ind w:right="397" w:firstLine="720"/>
        <w:jc w:val="both"/>
        <w:rPr>
          <w:rFonts w:ascii="GHEA Grapalat" w:hAnsi="GHEA Grapalat" w:cs="Sylfaen"/>
          <w:bCs/>
          <w:color w:val="000000" w:themeColor="text1"/>
          <w:lang w:val="en-US"/>
        </w:rPr>
      </w:pPr>
    </w:p>
    <w:p w:rsidR="00AB75B4" w:rsidRPr="00373200" w:rsidRDefault="00AB75B4" w:rsidP="00434484">
      <w:pPr>
        <w:spacing w:line="360" w:lineRule="auto"/>
        <w:ind w:right="397" w:firstLine="720"/>
        <w:jc w:val="both"/>
        <w:rPr>
          <w:rFonts w:ascii="GHEA Grapalat" w:hAnsi="GHEA Grapalat" w:cs="Calibri"/>
          <w:b/>
          <w:u w:val="single"/>
        </w:rPr>
      </w:pPr>
      <w:r w:rsidRPr="00373200">
        <w:rPr>
          <w:rFonts w:ascii="GHEA Grapalat" w:hAnsi="GHEA Grapalat" w:cs="Calibri"/>
          <w:b/>
          <w:u w:val="single"/>
        </w:rPr>
        <w:t xml:space="preserve">Կապը ռազմավարական փաստաթղթերի հետ. </w:t>
      </w:r>
    </w:p>
    <w:p w:rsidR="00AB75B4" w:rsidRPr="00373200" w:rsidRDefault="00AB75B4" w:rsidP="00434484">
      <w:pPr>
        <w:spacing w:line="360" w:lineRule="auto"/>
        <w:ind w:right="397" w:firstLine="720"/>
        <w:jc w:val="both"/>
        <w:rPr>
          <w:rFonts w:ascii="GHEA Grapalat" w:hAnsi="GHEA Grapalat" w:cs="Sylfaen"/>
          <w:color w:val="000000" w:themeColor="text1"/>
          <w:lang w:eastAsia="ru-RU"/>
        </w:rPr>
      </w:pPr>
      <w:r w:rsidRPr="00373200">
        <w:rPr>
          <w:rFonts w:ascii="GHEA Grapalat" w:hAnsi="GHEA Grapalat" w:cs="Sylfaen"/>
          <w:color w:val="000000" w:themeColor="text1"/>
          <w:lang w:eastAsia="ru-RU"/>
        </w:rPr>
        <w:t xml:space="preserve">Նախագծի ընդունման անհրաժեշտությունը բխում է </w:t>
      </w:r>
      <w:r w:rsidR="0051098F" w:rsidRPr="00373200">
        <w:rPr>
          <w:rFonts w:ascii="GHEA Grapalat" w:hAnsi="GHEA Grapalat" w:cs="Sylfaen"/>
          <w:color w:val="000000" w:themeColor="text1"/>
          <w:lang w:eastAsia="ru-RU"/>
        </w:rPr>
        <w:t>Ա</w:t>
      </w:r>
      <w:r w:rsidRPr="00373200">
        <w:rPr>
          <w:rFonts w:ascii="GHEA Grapalat" w:hAnsi="GHEA Grapalat" w:cs="Sylfaen"/>
          <w:color w:val="000000" w:themeColor="text1"/>
          <w:lang w:eastAsia="ru-RU"/>
        </w:rPr>
        <w:t>րդարադատության նախարարի 2023 թվականի հոկտեմբերի 20-ի թիվ 627-Լ հրամանով հաստատված հավելված 2-ի 1-ին կետից:</w:t>
      </w:r>
    </w:p>
    <w:sectPr w:rsidR="00AB75B4" w:rsidRPr="00373200" w:rsidSect="00373200">
      <w:headerReference w:type="default" r:id="rId10"/>
      <w:footerReference w:type="even" r:id="rId11"/>
      <w:footerReference w:type="default" r:id="rId12"/>
      <w:headerReference w:type="first" r:id="rId13"/>
      <w:pgSz w:w="12240" w:h="15840" w:code="1"/>
      <w:pgMar w:top="851" w:right="567" w:bottom="567" w:left="1134" w:header="289" w:footer="0" w:gutter="0"/>
      <w:pgNumType w:start="1"/>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6DC2" w:rsidRDefault="00486DC2" w:rsidP="00D71163">
      <w:r>
        <w:separator/>
      </w:r>
    </w:p>
  </w:endnote>
  <w:endnote w:type="continuationSeparator" w:id="0">
    <w:p w:rsidR="00486DC2" w:rsidRDefault="00486DC2" w:rsidP="00D7116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t">
    <w:panose1 w:val="0402E200000000000000"/>
    <w:charset w:val="00"/>
    <w:family w:val="decorativ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B1F" w:rsidRDefault="009A2751">
    <w:pPr>
      <w:pBdr>
        <w:top w:val="nil"/>
        <w:left w:val="nil"/>
        <w:bottom w:val="nil"/>
        <w:right w:val="nil"/>
        <w:between w:val="nil"/>
      </w:pBdr>
      <w:tabs>
        <w:tab w:val="center" w:pos="4320"/>
        <w:tab w:val="right" w:pos="8640"/>
      </w:tabs>
      <w:jc w:val="right"/>
      <w:rPr>
        <w:color w:val="000000"/>
      </w:rPr>
    </w:pPr>
    <w:r>
      <w:rPr>
        <w:color w:val="000000"/>
      </w:rPr>
      <w:fldChar w:fldCharType="begin"/>
    </w:r>
    <w:r w:rsidR="00782B1F">
      <w:rPr>
        <w:color w:val="000000"/>
      </w:rPr>
      <w:instrText>PAGE</w:instrText>
    </w:r>
    <w:r>
      <w:rPr>
        <w:color w:val="000000"/>
      </w:rPr>
      <w:fldChar w:fldCharType="end"/>
    </w:r>
  </w:p>
  <w:p w:rsidR="00782B1F" w:rsidRDefault="00782B1F">
    <w:pPr>
      <w:pBdr>
        <w:top w:val="nil"/>
        <w:left w:val="nil"/>
        <w:bottom w:val="nil"/>
        <w:right w:val="nil"/>
        <w:between w:val="nil"/>
      </w:pBdr>
      <w:tabs>
        <w:tab w:val="center" w:pos="4320"/>
        <w:tab w:val="right" w:pos="8640"/>
      </w:tabs>
      <w:ind w:right="360"/>
      <w:rPr>
        <w:color w:val="00000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51081009"/>
      <w:docPartObj>
        <w:docPartGallery w:val="Page Numbers (Bottom of Page)"/>
        <w:docPartUnique/>
      </w:docPartObj>
    </w:sdtPr>
    <w:sdtContent>
      <w:p w:rsidR="00997A3B" w:rsidRDefault="009A2751">
        <w:pPr>
          <w:pStyle w:val="Footer"/>
          <w:jc w:val="right"/>
        </w:pPr>
        <w:r>
          <w:fldChar w:fldCharType="begin"/>
        </w:r>
        <w:r w:rsidR="00997A3B">
          <w:instrText>PAGE   \* MERGEFORMAT</w:instrText>
        </w:r>
        <w:r>
          <w:fldChar w:fldCharType="separate"/>
        </w:r>
        <w:r w:rsidR="00434484" w:rsidRPr="00434484">
          <w:rPr>
            <w:noProof/>
            <w:lang w:val="ru-RU"/>
          </w:rPr>
          <w:t>6</w:t>
        </w:r>
        <w:r>
          <w:fldChar w:fldCharType="end"/>
        </w:r>
      </w:p>
    </w:sdtContent>
  </w:sdt>
  <w:p w:rsidR="00782B1F" w:rsidRDefault="00782B1F">
    <w:pPr>
      <w:pBdr>
        <w:top w:val="nil"/>
        <w:left w:val="nil"/>
        <w:bottom w:val="nil"/>
        <w:right w:val="nil"/>
        <w:between w:val="nil"/>
      </w:pBdr>
      <w:tabs>
        <w:tab w:val="center" w:pos="4320"/>
        <w:tab w:val="right" w:pos="8640"/>
      </w:tabs>
      <w:ind w:right="360"/>
      <w:jc w:val="right"/>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6DC2" w:rsidRDefault="00486DC2" w:rsidP="00D71163">
      <w:r>
        <w:separator/>
      </w:r>
    </w:p>
  </w:footnote>
  <w:footnote w:type="continuationSeparator" w:id="0">
    <w:p w:rsidR="00486DC2" w:rsidRDefault="00486DC2" w:rsidP="00D7116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67D" w:rsidRDefault="00F0667D" w:rsidP="00F0667D">
    <w:pPr>
      <w:pBdr>
        <w:top w:val="nil"/>
        <w:left w:val="single" w:sz="18" w:space="4" w:color="FF0000"/>
        <w:bottom w:val="nil"/>
        <w:right w:val="nil"/>
        <w:between w:val="nil"/>
      </w:pBdr>
      <w:tabs>
        <w:tab w:val="right" w:pos="10206"/>
      </w:tabs>
      <w:ind w:hanging="2"/>
      <w:rPr>
        <w:rFonts w:ascii="GHEA Grapalat" w:eastAsia="GHEA Grapalat" w:hAnsi="GHEA Grapalat" w:cs="GHEA Grapalat"/>
        <w:color w:val="FF0000"/>
        <w:sz w:val="20"/>
        <w:szCs w:val="20"/>
      </w:rPr>
    </w:pPr>
    <w:r>
      <w:rPr>
        <w:rFonts w:ascii="GHEA Grapalat" w:eastAsia="GHEA Grapalat" w:hAnsi="GHEA Grapalat" w:cs="GHEA Grapalat"/>
        <w:b/>
        <w:color w:val="000000"/>
        <w:sz w:val="20"/>
        <w:szCs w:val="20"/>
      </w:rPr>
      <w:t>Ա</w:t>
    </w:r>
    <w:r>
      <w:rPr>
        <w:rFonts w:ascii="GHEA Grapalat" w:eastAsia="GHEA Grapalat" w:hAnsi="GHEA Grapalat" w:cs="GHEA Grapalat"/>
        <w:color w:val="000000"/>
        <w:sz w:val="20"/>
        <w:szCs w:val="20"/>
      </w:rPr>
      <w:t xml:space="preserve">րդարադատության                            </w:t>
    </w:r>
    <w:r>
      <w:rPr>
        <w:rFonts w:ascii="GHEA Grapalat" w:eastAsia="GHEA Grapalat" w:hAnsi="GHEA Grapalat" w:cs="GHEA Grapalat"/>
        <w:color w:val="000000"/>
        <w:sz w:val="20"/>
        <w:szCs w:val="20"/>
      </w:rPr>
      <w:tab/>
    </w:r>
    <w:r>
      <w:rPr>
        <w:rFonts w:ascii="GHEA Grapalat" w:eastAsia="GHEA Grapalat" w:hAnsi="GHEA Grapalat" w:cs="GHEA Grapalat"/>
        <w:color w:val="000000"/>
      </w:rPr>
      <w:t>ՆԱԽԱԳԻԾ</w:t>
    </w:r>
    <w:r>
      <w:rPr>
        <w:noProof/>
        <w:lang w:val="en-US"/>
      </w:rPr>
      <w:drawing>
        <wp:anchor distT="0" distB="0" distL="0" distR="0" simplePos="0" relativeHeight="251660288" behindDoc="0" locked="0" layoutInCell="1" allowOverlap="1">
          <wp:simplePos x="0" y="0"/>
          <wp:positionH relativeFrom="column">
            <wp:posOffset>-685165</wp:posOffset>
          </wp:positionH>
          <wp:positionV relativeFrom="paragraph">
            <wp:posOffset>-8255</wp:posOffset>
          </wp:positionV>
          <wp:extent cx="457200" cy="444500"/>
          <wp:effectExtent l="19050" t="0" r="0" b="0"/>
          <wp:wrapSquare wrapText="bothSides"/>
          <wp:docPr id="2" name="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a:picLocks noChangeAspect="1" noChangeArrowheads="1"/>
                  </pic:cNvPicPr>
                </pic:nvPicPr>
                <pic:blipFill>
                  <a:blip r:embed="rId1"/>
                  <a:srcRect/>
                  <a:stretch>
                    <a:fillRect/>
                  </a:stretch>
                </pic:blipFill>
                <pic:spPr bwMode="auto">
                  <a:xfrm>
                    <a:off x="0" y="0"/>
                    <a:ext cx="457200" cy="444500"/>
                  </a:xfrm>
                  <a:prstGeom prst="rect">
                    <a:avLst/>
                  </a:prstGeom>
                  <a:noFill/>
                  <a:ln w="9525">
                    <a:noFill/>
                    <a:miter lim="800000"/>
                    <a:headEnd/>
                    <a:tailEnd/>
                  </a:ln>
                </pic:spPr>
              </pic:pic>
            </a:graphicData>
          </a:graphic>
        </wp:anchor>
      </w:drawing>
    </w:r>
  </w:p>
  <w:p w:rsidR="00F0667D" w:rsidRDefault="00F0667D" w:rsidP="00F0667D">
    <w:pPr>
      <w:pBdr>
        <w:top w:val="nil"/>
        <w:left w:val="single" w:sz="18" w:space="4" w:color="0000FF"/>
        <w:bottom w:val="nil"/>
        <w:right w:val="nil"/>
        <w:between w:val="nil"/>
      </w:pBdr>
      <w:tabs>
        <w:tab w:val="center" w:pos="4680"/>
        <w:tab w:val="right" w:pos="9360"/>
      </w:tabs>
      <w:ind w:hanging="2"/>
      <w:rPr>
        <w:rFonts w:ascii="GHEA Grapalat" w:eastAsia="GHEA Grapalat" w:hAnsi="GHEA Grapalat" w:cs="GHEA Grapalat"/>
        <w:color w:val="000000"/>
        <w:sz w:val="20"/>
        <w:szCs w:val="20"/>
      </w:rPr>
    </w:pPr>
    <w:r>
      <w:rPr>
        <w:rFonts w:ascii="GHEA Grapalat" w:eastAsia="GHEA Grapalat" w:hAnsi="GHEA Grapalat" w:cs="GHEA Grapalat"/>
        <w:b/>
        <w:color w:val="000000"/>
        <w:sz w:val="20"/>
        <w:szCs w:val="20"/>
      </w:rPr>
      <w:t>Ն</w:t>
    </w:r>
    <w:r>
      <w:rPr>
        <w:rFonts w:ascii="GHEA Grapalat" w:eastAsia="GHEA Grapalat" w:hAnsi="GHEA Grapalat" w:cs="GHEA Grapalat"/>
        <w:color w:val="000000"/>
        <w:sz w:val="20"/>
        <w:szCs w:val="20"/>
      </w:rPr>
      <w:t>ախարարություն</w:t>
    </w:r>
  </w:p>
  <w:p w:rsidR="00F0667D" w:rsidRDefault="00F0667D" w:rsidP="00F0667D">
    <w:pPr>
      <w:pBdr>
        <w:top w:val="nil"/>
        <w:left w:val="single" w:sz="18" w:space="4" w:color="FF6600"/>
        <w:bottom w:val="nil"/>
        <w:right w:val="nil"/>
        <w:between w:val="nil"/>
      </w:pBdr>
      <w:tabs>
        <w:tab w:val="center" w:pos="4680"/>
        <w:tab w:val="right" w:pos="9360"/>
      </w:tabs>
      <w:ind w:hanging="2"/>
      <w:rPr>
        <w:rFonts w:ascii="Art" w:eastAsia="Art" w:hAnsi="Art" w:cs="Art"/>
        <w:color w:val="000000"/>
        <w:sz w:val="18"/>
        <w:szCs w:val="18"/>
      </w:rPr>
    </w:pPr>
  </w:p>
  <w:p w:rsidR="00F0667D" w:rsidRDefault="00F0667D" w:rsidP="00F0667D">
    <w:pPr>
      <w:pBdr>
        <w:top w:val="nil"/>
        <w:left w:val="nil"/>
        <w:bottom w:val="nil"/>
        <w:right w:val="nil"/>
        <w:between w:val="nil"/>
      </w:pBdr>
      <w:tabs>
        <w:tab w:val="center" w:pos="4680"/>
        <w:tab w:val="right" w:pos="9360"/>
      </w:tabs>
      <w:rPr>
        <w:rFonts w:cs="Calibri"/>
        <w:color w:val="000000"/>
      </w:rPr>
    </w:pPr>
  </w:p>
  <w:p w:rsidR="00782B1F" w:rsidRDefault="00782B1F" w:rsidP="009D3FC3">
    <w:pPr>
      <w:tabs>
        <w:tab w:val="left" w:pos="1830"/>
      </w:tabs>
      <w:ind w:left="-180"/>
    </w:pPr>
    <w:r>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0C9B" w:rsidRDefault="009A0C9B" w:rsidP="009A0C9B">
    <w:pPr>
      <w:pBdr>
        <w:top w:val="nil"/>
        <w:left w:val="single" w:sz="18" w:space="4" w:color="FF0000"/>
        <w:bottom w:val="nil"/>
        <w:right w:val="nil"/>
        <w:between w:val="nil"/>
      </w:pBdr>
      <w:tabs>
        <w:tab w:val="right" w:pos="10206"/>
      </w:tabs>
      <w:ind w:hanging="2"/>
      <w:rPr>
        <w:rFonts w:ascii="GHEA Grapalat" w:eastAsia="GHEA Grapalat" w:hAnsi="GHEA Grapalat" w:cs="GHEA Grapalat"/>
        <w:color w:val="FF0000"/>
        <w:sz w:val="20"/>
        <w:szCs w:val="20"/>
      </w:rPr>
    </w:pPr>
    <w:r>
      <w:tab/>
    </w:r>
    <w:r>
      <w:rPr>
        <w:rFonts w:ascii="GHEA Grapalat" w:eastAsia="GHEA Grapalat" w:hAnsi="GHEA Grapalat" w:cs="GHEA Grapalat"/>
        <w:b/>
        <w:color w:val="000000"/>
        <w:sz w:val="20"/>
        <w:szCs w:val="20"/>
      </w:rPr>
      <w:t>Ա</w:t>
    </w:r>
    <w:r>
      <w:rPr>
        <w:rFonts w:ascii="GHEA Grapalat" w:eastAsia="GHEA Grapalat" w:hAnsi="GHEA Grapalat" w:cs="GHEA Grapalat"/>
        <w:color w:val="000000"/>
        <w:sz w:val="20"/>
        <w:szCs w:val="20"/>
      </w:rPr>
      <w:t xml:space="preserve">րդարադատության                            </w:t>
    </w:r>
    <w:r>
      <w:rPr>
        <w:rFonts w:ascii="GHEA Grapalat" w:eastAsia="GHEA Grapalat" w:hAnsi="GHEA Grapalat" w:cs="GHEA Grapalat"/>
        <w:color w:val="000000"/>
        <w:sz w:val="20"/>
        <w:szCs w:val="20"/>
      </w:rPr>
      <w:tab/>
    </w:r>
    <w:r>
      <w:rPr>
        <w:rFonts w:ascii="GHEA Grapalat" w:eastAsia="GHEA Grapalat" w:hAnsi="GHEA Grapalat" w:cs="GHEA Grapalat"/>
        <w:color w:val="000000"/>
      </w:rPr>
      <w:t>ՆԱԽԱԳԻԾ</w:t>
    </w:r>
    <w:r>
      <w:rPr>
        <w:noProof/>
        <w:lang w:val="en-US"/>
      </w:rPr>
      <w:drawing>
        <wp:anchor distT="0" distB="0" distL="0" distR="0" simplePos="0" relativeHeight="251662336" behindDoc="0" locked="0" layoutInCell="1" allowOverlap="1">
          <wp:simplePos x="0" y="0"/>
          <wp:positionH relativeFrom="column">
            <wp:posOffset>-685165</wp:posOffset>
          </wp:positionH>
          <wp:positionV relativeFrom="paragraph">
            <wp:posOffset>-8255</wp:posOffset>
          </wp:positionV>
          <wp:extent cx="457200" cy="444500"/>
          <wp:effectExtent l="19050" t="0" r="0" b="0"/>
          <wp:wrapSquare wrapText="bothSides"/>
          <wp:docPr id="1" name="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a:picLocks noChangeAspect="1" noChangeArrowheads="1"/>
                  </pic:cNvPicPr>
                </pic:nvPicPr>
                <pic:blipFill>
                  <a:blip r:embed="rId1"/>
                  <a:srcRect/>
                  <a:stretch>
                    <a:fillRect/>
                  </a:stretch>
                </pic:blipFill>
                <pic:spPr bwMode="auto">
                  <a:xfrm>
                    <a:off x="0" y="0"/>
                    <a:ext cx="457200" cy="444500"/>
                  </a:xfrm>
                  <a:prstGeom prst="rect">
                    <a:avLst/>
                  </a:prstGeom>
                  <a:noFill/>
                  <a:ln w="9525">
                    <a:noFill/>
                    <a:miter lim="800000"/>
                    <a:headEnd/>
                    <a:tailEnd/>
                  </a:ln>
                </pic:spPr>
              </pic:pic>
            </a:graphicData>
          </a:graphic>
        </wp:anchor>
      </w:drawing>
    </w:r>
  </w:p>
  <w:p w:rsidR="009A0C9B" w:rsidRDefault="009A0C9B" w:rsidP="009A0C9B">
    <w:pPr>
      <w:pBdr>
        <w:top w:val="nil"/>
        <w:left w:val="single" w:sz="18" w:space="4" w:color="0000FF"/>
        <w:bottom w:val="nil"/>
        <w:right w:val="nil"/>
        <w:between w:val="nil"/>
      </w:pBdr>
      <w:tabs>
        <w:tab w:val="center" w:pos="4680"/>
        <w:tab w:val="right" w:pos="9360"/>
      </w:tabs>
      <w:ind w:hanging="2"/>
      <w:rPr>
        <w:rFonts w:ascii="GHEA Grapalat" w:eastAsia="GHEA Grapalat" w:hAnsi="GHEA Grapalat" w:cs="GHEA Grapalat"/>
        <w:color w:val="000000"/>
        <w:sz w:val="20"/>
        <w:szCs w:val="20"/>
      </w:rPr>
    </w:pPr>
    <w:r>
      <w:rPr>
        <w:rFonts w:ascii="GHEA Grapalat" w:eastAsia="GHEA Grapalat" w:hAnsi="GHEA Grapalat" w:cs="GHEA Grapalat"/>
        <w:b/>
        <w:color w:val="000000"/>
        <w:sz w:val="20"/>
        <w:szCs w:val="20"/>
      </w:rPr>
      <w:t>Ն</w:t>
    </w:r>
    <w:r>
      <w:rPr>
        <w:rFonts w:ascii="GHEA Grapalat" w:eastAsia="GHEA Grapalat" w:hAnsi="GHEA Grapalat" w:cs="GHEA Grapalat"/>
        <w:color w:val="000000"/>
        <w:sz w:val="20"/>
        <w:szCs w:val="20"/>
      </w:rPr>
      <w:t>ախարարություն</w:t>
    </w:r>
  </w:p>
  <w:p w:rsidR="009A0C9B" w:rsidRDefault="009A0C9B" w:rsidP="009A0C9B">
    <w:pPr>
      <w:pStyle w:val="Header"/>
      <w:tabs>
        <w:tab w:val="clear" w:pos="4320"/>
        <w:tab w:val="clear" w:pos="8640"/>
        <w:tab w:val="left" w:pos="100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57261"/>
    <w:multiLevelType w:val="hybridMultilevel"/>
    <w:tmpl w:val="84CE348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7FD2A8B"/>
    <w:multiLevelType w:val="hybridMultilevel"/>
    <w:tmpl w:val="3BDCC980"/>
    <w:lvl w:ilvl="0" w:tplc="9E5CC746">
      <w:start w:val="2"/>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A994636"/>
    <w:multiLevelType w:val="multilevel"/>
    <w:tmpl w:val="8F926FDC"/>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C9972A3"/>
    <w:multiLevelType w:val="multilevel"/>
    <w:tmpl w:val="B48E26EC"/>
    <w:lvl w:ilvl="0">
      <w:start w:val="1"/>
      <w:numFmt w:val="decimal"/>
      <w:lvlText w:val="%1."/>
      <w:lvlJc w:val="left"/>
      <w:pPr>
        <w:ind w:left="1080" w:hanging="360"/>
      </w:pPr>
      <w:rPr>
        <w:rFonts w:ascii="GHEA Grapalat" w:eastAsia="GHEA Grapalat" w:hAnsi="GHEA Grapalat" w:cs="GHEA Grapalat"/>
        <w:sz w:val="24"/>
        <w:szCs w:val="24"/>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nsid w:val="14AC4748"/>
    <w:multiLevelType w:val="hybridMultilevel"/>
    <w:tmpl w:val="CD086660"/>
    <w:lvl w:ilvl="0" w:tplc="CCA69A1A">
      <w:start w:val="1"/>
      <w:numFmt w:val="decimal"/>
      <w:lvlText w:val="%1."/>
      <w:lvlJc w:val="left"/>
      <w:pPr>
        <w:ind w:left="1080" w:hanging="360"/>
      </w:pPr>
      <w:rPr>
        <w:rFonts w:ascii="GHEA Grapalat" w:eastAsia="Times New Roman" w:hAnsi="GHEA Grapalat"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A864BCA"/>
    <w:multiLevelType w:val="multilevel"/>
    <w:tmpl w:val="0292151E"/>
    <w:lvl w:ilvl="0">
      <w:start w:val="1"/>
      <w:numFmt w:val="decimal"/>
      <w:lvlText w:val="%1."/>
      <w:lvlJc w:val="left"/>
      <w:pPr>
        <w:tabs>
          <w:tab w:val="num" w:pos="720"/>
        </w:tabs>
        <w:ind w:left="720" w:hanging="360"/>
      </w:pPr>
      <w:rPr>
        <w:rFonts w:ascii="GHEA Grapalat" w:eastAsia="Times New Roman" w:hAnsi="GHEA Grapalat" w:cs="Times New Roman"/>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C133C78"/>
    <w:multiLevelType w:val="hybridMultilevel"/>
    <w:tmpl w:val="0EC60212"/>
    <w:lvl w:ilvl="0" w:tplc="D7A202B8">
      <w:start w:val="1"/>
      <w:numFmt w:val="decimal"/>
      <w:lvlText w:val="%1."/>
      <w:lvlJc w:val="left"/>
      <w:pPr>
        <w:ind w:left="1080" w:hanging="360"/>
      </w:pPr>
      <w:rPr>
        <w:rFonts w:cs="Arial Unicod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2D87B33"/>
    <w:multiLevelType w:val="hybridMultilevel"/>
    <w:tmpl w:val="6DB08B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4411750"/>
    <w:multiLevelType w:val="multilevel"/>
    <w:tmpl w:val="2EF6F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5055BB3"/>
    <w:multiLevelType w:val="hybridMultilevel"/>
    <w:tmpl w:val="D1D2E842"/>
    <w:lvl w:ilvl="0" w:tplc="AAB43F54">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2C1153D6"/>
    <w:multiLevelType w:val="hybridMultilevel"/>
    <w:tmpl w:val="9BF4667E"/>
    <w:lvl w:ilvl="0" w:tplc="83A8594E">
      <w:start w:val="1"/>
      <w:numFmt w:val="decimal"/>
      <w:lvlText w:val="%1."/>
      <w:lvlJc w:val="left"/>
      <w:pPr>
        <w:ind w:left="1080" w:hanging="360"/>
      </w:pPr>
      <w:rPr>
        <w:rFonts w:ascii="GHEA Grapalat" w:eastAsia="Times New Roman" w:hAnsi="GHEA Grapalat"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F407823"/>
    <w:multiLevelType w:val="hybridMultilevel"/>
    <w:tmpl w:val="E3C6C068"/>
    <w:lvl w:ilvl="0" w:tplc="B55AED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5677D4F"/>
    <w:multiLevelType w:val="hybridMultilevel"/>
    <w:tmpl w:val="87C2A56C"/>
    <w:lvl w:ilvl="0" w:tplc="13922E4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3">
    <w:nsid w:val="397736C1"/>
    <w:multiLevelType w:val="multilevel"/>
    <w:tmpl w:val="A67EA2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E79771E"/>
    <w:multiLevelType w:val="hybridMultilevel"/>
    <w:tmpl w:val="36EC77D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4ACB0BFC"/>
    <w:multiLevelType w:val="hybridMultilevel"/>
    <w:tmpl w:val="C92C224E"/>
    <w:lvl w:ilvl="0" w:tplc="4BF45352">
      <w:start w:val="2"/>
      <w:numFmt w:val="upperRoman"/>
      <w:lvlText w:val="%1."/>
      <w:lvlJc w:val="right"/>
      <w:pPr>
        <w:tabs>
          <w:tab w:val="num" w:pos="720"/>
        </w:tabs>
        <w:ind w:left="720" w:hanging="360"/>
      </w:pPr>
    </w:lvl>
    <w:lvl w:ilvl="1" w:tplc="D6E0F0DC" w:tentative="1">
      <w:start w:val="1"/>
      <w:numFmt w:val="decimal"/>
      <w:lvlText w:val="%2."/>
      <w:lvlJc w:val="left"/>
      <w:pPr>
        <w:tabs>
          <w:tab w:val="num" w:pos="1440"/>
        </w:tabs>
        <w:ind w:left="1440" w:hanging="360"/>
      </w:pPr>
    </w:lvl>
    <w:lvl w:ilvl="2" w:tplc="E4F40F84" w:tentative="1">
      <w:start w:val="1"/>
      <w:numFmt w:val="decimal"/>
      <w:lvlText w:val="%3."/>
      <w:lvlJc w:val="left"/>
      <w:pPr>
        <w:tabs>
          <w:tab w:val="num" w:pos="2160"/>
        </w:tabs>
        <w:ind w:left="2160" w:hanging="360"/>
      </w:pPr>
    </w:lvl>
    <w:lvl w:ilvl="3" w:tplc="9CDE6DC0" w:tentative="1">
      <w:start w:val="1"/>
      <w:numFmt w:val="decimal"/>
      <w:lvlText w:val="%4."/>
      <w:lvlJc w:val="left"/>
      <w:pPr>
        <w:tabs>
          <w:tab w:val="num" w:pos="2880"/>
        </w:tabs>
        <w:ind w:left="2880" w:hanging="360"/>
      </w:pPr>
    </w:lvl>
    <w:lvl w:ilvl="4" w:tplc="D8A830D4" w:tentative="1">
      <w:start w:val="1"/>
      <w:numFmt w:val="decimal"/>
      <w:lvlText w:val="%5."/>
      <w:lvlJc w:val="left"/>
      <w:pPr>
        <w:tabs>
          <w:tab w:val="num" w:pos="3600"/>
        </w:tabs>
        <w:ind w:left="3600" w:hanging="360"/>
      </w:pPr>
    </w:lvl>
    <w:lvl w:ilvl="5" w:tplc="A650F17A" w:tentative="1">
      <w:start w:val="1"/>
      <w:numFmt w:val="decimal"/>
      <w:lvlText w:val="%6."/>
      <w:lvlJc w:val="left"/>
      <w:pPr>
        <w:tabs>
          <w:tab w:val="num" w:pos="4320"/>
        </w:tabs>
        <w:ind w:left="4320" w:hanging="360"/>
      </w:pPr>
    </w:lvl>
    <w:lvl w:ilvl="6" w:tplc="8F5AE7DE" w:tentative="1">
      <w:start w:val="1"/>
      <w:numFmt w:val="decimal"/>
      <w:lvlText w:val="%7."/>
      <w:lvlJc w:val="left"/>
      <w:pPr>
        <w:tabs>
          <w:tab w:val="num" w:pos="5040"/>
        </w:tabs>
        <w:ind w:left="5040" w:hanging="360"/>
      </w:pPr>
    </w:lvl>
    <w:lvl w:ilvl="7" w:tplc="D85A7AC4" w:tentative="1">
      <w:start w:val="1"/>
      <w:numFmt w:val="decimal"/>
      <w:lvlText w:val="%8."/>
      <w:lvlJc w:val="left"/>
      <w:pPr>
        <w:tabs>
          <w:tab w:val="num" w:pos="5760"/>
        </w:tabs>
        <w:ind w:left="5760" w:hanging="360"/>
      </w:pPr>
    </w:lvl>
    <w:lvl w:ilvl="8" w:tplc="128AAFA0" w:tentative="1">
      <w:start w:val="1"/>
      <w:numFmt w:val="decimal"/>
      <w:lvlText w:val="%9."/>
      <w:lvlJc w:val="left"/>
      <w:pPr>
        <w:tabs>
          <w:tab w:val="num" w:pos="6480"/>
        </w:tabs>
        <w:ind w:left="6480" w:hanging="360"/>
      </w:pPr>
    </w:lvl>
  </w:abstractNum>
  <w:abstractNum w:abstractNumId="16">
    <w:nsid w:val="578C4D9C"/>
    <w:multiLevelType w:val="multilevel"/>
    <w:tmpl w:val="2304C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EDB35B2"/>
    <w:multiLevelType w:val="hybridMultilevel"/>
    <w:tmpl w:val="432693A2"/>
    <w:lvl w:ilvl="0" w:tplc="AAB43F54">
      <w:start w:val="2"/>
      <w:numFmt w:val="decimal"/>
      <w:lvlText w:val="%1."/>
      <w:lvlJc w:val="left"/>
      <w:pPr>
        <w:ind w:left="252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60712261"/>
    <w:multiLevelType w:val="multilevel"/>
    <w:tmpl w:val="5658D828"/>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708E5366"/>
    <w:multiLevelType w:val="hybridMultilevel"/>
    <w:tmpl w:val="51244084"/>
    <w:lvl w:ilvl="0" w:tplc="8CEE12C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792C62B9"/>
    <w:multiLevelType w:val="multilevel"/>
    <w:tmpl w:val="21260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18"/>
  </w:num>
  <w:num w:numId="4">
    <w:abstractNumId w:val="20"/>
  </w:num>
  <w:num w:numId="5">
    <w:abstractNumId w:val="13"/>
    <w:lvlOverride w:ilvl="0">
      <w:lvl w:ilvl="0">
        <w:numFmt w:val="decimal"/>
        <w:lvlText w:val="%1."/>
        <w:lvlJc w:val="left"/>
      </w:lvl>
    </w:lvlOverride>
  </w:num>
  <w:num w:numId="6">
    <w:abstractNumId w:val="8"/>
    <w:lvlOverride w:ilvl="0">
      <w:lvl w:ilvl="0">
        <w:numFmt w:val="upperRoman"/>
        <w:lvlText w:val="%1."/>
        <w:lvlJc w:val="right"/>
      </w:lvl>
    </w:lvlOverride>
  </w:num>
  <w:num w:numId="7">
    <w:abstractNumId w:val="16"/>
  </w:num>
  <w:num w:numId="8">
    <w:abstractNumId w:val="15"/>
  </w:num>
  <w:num w:numId="9">
    <w:abstractNumId w:val="5"/>
  </w:num>
  <w:num w:numId="10">
    <w:abstractNumId w:val="0"/>
  </w:num>
  <w:num w:numId="11">
    <w:abstractNumId w:val="11"/>
  </w:num>
  <w:num w:numId="12">
    <w:abstractNumId w:val="1"/>
  </w:num>
  <w:num w:numId="13">
    <w:abstractNumId w:val="6"/>
  </w:num>
  <w:num w:numId="14">
    <w:abstractNumId w:val="7"/>
  </w:num>
  <w:num w:numId="15">
    <w:abstractNumId w:val="12"/>
  </w:num>
  <w:num w:numId="16">
    <w:abstractNumId w:val="4"/>
  </w:num>
  <w:num w:numId="17">
    <w:abstractNumId w:val="10"/>
  </w:num>
  <w:num w:numId="18">
    <w:abstractNumId w:val="19"/>
  </w:num>
  <w:num w:numId="19">
    <w:abstractNumId w:val="9"/>
  </w:num>
  <w:num w:numId="20">
    <w:abstractNumId w:val="17"/>
  </w:num>
  <w:num w:numId="21">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hdrShapeDefaults>
    <o:shapedefaults v:ext="edit" spidmax="20482"/>
  </w:hdrShapeDefaults>
  <w:footnotePr>
    <w:footnote w:id="-1"/>
    <w:footnote w:id="0"/>
  </w:footnotePr>
  <w:endnotePr>
    <w:endnote w:id="-1"/>
    <w:endnote w:id="0"/>
  </w:endnotePr>
  <w:compat/>
  <w:rsids>
    <w:rsidRoot w:val="00D71163"/>
    <w:rsid w:val="0000277F"/>
    <w:rsid w:val="0000703E"/>
    <w:rsid w:val="000107B8"/>
    <w:rsid w:val="00013FCD"/>
    <w:rsid w:val="000150C7"/>
    <w:rsid w:val="0001587A"/>
    <w:rsid w:val="00023DBB"/>
    <w:rsid w:val="00035BE8"/>
    <w:rsid w:val="000437A1"/>
    <w:rsid w:val="000449A1"/>
    <w:rsid w:val="00044E83"/>
    <w:rsid w:val="000462EB"/>
    <w:rsid w:val="00051F36"/>
    <w:rsid w:val="0005247F"/>
    <w:rsid w:val="00060F9D"/>
    <w:rsid w:val="00064668"/>
    <w:rsid w:val="000655E8"/>
    <w:rsid w:val="00065A6B"/>
    <w:rsid w:val="00065D7A"/>
    <w:rsid w:val="0006652B"/>
    <w:rsid w:val="00071287"/>
    <w:rsid w:val="000813DD"/>
    <w:rsid w:val="0008572A"/>
    <w:rsid w:val="00085F9B"/>
    <w:rsid w:val="00094AFF"/>
    <w:rsid w:val="000A3DAA"/>
    <w:rsid w:val="000B4BDA"/>
    <w:rsid w:val="000B5275"/>
    <w:rsid w:val="000C5639"/>
    <w:rsid w:val="000D02FB"/>
    <w:rsid w:val="000D1998"/>
    <w:rsid w:val="000D1A7A"/>
    <w:rsid w:val="000D3AEA"/>
    <w:rsid w:val="000D6D73"/>
    <w:rsid w:val="000D6EA2"/>
    <w:rsid w:val="000E284B"/>
    <w:rsid w:val="000E4123"/>
    <w:rsid w:val="000F5676"/>
    <w:rsid w:val="00106511"/>
    <w:rsid w:val="00115C03"/>
    <w:rsid w:val="00117049"/>
    <w:rsid w:val="00125B45"/>
    <w:rsid w:val="0013066E"/>
    <w:rsid w:val="001321EC"/>
    <w:rsid w:val="00136AC9"/>
    <w:rsid w:val="00141D47"/>
    <w:rsid w:val="00143943"/>
    <w:rsid w:val="0014700A"/>
    <w:rsid w:val="00152606"/>
    <w:rsid w:val="00155517"/>
    <w:rsid w:val="00156FC7"/>
    <w:rsid w:val="001638D9"/>
    <w:rsid w:val="00163924"/>
    <w:rsid w:val="00164EB9"/>
    <w:rsid w:val="0017448F"/>
    <w:rsid w:val="00175C49"/>
    <w:rsid w:val="00176028"/>
    <w:rsid w:val="00176280"/>
    <w:rsid w:val="00176C03"/>
    <w:rsid w:val="00180728"/>
    <w:rsid w:val="00186F53"/>
    <w:rsid w:val="00187DE7"/>
    <w:rsid w:val="001A410D"/>
    <w:rsid w:val="001A56D7"/>
    <w:rsid w:val="001B26A0"/>
    <w:rsid w:val="001B6124"/>
    <w:rsid w:val="001B7CC7"/>
    <w:rsid w:val="001C12D8"/>
    <w:rsid w:val="001C1615"/>
    <w:rsid w:val="001C4F0D"/>
    <w:rsid w:val="001C67D8"/>
    <w:rsid w:val="001C7DF7"/>
    <w:rsid w:val="001E582C"/>
    <w:rsid w:val="001E58EB"/>
    <w:rsid w:val="001F5154"/>
    <w:rsid w:val="00200247"/>
    <w:rsid w:val="00200494"/>
    <w:rsid w:val="002101C1"/>
    <w:rsid w:val="00211457"/>
    <w:rsid w:val="00212442"/>
    <w:rsid w:val="002125F7"/>
    <w:rsid w:val="002146E1"/>
    <w:rsid w:val="00217180"/>
    <w:rsid w:val="002213D0"/>
    <w:rsid w:val="00231CB8"/>
    <w:rsid w:val="00235FB0"/>
    <w:rsid w:val="002446F8"/>
    <w:rsid w:val="00244DC7"/>
    <w:rsid w:val="00247569"/>
    <w:rsid w:val="00251461"/>
    <w:rsid w:val="00251A37"/>
    <w:rsid w:val="00255A3B"/>
    <w:rsid w:val="00261220"/>
    <w:rsid w:val="00261FCC"/>
    <w:rsid w:val="00264232"/>
    <w:rsid w:val="00264981"/>
    <w:rsid w:val="002734CD"/>
    <w:rsid w:val="002820F9"/>
    <w:rsid w:val="00283A4D"/>
    <w:rsid w:val="002B0AA5"/>
    <w:rsid w:val="002B353C"/>
    <w:rsid w:val="002B4ADE"/>
    <w:rsid w:val="002B71DD"/>
    <w:rsid w:val="002C13EC"/>
    <w:rsid w:val="002C68F2"/>
    <w:rsid w:val="002D01EE"/>
    <w:rsid w:val="002D0FBC"/>
    <w:rsid w:val="002D3138"/>
    <w:rsid w:val="002E093C"/>
    <w:rsid w:val="002E2420"/>
    <w:rsid w:val="002F01A4"/>
    <w:rsid w:val="002F52CC"/>
    <w:rsid w:val="002F683C"/>
    <w:rsid w:val="003037CF"/>
    <w:rsid w:val="003052D7"/>
    <w:rsid w:val="00305F83"/>
    <w:rsid w:val="00312AD0"/>
    <w:rsid w:val="00312D1B"/>
    <w:rsid w:val="00313461"/>
    <w:rsid w:val="00326B64"/>
    <w:rsid w:val="003315F0"/>
    <w:rsid w:val="00343C87"/>
    <w:rsid w:val="00345218"/>
    <w:rsid w:val="003503E4"/>
    <w:rsid w:val="00350C33"/>
    <w:rsid w:val="003518CB"/>
    <w:rsid w:val="0035256A"/>
    <w:rsid w:val="00356F18"/>
    <w:rsid w:val="00360FB8"/>
    <w:rsid w:val="003619D5"/>
    <w:rsid w:val="00363954"/>
    <w:rsid w:val="003673C4"/>
    <w:rsid w:val="00373200"/>
    <w:rsid w:val="003810DF"/>
    <w:rsid w:val="00384760"/>
    <w:rsid w:val="00391EA2"/>
    <w:rsid w:val="00391EB4"/>
    <w:rsid w:val="0039594B"/>
    <w:rsid w:val="003A0251"/>
    <w:rsid w:val="003A28DC"/>
    <w:rsid w:val="003A51AB"/>
    <w:rsid w:val="003A6229"/>
    <w:rsid w:val="003A67C3"/>
    <w:rsid w:val="003A7CB4"/>
    <w:rsid w:val="003B6D8B"/>
    <w:rsid w:val="003C3075"/>
    <w:rsid w:val="003D5147"/>
    <w:rsid w:val="003E40E0"/>
    <w:rsid w:val="003E7609"/>
    <w:rsid w:val="003F6305"/>
    <w:rsid w:val="0040381F"/>
    <w:rsid w:val="00404C1B"/>
    <w:rsid w:val="00404DB3"/>
    <w:rsid w:val="004053F4"/>
    <w:rsid w:val="00406262"/>
    <w:rsid w:val="00407F68"/>
    <w:rsid w:val="004113A0"/>
    <w:rsid w:val="00412C00"/>
    <w:rsid w:val="00414E9A"/>
    <w:rsid w:val="00415865"/>
    <w:rsid w:val="004314D6"/>
    <w:rsid w:val="00432A1E"/>
    <w:rsid w:val="00434484"/>
    <w:rsid w:val="00435D87"/>
    <w:rsid w:val="00436D9D"/>
    <w:rsid w:val="00440627"/>
    <w:rsid w:val="00442AA8"/>
    <w:rsid w:val="004460F5"/>
    <w:rsid w:val="00456464"/>
    <w:rsid w:val="0046029E"/>
    <w:rsid w:val="004656CF"/>
    <w:rsid w:val="00465749"/>
    <w:rsid w:val="00466A93"/>
    <w:rsid w:val="00472CED"/>
    <w:rsid w:val="00473BB8"/>
    <w:rsid w:val="00475CFE"/>
    <w:rsid w:val="0047737D"/>
    <w:rsid w:val="00480950"/>
    <w:rsid w:val="0048602D"/>
    <w:rsid w:val="00486DC2"/>
    <w:rsid w:val="00495122"/>
    <w:rsid w:val="004A386A"/>
    <w:rsid w:val="004A3A48"/>
    <w:rsid w:val="004A5671"/>
    <w:rsid w:val="004B2E47"/>
    <w:rsid w:val="004B577E"/>
    <w:rsid w:val="004C18BC"/>
    <w:rsid w:val="004C40B7"/>
    <w:rsid w:val="004D1B62"/>
    <w:rsid w:val="004D3258"/>
    <w:rsid w:val="004F73CD"/>
    <w:rsid w:val="004F7EB9"/>
    <w:rsid w:val="0050293A"/>
    <w:rsid w:val="00502B6D"/>
    <w:rsid w:val="00506640"/>
    <w:rsid w:val="00506C75"/>
    <w:rsid w:val="00510616"/>
    <w:rsid w:val="0051098F"/>
    <w:rsid w:val="0051421A"/>
    <w:rsid w:val="00516311"/>
    <w:rsid w:val="00517613"/>
    <w:rsid w:val="00517FFA"/>
    <w:rsid w:val="00524A96"/>
    <w:rsid w:val="00526DD0"/>
    <w:rsid w:val="005337D3"/>
    <w:rsid w:val="00533B50"/>
    <w:rsid w:val="00551768"/>
    <w:rsid w:val="00552AD4"/>
    <w:rsid w:val="00564198"/>
    <w:rsid w:val="00564F51"/>
    <w:rsid w:val="005654EC"/>
    <w:rsid w:val="00571C7F"/>
    <w:rsid w:val="00574D9E"/>
    <w:rsid w:val="00575CA8"/>
    <w:rsid w:val="00587E81"/>
    <w:rsid w:val="00594B3E"/>
    <w:rsid w:val="00595EE7"/>
    <w:rsid w:val="005A01D5"/>
    <w:rsid w:val="005A0842"/>
    <w:rsid w:val="005A36B5"/>
    <w:rsid w:val="005A39BD"/>
    <w:rsid w:val="005A75D2"/>
    <w:rsid w:val="005B07BE"/>
    <w:rsid w:val="005B1365"/>
    <w:rsid w:val="005B7CB2"/>
    <w:rsid w:val="005C0446"/>
    <w:rsid w:val="005C2D64"/>
    <w:rsid w:val="005C5ECD"/>
    <w:rsid w:val="005D7BAF"/>
    <w:rsid w:val="005F16E1"/>
    <w:rsid w:val="005F4E29"/>
    <w:rsid w:val="0060722F"/>
    <w:rsid w:val="00607FBC"/>
    <w:rsid w:val="00611B65"/>
    <w:rsid w:val="006125CA"/>
    <w:rsid w:val="00613705"/>
    <w:rsid w:val="00616373"/>
    <w:rsid w:val="006215CD"/>
    <w:rsid w:val="00624932"/>
    <w:rsid w:val="006310C3"/>
    <w:rsid w:val="00631D9E"/>
    <w:rsid w:val="0063789A"/>
    <w:rsid w:val="00641991"/>
    <w:rsid w:val="00644D0F"/>
    <w:rsid w:val="00645323"/>
    <w:rsid w:val="0065781D"/>
    <w:rsid w:val="00660DC4"/>
    <w:rsid w:val="006624F4"/>
    <w:rsid w:val="00675A89"/>
    <w:rsid w:val="00677089"/>
    <w:rsid w:val="00681AD5"/>
    <w:rsid w:val="00683C11"/>
    <w:rsid w:val="00690CB3"/>
    <w:rsid w:val="0069153B"/>
    <w:rsid w:val="00694809"/>
    <w:rsid w:val="006A0578"/>
    <w:rsid w:val="006A07F8"/>
    <w:rsid w:val="006A6FA1"/>
    <w:rsid w:val="006A6FD5"/>
    <w:rsid w:val="006B30DC"/>
    <w:rsid w:val="006C213A"/>
    <w:rsid w:val="006D09E0"/>
    <w:rsid w:val="006E037B"/>
    <w:rsid w:val="006E1A16"/>
    <w:rsid w:val="006E2040"/>
    <w:rsid w:val="006E3151"/>
    <w:rsid w:val="006F104E"/>
    <w:rsid w:val="00700ABC"/>
    <w:rsid w:val="00701912"/>
    <w:rsid w:val="007025C2"/>
    <w:rsid w:val="0070713D"/>
    <w:rsid w:val="007171D1"/>
    <w:rsid w:val="0071754B"/>
    <w:rsid w:val="00723BDB"/>
    <w:rsid w:val="0072522D"/>
    <w:rsid w:val="007314CB"/>
    <w:rsid w:val="00737C4D"/>
    <w:rsid w:val="00747E1E"/>
    <w:rsid w:val="00754DEA"/>
    <w:rsid w:val="00757EA4"/>
    <w:rsid w:val="0076210F"/>
    <w:rsid w:val="00763071"/>
    <w:rsid w:val="00765104"/>
    <w:rsid w:val="0077310D"/>
    <w:rsid w:val="00774CD8"/>
    <w:rsid w:val="007761A5"/>
    <w:rsid w:val="00777742"/>
    <w:rsid w:val="00782B1F"/>
    <w:rsid w:val="007836B8"/>
    <w:rsid w:val="007A2E6D"/>
    <w:rsid w:val="007A3911"/>
    <w:rsid w:val="007B6D4B"/>
    <w:rsid w:val="007C052C"/>
    <w:rsid w:val="007C0A92"/>
    <w:rsid w:val="007D1B20"/>
    <w:rsid w:val="007E5EF8"/>
    <w:rsid w:val="007F0DEA"/>
    <w:rsid w:val="007F1A85"/>
    <w:rsid w:val="007F3F0C"/>
    <w:rsid w:val="0080236F"/>
    <w:rsid w:val="008050F8"/>
    <w:rsid w:val="00807A82"/>
    <w:rsid w:val="00821D64"/>
    <w:rsid w:val="008239C1"/>
    <w:rsid w:val="008267D2"/>
    <w:rsid w:val="00836827"/>
    <w:rsid w:val="00837EBF"/>
    <w:rsid w:val="008428EF"/>
    <w:rsid w:val="008459E3"/>
    <w:rsid w:val="00845BB2"/>
    <w:rsid w:val="00847BB2"/>
    <w:rsid w:val="008503A9"/>
    <w:rsid w:val="00857AC5"/>
    <w:rsid w:val="00861100"/>
    <w:rsid w:val="00861ACD"/>
    <w:rsid w:val="00864419"/>
    <w:rsid w:val="008659CB"/>
    <w:rsid w:val="008662A1"/>
    <w:rsid w:val="008663B0"/>
    <w:rsid w:val="008721DF"/>
    <w:rsid w:val="00872503"/>
    <w:rsid w:val="00892E7F"/>
    <w:rsid w:val="008A6AF9"/>
    <w:rsid w:val="008A755E"/>
    <w:rsid w:val="008B4E0B"/>
    <w:rsid w:val="008B6B12"/>
    <w:rsid w:val="008C4B2F"/>
    <w:rsid w:val="008E1086"/>
    <w:rsid w:val="008F0FAD"/>
    <w:rsid w:val="008F35BE"/>
    <w:rsid w:val="008F676D"/>
    <w:rsid w:val="00904886"/>
    <w:rsid w:val="00910091"/>
    <w:rsid w:val="00914E00"/>
    <w:rsid w:val="00927E1A"/>
    <w:rsid w:val="00933A2C"/>
    <w:rsid w:val="00935C7D"/>
    <w:rsid w:val="00947B33"/>
    <w:rsid w:val="00950E76"/>
    <w:rsid w:val="009534B7"/>
    <w:rsid w:val="0095443E"/>
    <w:rsid w:val="009547FB"/>
    <w:rsid w:val="00955FA8"/>
    <w:rsid w:val="00957EA4"/>
    <w:rsid w:val="00963E01"/>
    <w:rsid w:val="0096652D"/>
    <w:rsid w:val="009723CC"/>
    <w:rsid w:val="00975AB4"/>
    <w:rsid w:val="00975F4A"/>
    <w:rsid w:val="0097675C"/>
    <w:rsid w:val="00981937"/>
    <w:rsid w:val="00981C29"/>
    <w:rsid w:val="00985B74"/>
    <w:rsid w:val="00990BE1"/>
    <w:rsid w:val="00993D7F"/>
    <w:rsid w:val="00997A3B"/>
    <w:rsid w:val="009A0C9B"/>
    <w:rsid w:val="009A2378"/>
    <w:rsid w:val="009A2751"/>
    <w:rsid w:val="009A6B15"/>
    <w:rsid w:val="009A7586"/>
    <w:rsid w:val="009B3681"/>
    <w:rsid w:val="009C118C"/>
    <w:rsid w:val="009D0814"/>
    <w:rsid w:val="009D122E"/>
    <w:rsid w:val="009D27C9"/>
    <w:rsid w:val="009D3FC3"/>
    <w:rsid w:val="009D7F2A"/>
    <w:rsid w:val="009E07C5"/>
    <w:rsid w:val="009E163E"/>
    <w:rsid w:val="009E426F"/>
    <w:rsid w:val="009E5B52"/>
    <w:rsid w:val="009F222C"/>
    <w:rsid w:val="009F3303"/>
    <w:rsid w:val="009F5F20"/>
    <w:rsid w:val="00A00FB9"/>
    <w:rsid w:val="00A03EEB"/>
    <w:rsid w:val="00A1222A"/>
    <w:rsid w:val="00A2048B"/>
    <w:rsid w:val="00A20871"/>
    <w:rsid w:val="00A23C56"/>
    <w:rsid w:val="00A24F9E"/>
    <w:rsid w:val="00A30FB2"/>
    <w:rsid w:val="00A32876"/>
    <w:rsid w:val="00A36AA9"/>
    <w:rsid w:val="00A36E8F"/>
    <w:rsid w:val="00A376D1"/>
    <w:rsid w:val="00A4269D"/>
    <w:rsid w:val="00A42BEA"/>
    <w:rsid w:val="00A43242"/>
    <w:rsid w:val="00A43460"/>
    <w:rsid w:val="00A4686E"/>
    <w:rsid w:val="00A50346"/>
    <w:rsid w:val="00A51EFE"/>
    <w:rsid w:val="00A57691"/>
    <w:rsid w:val="00A61849"/>
    <w:rsid w:val="00A66527"/>
    <w:rsid w:val="00A7348E"/>
    <w:rsid w:val="00A906F9"/>
    <w:rsid w:val="00A93BEA"/>
    <w:rsid w:val="00A94A4E"/>
    <w:rsid w:val="00AB2801"/>
    <w:rsid w:val="00AB75B4"/>
    <w:rsid w:val="00AC3791"/>
    <w:rsid w:val="00AE1503"/>
    <w:rsid w:val="00AF3010"/>
    <w:rsid w:val="00AF5400"/>
    <w:rsid w:val="00B01E58"/>
    <w:rsid w:val="00B03557"/>
    <w:rsid w:val="00B038A9"/>
    <w:rsid w:val="00B0782A"/>
    <w:rsid w:val="00B14A3B"/>
    <w:rsid w:val="00B2182A"/>
    <w:rsid w:val="00B21EFA"/>
    <w:rsid w:val="00B27305"/>
    <w:rsid w:val="00B305ED"/>
    <w:rsid w:val="00B41949"/>
    <w:rsid w:val="00B44434"/>
    <w:rsid w:val="00B505CA"/>
    <w:rsid w:val="00B53B32"/>
    <w:rsid w:val="00B631C5"/>
    <w:rsid w:val="00B63231"/>
    <w:rsid w:val="00B651AD"/>
    <w:rsid w:val="00B76F5F"/>
    <w:rsid w:val="00B80C48"/>
    <w:rsid w:val="00B813A9"/>
    <w:rsid w:val="00B815A1"/>
    <w:rsid w:val="00B84DC5"/>
    <w:rsid w:val="00B855E3"/>
    <w:rsid w:val="00B87DB1"/>
    <w:rsid w:val="00B93DA3"/>
    <w:rsid w:val="00B93F71"/>
    <w:rsid w:val="00B960BC"/>
    <w:rsid w:val="00B9622F"/>
    <w:rsid w:val="00B97B9B"/>
    <w:rsid w:val="00BA033C"/>
    <w:rsid w:val="00BA23D1"/>
    <w:rsid w:val="00BA6499"/>
    <w:rsid w:val="00BB482C"/>
    <w:rsid w:val="00BC40AF"/>
    <w:rsid w:val="00BD3F77"/>
    <w:rsid w:val="00BE18EF"/>
    <w:rsid w:val="00BE2F18"/>
    <w:rsid w:val="00BE671B"/>
    <w:rsid w:val="00BE7619"/>
    <w:rsid w:val="00BF1704"/>
    <w:rsid w:val="00BF317E"/>
    <w:rsid w:val="00C0095B"/>
    <w:rsid w:val="00C03975"/>
    <w:rsid w:val="00C14D67"/>
    <w:rsid w:val="00C22AEE"/>
    <w:rsid w:val="00C23033"/>
    <w:rsid w:val="00C235A5"/>
    <w:rsid w:val="00C2715E"/>
    <w:rsid w:val="00C34ED5"/>
    <w:rsid w:val="00C37E73"/>
    <w:rsid w:val="00C40694"/>
    <w:rsid w:val="00C409ED"/>
    <w:rsid w:val="00C454C1"/>
    <w:rsid w:val="00C55D40"/>
    <w:rsid w:val="00C56665"/>
    <w:rsid w:val="00C616C6"/>
    <w:rsid w:val="00C9558B"/>
    <w:rsid w:val="00CA2516"/>
    <w:rsid w:val="00CA4AD6"/>
    <w:rsid w:val="00CB3584"/>
    <w:rsid w:val="00CB4194"/>
    <w:rsid w:val="00CB47DC"/>
    <w:rsid w:val="00CC08DC"/>
    <w:rsid w:val="00CC3F05"/>
    <w:rsid w:val="00CD1947"/>
    <w:rsid w:val="00CD766A"/>
    <w:rsid w:val="00CE0A54"/>
    <w:rsid w:val="00CE0E19"/>
    <w:rsid w:val="00CF2953"/>
    <w:rsid w:val="00CF2C28"/>
    <w:rsid w:val="00CF515E"/>
    <w:rsid w:val="00CF5970"/>
    <w:rsid w:val="00CF7F10"/>
    <w:rsid w:val="00D01E8F"/>
    <w:rsid w:val="00D04661"/>
    <w:rsid w:val="00D13BEA"/>
    <w:rsid w:val="00D212E1"/>
    <w:rsid w:val="00D26A08"/>
    <w:rsid w:val="00D32EE6"/>
    <w:rsid w:val="00D343D7"/>
    <w:rsid w:val="00D36A8E"/>
    <w:rsid w:val="00D44FFB"/>
    <w:rsid w:val="00D45017"/>
    <w:rsid w:val="00D45071"/>
    <w:rsid w:val="00D50973"/>
    <w:rsid w:val="00D540BD"/>
    <w:rsid w:val="00D63C03"/>
    <w:rsid w:val="00D65CF1"/>
    <w:rsid w:val="00D71163"/>
    <w:rsid w:val="00D774F6"/>
    <w:rsid w:val="00D844E7"/>
    <w:rsid w:val="00D845DB"/>
    <w:rsid w:val="00D854D2"/>
    <w:rsid w:val="00D91FD5"/>
    <w:rsid w:val="00D94991"/>
    <w:rsid w:val="00DA3AB9"/>
    <w:rsid w:val="00DB5695"/>
    <w:rsid w:val="00DB6DCC"/>
    <w:rsid w:val="00DC457D"/>
    <w:rsid w:val="00DD33EB"/>
    <w:rsid w:val="00DD5C76"/>
    <w:rsid w:val="00DD6D5E"/>
    <w:rsid w:val="00DE0A5F"/>
    <w:rsid w:val="00DE2F5F"/>
    <w:rsid w:val="00DF65ED"/>
    <w:rsid w:val="00E24F92"/>
    <w:rsid w:val="00E25C4C"/>
    <w:rsid w:val="00E25F2E"/>
    <w:rsid w:val="00E403AB"/>
    <w:rsid w:val="00E411A2"/>
    <w:rsid w:val="00E4371E"/>
    <w:rsid w:val="00E437DB"/>
    <w:rsid w:val="00E44017"/>
    <w:rsid w:val="00E444D8"/>
    <w:rsid w:val="00E55EE4"/>
    <w:rsid w:val="00E640FB"/>
    <w:rsid w:val="00E65805"/>
    <w:rsid w:val="00E7175F"/>
    <w:rsid w:val="00E82317"/>
    <w:rsid w:val="00E82E58"/>
    <w:rsid w:val="00E9640C"/>
    <w:rsid w:val="00EA0B9C"/>
    <w:rsid w:val="00EA35AE"/>
    <w:rsid w:val="00EA6A59"/>
    <w:rsid w:val="00EA751B"/>
    <w:rsid w:val="00EA7683"/>
    <w:rsid w:val="00EB5955"/>
    <w:rsid w:val="00EB7B88"/>
    <w:rsid w:val="00EC5BE2"/>
    <w:rsid w:val="00EC67A8"/>
    <w:rsid w:val="00EC7513"/>
    <w:rsid w:val="00ED078B"/>
    <w:rsid w:val="00EE079C"/>
    <w:rsid w:val="00EF4865"/>
    <w:rsid w:val="00EF750A"/>
    <w:rsid w:val="00F02029"/>
    <w:rsid w:val="00F0352A"/>
    <w:rsid w:val="00F03C96"/>
    <w:rsid w:val="00F0667D"/>
    <w:rsid w:val="00F10ECF"/>
    <w:rsid w:val="00F13124"/>
    <w:rsid w:val="00F23EDF"/>
    <w:rsid w:val="00F26AD2"/>
    <w:rsid w:val="00F41199"/>
    <w:rsid w:val="00F41BE0"/>
    <w:rsid w:val="00F42A03"/>
    <w:rsid w:val="00F446DD"/>
    <w:rsid w:val="00F534A6"/>
    <w:rsid w:val="00F600ED"/>
    <w:rsid w:val="00F60D2C"/>
    <w:rsid w:val="00F657A1"/>
    <w:rsid w:val="00F71875"/>
    <w:rsid w:val="00F7312F"/>
    <w:rsid w:val="00F829ED"/>
    <w:rsid w:val="00F87C24"/>
    <w:rsid w:val="00F9159F"/>
    <w:rsid w:val="00F930E1"/>
    <w:rsid w:val="00F9570E"/>
    <w:rsid w:val="00FA299D"/>
    <w:rsid w:val="00FA449F"/>
    <w:rsid w:val="00FA67C3"/>
    <w:rsid w:val="00FA6CF6"/>
    <w:rsid w:val="00FB5AE0"/>
    <w:rsid w:val="00FD24DE"/>
    <w:rsid w:val="00FD3E77"/>
    <w:rsid w:val="00FE1020"/>
    <w:rsid w:val="00FF6B75"/>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0EE3"/>
  </w:style>
  <w:style w:type="paragraph" w:styleId="Heading1">
    <w:name w:val="heading 1"/>
    <w:basedOn w:val="Normal3"/>
    <w:next w:val="Normal3"/>
    <w:rsid w:val="000264E9"/>
    <w:pPr>
      <w:keepNext/>
      <w:keepLines/>
      <w:spacing w:before="480" w:after="120"/>
      <w:outlineLvl w:val="0"/>
    </w:pPr>
    <w:rPr>
      <w:b/>
      <w:sz w:val="48"/>
      <w:szCs w:val="48"/>
    </w:rPr>
  </w:style>
  <w:style w:type="paragraph" w:styleId="Heading2">
    <w:name w:val="heading 2"/>
    <w:basedOn w:val="Normal"/>
    <w:link w:val="Heading2Char"/>
    <w:uiPriority w:val="9"/>
    <w:qFormat/>
    <w:rsid w:val="00627BAD"/>
    <w:pPr>
      <w:spacing w:before="100" w:beforeAutospacing="1" w:after="100" w:afterAutospacing="1"/>
      <w:outlineLvl w:val="1"/>
    </w:pPr>
    <w:rPr>
      <w:b/>
      <w:bCs/>
      <w:sz w:val="36"/>
      <w:szCs w:val="36"/>
    </w:rPr>
  </w:style>
  <w:style w:type="paragraph" w:styleId="Heading3">
    <w:name w:val="heading 3"/>
    <w:basedOn w:val="Normal3"/>
    <w:next w:val="Normal3"/>
    <w:rsid w:val="000264E9"/>
    <w:pPr>
      <w:keepNext/>
      <w:keepLines/>
      <w:spacing w:before="280" w:after="80"/>
      <w:outlineLvl w:val="2"/>
    </w:pPr>
    <w:rPr>
      <w:b/>
      <w:sz w:val="28"/>
      <w:szCs w:val="28"/>
    </w:rPr>
  </w:style>
  <w:style w:type="paragraph" w:styleId="Heading4">
    <w:name w:val="heading 4"/>
    <w:basedOn w:val="Normal3"/>
    <w:next w:val="Normal3"/>
    <w:rsid w:val="000264E9"/>
    <w:pPr>
      <w:keepNext/>
      <w:keepLines/>
      <w:spacing w:before="240" w:after="40"/>
      <w:outlineLvl w:val="3"/>
    </w:pPr>
    <w:rPr>
      <w:b/>
    </w:rPr>
  </w:style>
  <w:style w:type="paragraph" w:styleId="Heading5">
    <w:name w:val="heading 5"/>
    <w:basedOn w:val="Normal3"/>
    <w:next w:val="Normal3"/>
    <w:rsid w:val="000264E9"/>
    <w:pPr>
      <w:keepNext/>
      <w:keepLines/>
      <w:spacing w:before="220" w:after="40"/>
      <w:outlineLvl w:val="4"/>
    </w:pPr>
    <w:rPr>
      <w:b/>
      <w:sz w:val="22"/>
      <w:szCs w:val="22"/>
    </w:rPr>
  </w:style>
  <w:style w:type="paragraph" w:styleId="Heading6">
    <w:name w:val="heading 6"/>
    <w:basedOn w:val="Normal3"/>
    <w:next w:val="Normal3"/>
    <w:rsid w:val="000264E9"/>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71163"/>
  </w:style>
  <w:style w:type="paragraph" w:styleId="Title">
    <w:name w:val="Title"/>
    <w:basedOn w:val="Normal3"/>
    <w:next w:val="Normal3"/>
    <w:rsid w:val="000264E9"/>
    <w:pPr>
      <w:keepNext/>
      <w:keepLines/>
      <w:spacing w:before="480" w:after="120"/>
    </w:pPr>
    <w:rPr>
      <w:b/>
      <w:sz w:val="72"/>
      <w:szCs w:val="72"/>
    </w:rPr>
  </w:style>
  <w:style w:type="paragraph" w:customStyle="1" w:styleId="Normal2">
    <w:name w:val="Normal2"/>
    <w:rsid w:val="001D69B4"/>
  </w:style>
  <w:style w:type="paragraph" w:customStyle="1" w:styleId="Normal3">
    <w:name w:val="Normal3"/>
    <w:rsid w:val="000264E9"/>
  </w:style>
  <w:style w:type="paragraph" w:styleId="Header">
    <w:name w:val="header"/>
    <w:basedOn w:val="Normal"/>
    <w:rsid w:val="002B3928"/>
    <w:pPr>
      <w:tabs>
        <w:tab w:val="center" w:pos="4320"/>
        <w:tab w:val="right" w:pos="8640"/>
      </w:tabs>
    </w:pPr>
  </w:style>
  <w:style w:type="paragraph" w:styleId="Footer">
    <w:name w:val="footer"/>
    <w:basedOn w:val="Normal"/>
    <w:link w:val="FooterChar"/>
    <w:uiPriority w:val="99"/>
    <w:rsid w:val="002B3928"/>
    <w:pPr>
      <w:tabs>
        <w:tab w:val="center" w:pos="4320"/>
        <w:tab w:val="right" w:pos="8640"/>
      </w:tabs>
    </w:pPr>
  </w:style>
  <w:style w:type="character" w:styleId="PageNumber">
    <w:name w:val="page number"/>
    <w:basedOn w:val="DefaultParagraphFont"/>
    <w:rsid w:val="009C2C47"/>
  </w:style>
  <w:style w:type="paragraph" w:styleId="BodyText">
    <w:name w:val="Body Text"/>
    <w:basedOn w:val="Normal"/>
    <w:link w:val="BodyTextChar"/>
    <w:rsid w:val="00247973"/>
    <w:pPr>
      <w:jc w:val="center"/>
    </w:pPr>
    <w:rPr>
      <w:rFonts w:ascii="Times Armenian" w:hAnsi="Times Armenian"/>
      <w:bCs/>
    </w:rPr>
  </w:style>
  <w:style w:type="character" w:customStyle="1" w:styleId="BodyTextChar">
    <w:name w:val="Body Text Char"/>
    <w:basedOn w:val="DefaultParagraphFont"/>
    <w:link w:val="BodyText"/>
    <w:rsid w:val="00247973"/>
    <w:rPr>
      <w:rFonts w:ascii="Times Armenian" w:hAnsi="Times Armenian"/>
      <w:bCs/>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1,Char Char Char Char,Char Char Char"/>
    <w:basedOn w:val="Normal"/>
    <w:link w:val="NormalWebChar"/>
    <w:uiPriority w:val="99"/>
    <w:unhideWhenUsed/>
    <w:qFormat/>
    <w:rsid w:val="00247973"/>
    <w:pPr>
      <w:spacing w:before="100" w:beforeAutospacing="1" w:after="100" w:afterAutospacing="1"/>
    </w:pPr>
  </w:style>
  <w:style w:type="paragraph" w:customStyle="1" w:styleId="1">
    <w:name w:val="Абзац списка1"/>
    <w:basedOn w:val="Normal"/>
    <w:qFormat/>
    <w:rsid w:val="00247973"/>
    <w:pPr>
      <w:ind w:left="720"/>
      <w:contextualSpacing/>
    </w:pPr>
    <w:rPr>
      <w:rFonts w:ascii="Times Armenian" w:eastAsia="Calibri" w:hAnsi="Times Armenian"/>
    </w:rPr>
  </w:style>
  <w:style w:type="character" w:customStyle="1" w:styleId="apple-converted-space">
    <w:name w:val="apple-converted-space"/>
    <w:basedOn w:val="DefaultParagraphFont"/>
    <w:rsid w:val="00247973"/>
  </w:style>
  <w:style w:type="paragraph" w:styleId="BalloonText">
    <w:name w:val="Balloon Text"/>
    <w:basedOn w:val="Normal"/>
    <w:link w:val="BalloonTextChar"/>
    <w:rsid w:val="00247973"/>
    <w:rPr>
      <w:rFonts w:ascii="Tahoma" w:hAnsi="Tahoma"/>
      <w:iCs/>
      <w:sz w:val="16"/>
      <w:szCs w:val="16"/>
    </w:rPr>
  </w:style>
  <w:style w:type="character" w:customStyle="1" w:styleId="BalloonTextChar">
    <w:name w:val="Balloon Text Char"/>
    <w:basedOn w:val="DefaultParagraphFont"/>
    <w:link w:val="BalloonText"/>
    <w:rsid w:val="00247973"/>
    <w:rPr>
      <w:rFonts w:ascii="Tahoma" w:hAnsi="Tahoma"/>
      <w:iCs/>
      <w:sz w:val="16"/>
      <w:szCs w:val="16"/>
    </w:rPr>
  </w:style>
  <w:style w:type="character" w:styleId="Strong">
    <w:name w:val="Strong"/>
    <w:uiPriority w:val="22"/>
    <w:qFormat/>
    <w:rsid w:val="00247973"/>
    <w:rPr>
      <w:b/>
      <w:bCs/>
    </w:rPr>
  </w:style>
  <w:style w:type="character" w:styleId="CommentReference">
    <w:name w:val="annotation reference"/>
    <w:basedOn w:val="DefaultParagraphFont"/>
    <w:uiPriority w:val="99"/>
    <w:unhideWhenUsed/>
    <w:rsid w:val="00247973"/>
    <w:rPr>
      <w:sz w:val="16"/>
      <w:szCs w:val="16"/>
    </w:rPr>
  </w:style>
  <w:style w:type="paragraph" w:styleId="CommentText">
    <w:name w:val="annotation text"/>
    <w:basedOn w:val="Normal"/>
    <w:link w:val="CommentTextChar"/>
    <w:uiPriority w:val="99"/>
    <w:unhideWhenUsed/>
    <w:rsid w:val="00247973"/>
    <w:rPr>
      <w:rFonts w:ascii="Times Armenian" w:hAnsi="Times Armenian"/>
      <w:iCs/>
      <w:sz w:val="20"/>
      <w:szCs w:val="20"/>
    </w:rPr>
  </w:style>
  <w:style w:type="character" w:customStyle="1" w:styleId="CommentTextChar">
    <w:name w:val="Comment Text Char"/>
    <w:basedOn w:val="DefaultParagraphFont"/>
    <w:link w:val="CommentText"/>
    <w:uiPriority w:val="99"/>
    <w:rsid w:val="00247973"/>
    <w:rPr>
      <w:rFonts w:ascii="Times Armenian" w:hAnsi="Times Armenian"/>
      <w:iCs/>
    </w:rPr>
  </w:style>
  <w:style w:type="paragraph" w:styleId="CommentSubject">
    <w:name w:val="annotation subject"/>
    <w:basedOn w:val="CommentText"/>
    <w:next w:val="CommentText"/>
    <w:link w:val="CommentSubjectChar"/>
    <w:uiPriority w:val="99"/>
    <w:unhideWhenUsed/>
    <w:rsid w:val="00247973"/>
    <w:rPr>
      <w:b/>
      <w:bCs/>
    </w:rPr>
  </w:style>
  <w:style w:type="character" w:customStyle="1" w:styleId="CommentSubjectChar">
    <w:name w:val="Comment Subject Char"/>
    <w:basedOn w:val="CommentTextChar"/>
    <w:link w:val="CommentSubject"/>
    <w:uiPriority w:val="99"/>
    <w:rsid w:val="00247973"/>
    <w:rPr>
      <w:rFonts w:ascii="Times Armenian" w:hAnsi="Times Armenian"/>
      <w:b/>
      <w:bCs/>
      <w:iCs/>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247973"/>
    <w:pPr>
      <w:spacing w:line="360" w:lineRule="auto"/>
      <w:ind w:left="720" w:firstLine="709"/>
      <w:contextualSpacing/>
      <w:jc w:val="both"/>
    </w:pPr>
    <w:rPr>
      <w:rFonts w:ascii="Calibri" w:eastAsia="Calibri" w:hAnsi="Calibri"/>
      <w:sz w:val="22"/>
      <w:szCs w:val="22"/>
      <w:lang w:val="ru-RU"/>
    </w:rPr>
  </w:style>
  <w:style w:type="paragraph" w:styleId="Subtitle">
    <w:name w:val="Subtitle"/>
    <w:basedOn w:val="Normal"/>
    <w:next w:val="Normal"/>
    <w:link w:val="SubtitleChar"/>
    <w:rsid w:val="00D71163"/>
    <w:pPr>
      <w:spacing w:after="60"/>
      <w:jc w:val="center"/>
    </w:pPr>
    <w:rPr>
      <w:rFonts w:ascii="Cambria" w:eastAsia="Cambria" w:hAnsi="Cambria" w:cs="Cambria"/>
    </w:rPr>
  </w:style>
  <w:style w:type="character" w:customStyle="1" w:styleId="SubtitleChar">
    <w:name w:val="Subtitle Char"/>
    <w:basedOn w:val="DefaultParagraphFont"/>
    <w:link w:val="Subtitle"/>
    <w:rsid w:val="00DD7F2B"/>
    <w:rPr>
      <w:rFonts w:ascii="Cambria" w:eastAsia="Times New Roman" w:hAnsi="Cambria" w:cs="Times New Roman"/>
      <w:sz w:val="24"/>
      <w:szCs w:val="24"/>
    </w:rPr>
  </w:style>
  <w:style w:type="paragraph" w:styleId="Revision">
    <w:name w:val="Revision"/>
    <w:hidden/>
    <w:uiPriority w:val="99"/>
    <w:semiHidden/>
    <w:rsid w:val="002B560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8C1C70"/>
    <w:rPr>
      <w:rFonts w:ascii="Calibri" w:eastAsia="Calibri" w:hAnsi="Calibri"/>
      <w:sz w:val="22"/>
      <w:szCs w:val="22"/>
      <w:lang w:val="ru-RU"/>
    </w:rPr>
  </w:style>
  <w:style w:type="character" w:styleId="Hyperlink">
    <w:name w:val="Hyperlink"/>
    <w:basedOn w:val="DefaultParagraphFont"/>
    <w:uiPriority w:val="99"/>
    <w:unhideWhenUsed/>
    <w:rsid w:val="002625DF"/>
    <w:rPr>
      <w:color w:val="0000FF"/>
      <w:u w:val="single"/>
    </w:rPr>
  </w:style>
  <w:style w:type="paragraph" w:customStyle="1" w:styleId="norm">
    <w:name w:val="norm"/>
    <w:basedOn w:val="Normal"/>
    <w:link w:val="normChar"/>
    <w:rsid w:val="00432F91"/>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sid w:val="00432F91"/>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1 Char"/>
    <w:link w:val="NormalWeb"/>
    <w:uiPriority w:val="99"/>
    <w:locked/>
    <w:rsid w:val="00432F91"/>
    <w:rPr>
      <w:sz w:val="24"/>
      <w:szCs w:val="24"/>
    </w:rPr>
  </w:style>
  <w:style w:type="character" w:styleId="Emphasis">
    <w:name w:val="Emphasis"/>
    <w:basedOn w:val="DefaultParagraphFont"/>
    <w:uiPriority w:val="20"/>
    <w:qFormat/>
    <w:rsid w:val="007325F2"/>
    <w:rPr>
      <w:i/>
      <w:iCs/>
    </w:rPr>
  </w:style>
  <w:style w:type="table" w:styleId="TableGrid">
    <w:name w:val="Table Grid"/>
    <w:basedOn w:val="TableNormal"/>
    <w:uiPriority w:val="59"/>
    <w:rsid w:val="00C209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627BAD"/>
    <w:rPr>
      <w:b/>
      <w:bCs/>
      <w:sz w:val="36"/>
      <w:szCs w:val="36"/>
    </w:rPr>
  </w:style>
  <w:style w:type="table" w:customStyle="1" w:styleId="a">
    <w:basedOn w:val="TableNormal"/>
    <w:rsid w:val="000264E9"/>
    <w:tblPr>
      <w:tblStyleRowBandSize w:val="1"/>
      <w:tblStyleColBandSize w:val="1"/>
      <w:tblInd w:w="0" w:type="dxa"/>
      <w:tblCellMar>
        <w:top w:w="0" w:type="dxa"/>
        <w:left w:w="108" w:type="dxa"/>
        <w:bottom w:w="0" w:type="dxa"/>
        <w:right w:w="108" w:type="dxa"/>
      </w:tblCellMar>
    </w:tblPr>
  </w:style>
  <w:style w:type="table" w:customStyle="1" w:styleId="a0">
    <w:basedOn w:val="TableNormal"/>
    <w:rsid w:val="000264E9"/>
    <w:tblPr>
      <w:tblStyleRowBandSize w:val="1"/>
      <w:tblStyleColBandSize w:val="1"/>
      <w:tblInd w:w="0" w:type="dxa"/>
      <w:tblCellMar>
        <w:top w:w="0" w:type="dxa"/>
        <w:left w:w="108" w:type="dxa"/>
        <w:bottom w:w="0" w:type="dxa"/>
        <w:right w:w="108" w:type="dxa"/>
      </w:tblCellMar>
    </w:tblPr>
  </w:style>
  <w:style w:type="table" w:customStyle="1" w:styleId="a1">
    <w:basedOn w:val="TableNormal"/>
    <w:rsid w:val="000264E9"/>
    <w:tblPr>
      <w:tblStyleRowBandSize w:val="1"/>
      <w:tblStyleColBandSize w:val="1"/>
      <w:tblInd w:w="0" w:type="dxa"/>
      <w:tblCellMar>
        <w:top w:w="0" w:type="dxa"/>
        <w:left w:w="115" w:type="dxa"/>
        <w:bottom w:w="0" w:type="dxa"/>
        <w:right w:w="115" w:type="dxa"/>
      </w:tblCellMar>
    </w:tblPr>
  </w:style>
  <w:style w:type="table" w:customStyle="1" w:styleId="a2">
    <w:basedOn w:val="TableNormal"/>
    <w:rsid w:val="001D69B4"/>
    <w:tblPr>
      <w:tblStyleRowBandSize w:val="1"/>
      <w:tblStyleColBandSize w:val="1"/>
      <w:tblInd w:w="0" w:type="dxa"/>
      <w:tblCellMar>
        <w:top w:w="0" w:type="dxa"/>
        <w:left w:w="115" w:type="dxa"/>
        <w:bottom w:w="0" w:type="dxa"/>
        <w:right w:w="115" w:type="dxa"/>
      </w:tblCellMar>
    </w:tblPr>
  </w:style>
  <w:style w:type="table" w:customStyle="1" w:styleId="a3">
    <w:basedOn w:val="TableNormal"/>
    <w:rsid w:val="001D69B4"/>
    <w:tblPr>
      <w:tblStyleRowBandSize w:val="1"/>
      <w:tblStyleColBandSize w:val="1"/>
      <w:tblInd w:w="0" w:type="dxa"/>
      <w:tblCellMar>
        <w:top w:w="0" w:type="dxa"/>
        <w:left w:w="115" w:type="dxa"/>
        <w:bottom w:w="0" w:type="dxa"/>
        <w:right w:w="115" w:type="dxa"/>
      </w:tblCellMar>
    </w:tblPr>
  </w:style>
  <w:style w:type="table" w:customStyle="1" w:styleId="a4">
    <w:basedOn w:val="TableNormal"/>
    <w:rsid w:val="00D71163"/>
    <w:tblPr>
      <w:tblStyleRowBandSize w:val="1"/>
      <w:tblStyleColBandSize w:val="1"/>
      <w:tblInd w:w="0" w:type="dxa"/>
      <w:tblCellMar>
        <w:top w:w="0" w:type="dxa"/>
        <w:left w:w="115" w:type="dxa"/>
        <w:bottom w:w="0" w:type="dxa"/>
        <w:right w:w="115" w:type="dxa"/>
      </w:tblCellMar>
    </w:tblPr>
  </w:style>
  <w:style w:type="table" w:customStyle="1" w:styleId="a5">
    <w:basedOn w:val="TableNormal"/>
    <w:rsid w:val="00D71163"/>
    <w:tblPr>
      <w:tblStyleRowBandSize w:val="1"/>
      <w:tblStyleColBandSize w:val="1"/>
      <w:tblInd w:w="0" w:type="dxa"/>
      <w:tblCellMar>
        <w:top w:w="0" w:type="dxa"/>
        <w:left w:w="115" w:type="dxa"/>
        <w:bottom w:w="0" w:type="dxa"/>
        <w:right w:w="115" w:type="dxa"/>
      </w:tblCellMar>
    </w:tblPr>
  </w:style>
  <w:style w:type="character" w:customStyle="1" w:styleId="FooterChar">
    <w:name w:val="Footer Char"/>
    <w:basedOn w:val="DefaultParagraphFont"/>
    <w:link w:val="Footer"/>
    <w:uiPriority w:val="99"/>
    <w:rsid w:val="00997A3B"/>
  </w:style>
</w:styles>
</file>

<file path=word/webSettings.xml><?xml version="1.0" encoding="utf-8"?>
<w:webSettings xmlns:r="http://schemas.openxmlformats.org/officeDocument/2006/relationships" xmlns:w="http://schemas.openxmlformats.org/wordprocessingml/2006/main">
  <w:divs>
    <w:div w:id="135219298">
      <w:bodyDiv w:val="1"/>
      <w:marLeft w:val="0"/>
      <w:marRight w:val="0"/>
      <w:marTop w:val="0"/>
      <w:marBottom w:val="0"/>
      <w:divBdr>
        <w:top w:val="none" w:sz="0" w:space="0" w:color="auto"/>
        <w:left w:val="none" w:sz="0" w:space="0" w:color="auto"/>
        <w:bottom w:val="none" w:sz="0" w:space="0" w:color="auto"/>
        <w:right w:val="none" w:sz="0" w:space="0" w:color="auto"/>
      </w:divBdr>
    </w:div>
    <w:div w:id="558713699">
      <w:bodyDiv w:val="1"/>
      <w:marLeft w:val="0"/>
      <w:marRight w:val="0"/>
      <w:marTop w:val="0"/>
      <w:marBottom w:val="0"/>
      <w:divBdr>
        <w:top w:val="none" w:sz="0" w:space="0" w:color="auto"/>
        <w:left w:val="none" w:sz="0" w:space="0" w:color="auto"/>
        <w:bottom w:val="none" w:sz="0" w:space="0" w:color="auto"/>
        <w:right w:val="none" w:sz="0" w:space="0" w:color="auto"/>
      </w:divBdr>
    </w:div>
    <w:div w:id="685210703">
      <w:bodyDiv w:val="1"/>
      <w:marLeft w:val="0"/>
      <w:marRight w:val="0"/>
      <w:marTop w:val="0"/>
      <w:marBottom w:val="0"/>
      <w:divBdr>
        <w:top w:val="none" w:sz="0" w:space="0" w:color="auto"/>
        <w:left w:val="none" w:sz="0" w:space="0" w:color="auto"/>
        <w:bottom w:val="none" w:sz="0" w:space="0" w:color="auto"/>
        <w:right w:val="none" w:sz="0" w:space="0" w:color="auto"/>
      </w:divBdr>
    </w:div>
    <w:div w:id="807430609">
      <w:bodyDiv w:val="1"/>
      <w:marLeft w:val="0"/>
      <w:marRight w:val="0"/>
      <w:marTop w:val="0"/>
      <w:marBottom w:val="0"/>
      <w:divBdr>
        <w:top w:val="none" w:sz="0" w:space="0" w:color="auto"/>
        <w:left w:val="none" w:sz="0" w:space="0" w:color="auto"/>
        <w:bottom w:val="none" w:sz="0" w:space="0" w:color="auto"/>
        <w:right w:val="none" w:sz="0" w:space="0" w:color="auto"/>
      </w:divBdr>
    </w:div>
    <w:div w:id="924191365">
      <w:bodyDiv w:val="1"/>
      <w:marLeft w:val="0"/>
      <w:marRight w:val="0"/>
      <w:marTop w:val="0"/>
      <w:marBottom w:val="0"/>
      <w:divBdr>
        <w:top w:val="none" w:sz="0" w:space="0" w:color="auto"/>
        <w:left w:val="none" w:sz="0" w:space="0" w:color="auto"/>
        <w:bottom w:val="none" w:sz="0" w:space="0" w:color="auto"/>
        <w:right w:val="none" w:sz="0" w:space="0" w:color="auto"/>
      </w:divBdr>
    </w:div>
    <w:div w:id="955796498">
      <w:bodyDiv w:val="1"/>
      <w:marLeft w:val="0"/>
      <w:marRight w:val="0"/>
      <w:marTop w:val="0"/>
      <w:marBottom w:val="0"/>
      <w:divBdr>
        <w:top w:val="none" w:sz="0" w:space="0" w:color="auto"/>
        <w:left w:val="none" w:sz="0" w:space="0" w:color="auto"/>
        <w:bottom w:val="none" w:sz="0" w:space="0" w:color="auto"/>
        <w:right w:val="none" w:sz="0" w:space="0" w:color="auto"/>
      </w:divBdr>
    </w:div>
    <w:div w:id="1451588731">
      <w:bodyDiv w:val="1"/>
      <w:marLeft w:val="0"/>
      <w:marRight w:val="0"/>
      <w:marTop w:val="0"/>
      <w:marBottom w:val="0"/>
      <w:divBdr>
        <w:top w:val="none" w:sz="0" w:space="0" w:color="auto"/>
        <w:left w:val="none" w:sz="0" w:space="0" w:color="auto"/>
        <w:bottom w:val="none" w:sz="0" w:space="0" w:color="auto"/>
        <w:right w:val="none" w:sz="0" w:space="0" w:color="auto"/>
      </w:divBdr>
    </w:div>
    <w:div w:id="18928133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arlis.am/DocumentView.aspx?docid=162047"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hAyrQb6Xl70sDZgV288iGd81Msg==">AMUW2mVF62ZCaFABoqrqFTSHp3utkyBAXexoXpyLRqzZxnPAl4IMrqf6Tr2gOhtnQUhdhwe79ravkzlq/iGHKVQi+In6PnbVRBJ5M5AqcCuB99+srqHufjtbSrD2K4kRQkf8WXUKT1qAK66gEvD77Bn/GbvRon6AVwbetcxjg168hImXls6EqIo=</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7246404-51C1-4EE5-B62A-B0A4F8829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1</Pages>
  <Words>1405</Words>
  <Characters>8012</Characters>
  <Application>Microsoft Office Word</Application>
  <DocSecurity>0</DocSecurity>
  <Lines>66</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9399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Casscourt</dc:creator>
  <cp:keywords>https:/mul2-moj.gov.am/tasks/367562/oneclick/k_voroshum_ qkag.docx?token=ce7a6127947abd17fbc513fadc3df185</cp:keywords>
  <cp:lastModifiedBy>M-Martirosyan</cp:lastModifiedBy>
  <cp:revision>104</cp:revision>
  <cp:lastPrinted>2024-03-07T07:01:00Z</cp:lastPrinted>
  <dcterms:created xsi:type="dcterms:W3CDTF">2023-03-30T07:53:00Z</dcterms:created>
  <dcterms:modified xsi:type="dcterms:W3CDTF">2024-05-13T11:23:00Z</dcterms:modified>
</cp:coreProperties>
</file>