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FA5D7" w14:textId="77777777" w:rsidR="00862496" w:rsidRPr="0021212F" w:rsidRDefault="00114DAF" w:rsidP="00114DAF">
      <w:pPr>
        <w:spacing w:after="0" w:line="360" w:lineRule="auto"/>
        <w:ind w:firstLine="42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1212F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BBA1887" w14:textId="4AB5E0D9" w:rsidR="00114DAF" w:rsidRPr="0021212F" w:rsidRDefault="00234B2F" w:rsidP="00114DAF">
      <w:pPr>
        <w:spacing w:after="0" w:line="360" w:lineRule="auto"/>
        <w:ind w:firstLine="42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1212F">
        <w:rPr>
          <w:rFonts w:ascii="GHEA Grapalat" w:hAnsi="GHEA Grapalat"/>
          <w:b/>
          <w:bCs/>
          <w:sz w:val="24"/>
          <w:szCs w:val="24"/>
          <w:lang w:val="hy-AM"/>
        </w:rPr>
        <w:t>«ԽԱՂԱՂ ՆՊԱՏԱԿՆԵՐՈՎ ԱՏՈՄԱՅԻՆ ԷՆԵՐԳԻԱՅԻ ԱՆՎՏԱՆԳ ՕԳՏԱԳՈՐԾՄԱՆ ՄԱՍԻՆ»</w:t>
      </w:r>
      <w:r w:rsidR="00114DAF" w:rsidRPr="0021212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A5A55" w:rsidRPr="0021212F">
        <w:rPr>
          <w:rFonts w:ascii="GHEA Grapalat" w:hAnsi="GHEA Grapalat"/>
          <w:b/>
          <w:bCs/>
          <w:sz w:val="24"/>
          <w:szCs w:val="24"/>
          <w:lang w:val="hy-AM"/>
        </w:rPr>
        <w:t xml:space="preserve">ԵՎ «ԱՎԻԱՑԻԱՅԻ ՄԱՍԻՆ» </w:t>
      </w:r>
      <w:r w:rsidR="00114DAF" w:rsidRPr="0021212F">
        <w:rPr>
          <w:rFonts w:ascii="GHEA Grapalat" w:hAnsi="GHEA Grapalat"/>
          <w:b/>
          <w:bCs/>
          <w:sz w:val="24"/>
          <w:szCs w:val="24"/>
          <w:lang w:val="hy-AM"/>
        </w:rPr>
        <w:t>ՕՐԵՆՔ</w:t>
      </w:r>
      <w:r w:rsidR="00E60BA0" w:rsidRPr="0021212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14DAF" w:rsidRPr="0021212F">
        <w:rPr>
          <w:rFonts w:ascii="GHEA Grapalat" w:hAnsi="GHEA Grapalat"/>
          <w:b/>
          <w:bCs/>
          <w:sz w:val="24"/>
          <w:szCs w:val="24"/>
          <w:lang w:val="hy-AM"/>
        </w:rPr>
        <w:t>ՈՒՄ ԼՐԱՑՎՈՂ ՀՈԴՎԱԾ</w:t>
      </w:r>
      <w:r w:rsidR="001A5A55" w:rsidRPr="0021212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14DAF" w:rsidRPr="0021212F">
        <w:rPr>
          <w:rFonts w:ascii="GHEA Grapalat" w:hAnsi="GHEA Grapalat"/>
          <w:b/>
          <w:bCs/>
          <w:sz w:val="24"/>
          <w:szCs w:val="24"/>
          <w:lang w:val="hy-AM"/>
        </w:rPr>
        <w:t xml:space="preserve">Ի ՎԵՐԱԲԵՐՅԱԼ </w:t>
      </w:r>
    </w:p>
    <w:p w14:paraId="1D4BAA58" w14:textId="77777777" w:rsidR="00114DAF" w:rsidRPr="0021212F" w:rsidRDefault="00114DAF" w:rsidP="00114DAF">
      <w:pPr>
        <w:spacing w:after="0" w:line="360" w:lineRule="auto"/>
        <w:ind w:firstLine="426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</w:p>
    <w:p w14:paraId="7AD2A764" w14:textId="77777777" w:rsidR="00CA0104" w:rsidRPr="0021212F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21212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E6C94B8" w14:textId="77777777" w:rsidR="00CA0104" w:rsidRPr="00CA0104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26925E8A" w14:textId="77777777" w:rsidR="00CA0104" w:rsidRPr="00CA0104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/>
          <w:bCs/>
          <w:lang w:val="hy-AM"/>
        </w:rPr>
      </w:pPr>
      <w:r w:rsidRPr="00CA0104">
        <w:rPr>
          <w:rFonts w:ascii="GHEA Grapalat" w:hAnsi="GHEA Grapalat"/>
          <w:b/>
          <w:bCs/>
          <w:lang w:val="hy-AM"/>
        </w:rPr>
        <w:t>Օ Ր Ե Ն Ք Ը</w:t>
      </w:r>
    </w:p>
    <w:p w14:paraId="5841AC2C" w14:textId="77777777" w:rsidR="00CA0104" w:rsidRPr="00CA0104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6A76FE3B" w14:textId="4D0F3713" w:rsidR="00CA0104" w:rsidRPr="00CA0104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GHEA Grapalat" w:hAnsi="GHEA Grapalat"/>
          <w:bCs/>
          <w:lang w:val="hy-AM"/>
        </w:rPr>
        <w:t xml:space="preserve">Ընդունված է </w:t>
      </w:r>
      <w:r w:rsidR="007216BE" w:rsidRPr="001A5A55">
        <w:rPr>
          <w:rFonts w:ascii="GHEA Grapalat" w:hAnsi="GHEA Grapalat"/>
          <w:bCs/>
          <w:lang w:val="hy-AM"/>
        </w:rPr>
        <w:t>1999</w:t>
      </w:r>
      <w:r w:rsidRPr="00CA0104">
        <w:rPr>
          <w:rFonts w:ascii="GHEA Grapalat" w:hAnsi="GHEA Grapalat"/>
          <w:bCs/>
          <w:lang w:val="hy-AM"/>
        </w:rPr>
        <w:t xml:space="preserve"> թվականի</w:t>
      </w:r>
      <w:r w:rsidRPr="00CA0104">
        <w:rPr>
          <w:rFonts w:ascii="Calibri" w:hAnsi="Calibri" w:cs="Calibri"/>
          <w:bCs/>
          <w:lang w:val="hy-AM"/>
        </w:rPr>
        <w:t> </w:t>
      </w:r>
      <w:r w:rsidR="007216BE">
        <w:rPr>
          <w:rFonts w:ascii="GHEA Grapalat" w:hAnsi="GHEA Grapalat"/>
          <w:bCs/>
          <w:lang w:val="hy-AM"/>
        </w:rPr>
        <w:t>փետրվարի</w:t>
      </w:r>
      <w:r w:rsidRPr="00CA0104">
        <w:rPr>
          <w:rFonts w:ascii="GHEA Grapalat" w:hAnsi="GHEA Grapalat"/>
          <w:bCs/>
          <w:lang w:val="hy-AM"/>
        </w:rPr>
        <w:t xml:space="preserve"> 1-ին</w:t>
      </w:r>
    </w:p>
    <w:p w14:paraId="72040D00" w14:textId="77777777" w:rsidR="00CA0104" w:rsidRPr="00CA0104" w:rsidRDefault="00CA0104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2073A499" w14:textId="2B52EB3E" w:rsidR="00CA0104" w:rsidRPr="00CA0104" w:rsidRDefault="00234B2F" w:rsidP="00CA0104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6C788C">
        <w:rPr>
          <w:rFonts w:ascii="GHEA Grapalat" w:hAnsi="GHEA Grapalat"/>
          <w:b/>
          <w:bCs/>
          <w:sz w:val="24"/>
          <w:szCs w:val="24"/>
          <w:lang w:val="hy-AM"/>
        </w:rPr>
        <w:t>ԽԱՂԱՂ ՆՊԱՏԱԿՆԵՐՈՎ ԱՏՈՄԱՅԻՆ ԷՆԵՐԳԻԱՅԻ ԱՆՎՏԱՆԳ ՕԳՏԱԳՈՐԾՄԱՆ ՄԱՍԻՆ</w:t>
      </w:r>
    </w:p>
    <w:p w14:paraId="0F7E5521" w14:textId="77777777" w:rsidR="00810C4C" w:rsidRPr="00810C4C" w:rsidRDefault="00810C4C" w:rsidP="00114DAF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54"/>
      </w:tblGrid>
      <w:tr w:rsidR="00862496" w:rsidRPr="00234B2F" w14:paraId="300B13C1" w14:textId="77777777" w:rsidTr="0029190A">
        <w:trPr>
          <w:tblCellSpacing w:w="7" w:type="dxa"/>
        </w:trPr>
        <w:tc>
          <w:tcPr>
            <w:tcW w:w="2025" w:type="dxa"/>
            <w:hideMark/>
          </w:tcPr>
          <w:p w14:paraId="7C949AC4" w14:textId="2BFEE693" w:rsidR="00862496" w:rsidRPr="00234B2F" w:rsidRDefault="00862496" w:rsidP="00234B2F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Հոդված </w:t>
            </w:r>
            <w:r w:rsidR="00234B2F"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>7</w:t>
            </w:r>
            <w:r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C0251DA" w14:textId="1FE36BF5" w:rsidR="00862496" w:rsidRPr="00234B2F" w:rsidRDefault="00234B2F" w:rsidP="00234B2F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>Ատոմային էներգիայի օգտագործման բնագավառում Կառավարության իրավասությունը</w:t>
            </w:r>
          </w:p>
        </w:tc>
      </w:tr>
    </w:tbl>
    <w:p w14:paraId="5DD00BA8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(վերնագիրը փոփ. 23.03.18 ՀՕ-266-Ն)</w:t>
      </w:r>
    </w:p>
    <w:p w14:paraId="1747F4EA" w14:textId="550D26C3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 xml:space="preserve"> </w:t>
      </w:r>
    </w:p>
    <w:p w14:paraId="3E8B61F7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Ատոմային էներգիայի օգտագործման բնագավառում Կառավարությունը`</w:t>
      </w:r>
    </w:p>
    <w:p w14:paraId="440325BF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ա) մշակում և իրականացնում է ատոմային էներգիայի օգտագործման բնագավառի քաղաքականությունը.</w:t>
      </w:r>
    </w:p>
    <w:p w14:paraId="74054ED4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բ) կազմակերպում է պետական նպատակային ծրագրերի մշակումը, հաստատումը, միջոցառումներ է մշակում դրանց կատարման ապահովման ուղղությամբ.</w:t>
      </w:r>
    </w:p>
    <w:p w14:paraId="50B3AEFE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գ) (կետն ուժը կորցրել է 07.02.18 ՀՕ-109-Ն)</w:t>
      </w:r>
    </w:p>
    <w:p w14:paraId="61B06BE3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դ) (ենթակետը հանվել է 21.03.00 ՀՕ-44)</w:t>
      </w:r>
    </w:p>
    <w:p w14:paraId="39CC7188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ե) (ենթակետը հանվել է 21.03.00 ՀՕ-44)</w:t>
      </w:r>
    </w:p>
    <w:p w14:paraId="03DC9613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դ) կազմակերպում է միջոցառումներ բնակչությանը, ատոմային էներգիայի օգտագործման օբյեկտների անձնակազմերին և շրջակա միջավայրը իոնացնող ճառագայթման վնասակար ազդեցությունից պաշտպանելու ուղղությամբ.</w:t>
      </w:r>
    </w:p>
    <w:p w14:paraId="08E3DAA9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lastRenderedPageBreak/>
        <w:t>ե) կազմակերպում է միջոցառումներ ատոմային էներգիայի օբյեկտներում հնարավոր արտակարգ իրավիճակների և դրանց հետևանքների վերացման վթարային հակազդման ազգային համակարգում ընդգրկված պետական կառավարման մարմինների և ձեռնարկությունների պատրաստվածության ապահովման ուղղությամբ.</w:t>
      </w:r>
    </w:p>
    <w:p w14:paraId="73FA28DB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զ) կազմակերպում է Հայաստանի Հանրապետությունում ճառագայթային իրավիճակի հսկողության համակարգ և սահմանում է այդ համակարգում ընդգրկված պետական մարմինների գործունեության կարգը.</w:t>
      </w:r>
    </w:p>
    <w:p w14:paraId="5D50B066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է) կազմակերպում է միջուկային վնասի փոխհատուցման համար` սույն օրենքի 36 հոդվածով նախատեսված ֆինանսական միջոցների տրամադրումը.</w:t>
      </w:r>
    </w:p>
    <w:p w14:paraId="488403F1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ը) կազմակերպում է ատոմային էներգիայի օգտագործման օբյեկտների ֆիզիկական պաշտպանությունը.</w:t>
      </w:r>
    </w:p>
    <w:p w14:paraId="60FFFFEF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թ) հաստատում է կարգավորող մարմնի ներկայացրած` անվտանգության նորմերը և կանոնները.</w:t>
      </w:r>
    </w:p>
    <w:p w14:paraId="1F6BF7C2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ժ) հաստատում է կարգավորող մարմնի ներկայացրած` անվտանգության ապահովման տեսակետից կարևոր պաշտոնների ցանկը.</w:t>
      </w:r>
    </w:p>
    <w:p w14:paraId="596243CA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ժա) կազմակերպում է ատոմային էներգիայի օգտագործման բնագավառում Հայաստանի Հանրապետության միջազգային պայմանագրերով ստանձնած պարտավորությունների կատարման ապահովումը.</w:t>
      </w:r>
    </w:p>
    <w:p w14:paraId="1AA05039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ժբ) համակարգում է ատոմային էներգիայի օգտագործման բնագավառում Հայաստանի Հանրապետության կողմից իրականացվող միջազգային գործունեությունը.</w:t>
      </w:r>
    </w:p>
    <w:p w14:paraId="0BC034D2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ժգ) իրականացնում է սույն օրենքով և Հայաստանի Հանրապետության օրենքներով սահմանված այլ լիազորություններ.</w:t>
      </w:r>
    </w:p>
    <w:p w14:paraId="73357745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ժդ) անվտանգության տեսակետից կարևոր նշանակության օբյեկտները կառուցվում և շահագործումից հանվում են օրենքով` կառավարության ներկայացմամբ.</w:t>
      </w:r>
    </w:p>
    <w:p w14:paraId="20E6AC17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ժե) հաստատում է ատոմային էներգիայի օգտագործման բնագավառում անվտանգության փորձաքննության կազմակերպման և անցկացման կարգը.</w:t>
      </w:r>
    </w:p>
    <w:p w14:paraId="4EFCB362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ժզ) հաստատում է միջուկային և ռադիոակտիվ նյութերի անվտանգ փոխադրման կարգը.</w:t>
      </w:r>
    </w:p>
    <w:p w14:paraId="2B437964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lastRenderedPageBreak/>
        <w:t>ժէ) հաստատում է Հայկական ատոմային էլեկտրակայանի և միջուկային նյութերի ֆիզիկական պաշտպանության ու պահպանության ուժեղացման հայեցակարգը և միջուկային նյութերի ֆիզիկական պաշտպանության կանոնները.</w:t>
      </w:r>
    </w:p>
    <w:p w14:paraId="20945839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ժը) հաստատում է ռադիոակտիվ նյութերի հայտնաբերման և վնասազերծման կարգը.</w:t>
      </w:r>
    </w:p>
    <w:p w14:paraId="5EF126E3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ժթ) հաստատում է ատոմային էլեկտրակայանում շահագործման ժամանակ տեղի ունեցած միջադեպերի քննության կարգը.</w:t>
      </w:r>
    </w:p>
    <w:p w14:paraId="5DF983B2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ի) հաստատում է Հայկական ատոմային էլեկտրակայանի N 2 էներգաբլոկի շահագործման նախագծային ժամկետի երկարացման նկատմամբ պահանջները.</w:t>
      </w:r>
    </w:p>
    <w:p w14:paraId="161AC034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իա) հաստատում է Հայկական ատոմային էլեկտրակայանի N 2 էներգաբլոկի անվտանգության հիմնավորման հաշվետվության կառուցվածքին և բովանդակությանը ներկայացվող պահանջները.</w:t>
      </w:r>
    </w:p>
    <w:p w14:paraId="5ADE4155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իբ) հաստատում է միջուկային նոր էներգաբլոկի (էներգաբլոկների) նախագծային անվտանգության պահանջները, հրապարակի անվտանգության պահանջները, հրապարակի սեյսմիկ վտանգի գնահատման մեթոդը.</w:t>
      </w:r>
    </w:p>
    <w:p w14:paraId="2D69A930" w14:textId="47629F1A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իգ) հաստատում է ռադիոակտիվ նյութերի և ռադիոակտիվ նյութեր պարունակող սարքերի ֆիզիկական պաշտպանության կանոնները</w:t>
      </w:r>
      <w:r w:rsidR="001D2FAE">
        <w:rPr>
          <w:rFonts w:ascii="GHEA Grapalat" w:hAnsi="GHEA Grapalat"/>
          <w:sz w:val="24"/>
          <w:szCs w:val="24"/>
        </w:rPr>
        <w:t>.</w:t>
      </w:r>
    </w:p>
    <w:p w14:paraId="2C0CA1D8" w14:textId="77777777" w:rsidR="00234B2F" w:rsidRPr="00234B2F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234B2F">
        <w:rPr>
          <w:rFonts w:ascii="GHEA Grapalat" w:hAnsi="GHEA Grapalat"/>
          <w:sz w:val="24"/>
          <w:szCs w:val="24"/>
        </w:rPr>
        <w:t>(7-րդ հոդվածը փոփ., լրաց. 21.03.00 ՀՕ-44, փոփ. 19.03.09 ՀՕ-72-Ն, խմբ., փոփ. 07.02.18 ՀՕ-109-Ն, փոփ. 23.03.18 ՀՕ-266-Ն, լրաց. 26.10.22 ՀՕ-407-Ն)</w:t>
      </w:r>
    </w:p>
    <w:p w14:paraId="368AF86C" w14:textId="2FFAC7FC" w:rsidR="00946955" w:rsidRPr="00E32E2D" w:rsidRDefault="00234B2F" w:rsidP="00234B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E32E2D">
        <w:rPr>
          <w:rFonts w:ascii="GHEA Grapalat" w:hAnsi="GHEA Grapalat"/>
          <w:sz w:val="24"/>
          <w:szCs w:val="24"/>
        </w:rPr>
        <w:t>(26.10.22 ՀՕ-407-Ն օրենքն ունի անցումային դրույթ)</w:t>
      </w:r>
    </w:p>
    <w:p w14:paraId="42D6E324" w14:textId="1B2F0743" w:rsidR="001D2FAE" w:rsidRPr="00E32E2D" w:rsidRDefault="001D2FAE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u w:val="single"/>
          <w:lang w:val="hy-AM"/>
        </w:rPr>
      </w:pPr>
      <w:r w:rsidRPr="00E32E2D">
        <w:rPr>
          <w:rFonts w:ascii="GHEA Grapalat" w:hAnsi="GHEA Grapalat"/>
          <w:bCs/>
          <w:color w:val="4472C4" w:themeColor="accent5"/>
          <w:sz w:val="24"/>
          <w:szCs w:val="24"/>
          <w:u w:val="single"/>
          <w:lang w:val="hy-AM"/>
        </w:rPr>
        <w:t>իդ) հաստատում է հայկական ատոմային էլեկտրակայանի միջուկային կամ ճառագայթային վթարների դեպքում բնակչության պաշտպանության ազգային պլանը (հայկական ատոմային էլեկտրակայանի արտաքին վթարային պլան):</w:t>
      </w:r>
    </w:p>
    <w:p w14:paraId="7A102DCF" w14:textId="59BA6824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5F3A165A" w14:textId="52785C67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6E7DAFDC" w14:textId="66D07FF5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67C9CFB7" w14:textId="44328708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617318CB" w14:textId="178B0A40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4C14FF4F" w14:textId="5C934D2B" w:rsidR="001A5A55" w:rsidRDefault="001A5A55" w:rsidP="00234B2F">
      <w:pPr>
        <w:spacing w:after="0" w:line="360" w:lineRule="auto"/>
        <w:ind w:firstLine="426"/>
        <w:jc w:val="both"/>
        <w:rPr>
          <w:rFonts w:ascii="GHEA Grapalat" w:hAnsi="GHEA Grapalat"/>
          <w:bCs/>
          <w:color w:val="4472C4" w:themeColor="accent5"/>
          <w:sz w:val="24"/>
          <w:szCs w:val="24"/>
          <w:lang w:val="hy-AM"/>
        </w:rPr>
      </w:pPr>
    </w:p>
    <w:p w14:paraId="32C2DD85" w14:textId="77777777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78B90C0F" w14:textId="77777777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6E1085FF" w14:textId="77777777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/>
          <w:bCs/>
          <w:lang w:val="hy-AM"/>
        </w:rPr>
      </w:pPr>
      <w:r w:rsidRPr="00CA0104">
        <w:rPr>
          <w:rFonts w:ascii="GHEA Grapalat" w:hAnsi="GHEA Grapalat"/>
          <w:b/>
          <w:bCs/>
          <w:lang w:val="hy-AM"/>
        </w:rPr>
        <w:t>Օ Ր Ե Ն Ք Ը</w:t>
      </w:r>
    </w:p>
    <w:p w14:paraId="0AF16CDE" w14:textId="77777777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6AEA4368" w14:textId="0753C1F4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GHEA Grapalat" w:hAnsi="GHEA Grapalat"/>
          <w:bCs/>
          <w:lang w:val="hy-AM"/>
        </w:rPr>
        <w:t xml:space="preserve">Ընդունված է </w:t>
      </w:r>
      <w:r>
        <w:rPr>
          <w:rFonts w:ascii="GHEA Grapalat" w:hAnsi="GHEA Grapalat"/>
          <w:bCs/>
          <w:lang w:val="hy-AM"/>
        </w:rPr>
        <w:t>2007</w:t>
      </w:r>
      <w:r w:rsidRPr="00CA0104">
        <w:rPr>
          <w:rFonts w:ascii="GHEA Grapalat" w:hAnsi="GHEA Grapalat"/>
          <w:bCs/>
          <w:lang w:val="hy-AM"/>
        </w:rPr>
        <w:t xml:space="preserve"> թվականի</w:t>
      </w:r>
      <w:r w:rsidRPr="00CA0104">
        <w:rPr>
          <w:rFonts w:ascii="Calibri" w:hAnsi="Calibri" w:cs="Calibri"/>
          <w:bCs/>
          <w:lang w:val="hy-AM"/>
        </w:rPr>
        <w:t> </w:t>
      </w:r>
      <w:r>
        <w:rPr>
          <w:rFonts w:ascii="GHEA Grapalat" w:hAnsi="GHEA Grapalat"/>
          <w:bCs/>
          <w:lang w:val="hy-AM"/>
        </w:rPr>
        <w:t>փետրվարի</w:t>
      </w:r>
      <w:r w:rsidRPr="00CA0104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22</w:t>
      </w:r>
      <w:r w:rsidRPr="00CA0104">
        <w:rPr>
          <w:rFonts w:ascii="GHEA Grapalat" w:hAnsi="GHEA Grapalat"/>
          <w:bCs/>
          <w:lang w:val="hy-AM"/>
        </w:rPr>
        <w:t>-ին</w:t>
      </w:r>
    </w:p>
    <w:p w14:paraId="3828E6EA" w14:textId="77777777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CA0104">
        <w:rPr>
          <w:rFonts w:ascii="Calibri" w:hAnsi="Calibri" w:cs="Calibri"/>
          <w:bCs/>
          <w:lang w:val="hy-AM"/>
        </w:rPr>
        <w:t> </w:t>
      </w:r>
    </w:p>
    <w:p w14:paraId="142F7BD9" w14:textId="26CB0F92" w:rsidR="001A5A55" w:rsidRPr="00CA0104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  <w:r w:rsidRPr="00BB6E4D">
        <w:rPr>
          <w:rFonts w:ascii="GHEA Grapalat" w:hAnsi="GHEA Grapalat"/>
          <w:b/>
          <w:bCs/>
          <w:sz w:val="24"/>
          <w:szCs w:val="24"/>
          <w:lang w:val="hy-AM"/>
        </w:rPr>
        <w:t>ԱՎԻԱՑԻԱՅԻ ՄԱՍԻՆ</w:t>
      </w:r>
    </w:p>
    <w:p w14:paraId="7CAEE954" w14:textId="77777777" w:rsidR="001A5A55" w:rsidRPr="00810C4C" w:rsidRDefault="001A5A55" w:rsidP="001A5A55">
      <w:pPr>
        <w:spacing w:after="0" w:line="360" w:lineRule="auto"/>
        <w:ind w:firstLine="426"/>
        <w:jc w:val="center"/>
        <w:rPr>
          <w:rFonts w:ascii="GHEA Grapalat" w:hAnsi="GHEA Grapalat"/>
          <w:bCs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54"/>
      </w:tblGrid>
      <w:tr w:rsidR="001A5A55" w:rsidRPr="00234B2F" w14:paraId="1D79CD7E" w14:textId="77777777" w:rsidTr="00B76D3E">
        <w:trPr>
          <w:tblCellSpacing w:w="7" w:type="dxa"/>
        </w:trPr>
        <w:tc>
          <w:tcPr>
            <w:tcW w:w="2025" w:type="dxa"/>
            <w:hideMark/>
          </w:tcPr>
          <w:p w14:paraId="5D3A2FE1" w14:textId="21635FF9" w:rsidR="001A5A55" w:rsidRPr="00234B2F" w:rsidRDefault="001A5A55" w:rsidP="00B76D3E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Հոդված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234B2F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4BA807" w14:textId="5AC4406C" w:rsidR="001A5A55" w:rsidRPr="00234B2F" w:rsidRDefault="001A5A55" w:rsidP="00B76D3E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A5A55">
              <w:rPr>
                <w:rFonts w:ascii="GHEA Grapalat" w:hAnsi="GHEA Grapalat"/>
                <w:b/>
                <w:bCs/>
                <w:sz w:val="24"/>
                <w:szCs w:val="24"/>
              </w:rPr>
              <w:t>Օդանավակայանները և աերոդրոմները</w:t>
            </w:r>
          </w:p>
        </w:tc>
      </w:tr>
    </w:tbl>
    <w:p w14:paraId="3F3905E5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1. Աերոդրոմ է համարվում հողային տարածքը կամ ջրային տարածքը (ներառյալ՝ շենքերը, շինություններն ու սարքավորումները), որն ամբողջովին կամ մասնակիորեն նախատեսված է այդ տարածքում օդանավերի ժամանման, մեկնման և երթևեկության նպատակներով:</w:t>
      </w:r>
    </w:p>
    <w:p w14:paraId="733F2E1E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Ուղղաթիռադաշտ (հրապարակ) է համարվում հողային (ջրային) տարածքը կամ հատուկ նախապատրաստված հրապարակը (ներառյալ՝ շենքերը, շինություններն ու սարքավորումները), որն ապահովում է ուղղաթիռների ինքնաթիռային կամ ուղղաթիռային թռիչք-վայրէջքը, գետնավարումը, պահպանումը և սպասարկումը:</w:t>
      </w:r>
    </w:p>
    <w:p w14:paraId="7C895B9B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Թռիչք-վայրէջքի հարթակ է համարվում հողային կամ ջրային հատվածը, որը նախատեսված է ընդհանուր նշանակության ավիացիայի կամ ներքին ոչ կանոնավոր առևտրային փոխադրումների օդանավերի (ինքնաթիռի, ուղղաթիռի) թռիչք-վայրէջքի, գետնավարման և կայանման համար:</w:t>
      </w:r>
    </w:p>
    <w:p w14:paraId="6C491FC8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2. Օդանավակայան է համարվում շինությունների համալիրը, որը ներառում է աերոդրոմը, ուղևորների, բեռների և փոստի սպասարկման համար նախատեսված համալիրը և այլ շինություններ, որոնք նախատեսված են օդանավերի ընդունման, ուղարկման, օդային փոխադրումների սպասարկման նպատակներով և համալրված են համապատասխան սարքավորումներով ու սպասարկող անձնակազմով:</w:t>
      </w:r>
    </w:p>
    <w:p w14:paraId="79E0FB87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 xml:space="preserve">3. Միջազգային օդանավակայան է համարվում Հայաստանի Հանրապետության տարածքում առանձնացված ցանկացած օդանավակայան` միջազգային օդային փոխադրումներ իրականացնող օդանավերի ընդունման և մեկնման համար, որտեղ </w:t>
      </w:r>
      <w:r w:rsidRPr="001A5A55">
        <w:rPr>
          <w:rFonts w:ascii="GHEA Grapalat" w:hAnsi="GHEA Grapalat"/>
          <w:sz w:val="24"/>
          <w:szCs w:val="24"/>
        </w:rPr>
        <w:lastRenderedPageBreak/>
        <w:t>իրականացվում են մաքսային, միգրացիոն, սանիտարական, կարանտինային և նմանատիպ ընթացակարգեր։</w:t>
      </w:r>
    </w:p>
    <w:p w14:paraId="764BD448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Ներքին օդանավակայան է համարվում միայն ներքին օդային փոխադրումների համար օգտագործվող օդանավակայանը: Միջազգային և ներքին օդանավակայանների աերոդրոմները (ուղղաթիռադաշտերը) պարտադիր ենթակա են սերտիֆիկացման:</w:t>
      </w:r>
    </w:p>
    <w:p w14:paraId="021C2484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Ընդհանուր նշանակության ավիացիայի կամ ներքին ոչ կանոնավոր առևտրային փոխադրումների համար նախատեսված թռիչք-վայրէջքի հարթակները կարող են շահագործվել միայն շահագործման թույլտվության հիման վրա:</w:t>
      </w:r>
    </w:p>
    <w:p w14:paraId="14E648F9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4. Սույն հոդվածի 3-րդ մասով սահմանված աերոդրոմի (ուղղաթիռադաշտի) սերտիֆիկատը և թռիչք-վայրէջքի հարթակների շահագործման թույլտվությունը տալիս է կոմիտեն։</w:t>
      </w:r>
    </w:p>
    <w:p w14:paraId="0C5C6A2E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Ուղղաթիռադաշտի շահագործման պայմանները և սահմանափակումները սահմանում է կոմիտեն:</w:t>
      </w:r>
    </w:p>
    <w:p w14:paraId="60D53B1D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5. Թռիչքային և ավիացիոն անվտանգության նպատակով կոմիտեն կարող է սահմանել աերոդրոմի օգտագործման որոշակի պայմաններ ու սահմանափակումներ: Օդանավակայաններում և այլ վերգետնյա միջոցներով ավիացիային ծառայություններ մատուցող և ավիացիոն գործունեություն իրականացնող անձանց նկատմամբ կիրառվում են սույն օրենքի 39-րդ հոդվածի 2-րդ և 3-րդ մասերով նախատեսված դրույթները: Կոմիտեն սահմանում է այդ անձանց որակավորմանը վերաբերող մանրամասն պահանջները:</w:t>
      </w:r>
    </w:p>
    <w:p w14:paraId="7908374A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 xml:space="preserve">6. Կոմիտեն իր սահմանած կարգով իրականացնում է շարունակական վերահսկողություն սերտիֆիկացված կամ շահագործման թույլտվություն ստացած աերոդրոմների (ուղղաթիռադաշտի) և թռիչք-վայրէջքի հարթակների, վերգետնյա միջոցների և ծառայությունների նկատմամբ` բացառապես Հայաստանի Հանրապետության միջազգային պայմանագրերի և Հայաստանի Հանրապետության օրենսդրության, ԻԿԱՕ-ի և Հայաստանի Հանրապետության անդամակցած միջազգային այլ կազմակերպությունների ապահովության և անվտանգության պահանջներին </w:t>
      </w:r>
      <w:r w:rsidRPr="001A5A55">
        <w:rPr>
          <w:rFonts w:ascii="GHEA Grapalat" w:hAnsi="GHEA Grapalat"/>
          <w:sz w:val="24"/>
          <w:szCs w:val="24"/>
        </w:rPr>
        <w:lastRenderedPageBreak/>
        <w:t>համապատասխանության նպատակով: Նման վերահսկողությունը չպետք է խոչընդոտի օդանավակայանների կառավարիչների բնականոն գործունեությունը:</w:t>
      </w:r>
    </w:p>
    <w:p w14:paraId="2856DB96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Օդանավակայանների կողմից թռիչք-վայրէջքների համար ժամանակահատված (ՍԼՕՏ) տրամադրելու կարգը սահմանում է կոմիտեն:</w:t>
      </w:r>
    </w:p>
    <w:p w14:paraId="60F2A2FB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7. Աերոդրոմի (ուղղաթիռադաշտի) սերտիֆիկատի կամ հարթակի շահագործման թույլտվության գործողությունը կարող է դադարեցնել կամ կասեցնել կոմիտեն, եթե աերոդրոմը (ուղղաթիռադաշտը) կամ թռիչք-վայրէջքի հարթակը, դրանց շահագործման կազմակերպումը, սարքավորումները, միջոցները կամ ծառայությունները չեն համապատասխանում սահմանված պայմաններին կամ սահմանափակումներին: Եթե ի հայտ եկած թերությունները չեն ազդում թռիչքների և ավիացիոն անվտանգության վրա, ապա կոմիտեն իրավասու է շահագործողից պահանջելու վերացնել նշված թերությունները սահմանված ժամկետում, որի ընթացքում կարող են կիրառվել շահագործման սահմանափակումներ:</w:t>
      </w:r>
    </w:p>
    <w:p w14:paraId="183C43F3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8. Աերոդրոմի տարածքում գործում են համապատասխան հրշեջ և փրկարարական ծառայություններ, որոնց գործունեության կարգը սահմանում է Կառավարությունը:</w:t>
      </w:r>
    </w:p>
    <w:p w14:paraId="4972B223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Աերոդրոմների շրջակայքում շենքերի, շինությունների, հաղորդակցության, բարձր լարման գծերի, ռադիոտեխնիկական միջոցների և այլ օբյեկտների տեղադրումը կամ գործունեության իրականացումը, որը կարող է վտանգ սպառնալ օդանավերի թռիչքների անվտանգությանը, ենթակա է համաձայնեցման կոմիտեի հետ՝ Կառավարության սահմանած կարգով: Սահմանված պահանջների խախտում թույլ տված անձինք պարտավոր են սեփական միջոցների հաշվին իրականացնել օբյեկտների վերացումը, տեղափոխումը կամ անհրաժեշտ ձևափոխումները՝ համաձայն կոմիտեի պահանջների:</w:t>
      </w:r>
    </w:p>
    <w:p w14:paraId="46AE33E8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9. Քաղաքացիական և ռազմական ավիացիայի օդանավերի համատեղ բազավորման և համատեղ օգտագործման աերոդրոմների ցանկը և դրանց օգտագործման կարգը հաստատում է Կառավարությունը: Համատեղ բազավորման և օգտագործման աերոդրոմները պետք է համապատասխանեն քաղաքացիական աերոդրոմներին ներկայացվող պահանջներին և այդ նպատակով ենթակա են վերահսկման կոմիտեի կողմից:</w:t>
      </w:r>
    </w:p>
    <w:p w14:paraId="3184675C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lastRenderedPageBreak/>
        <w:t>10. Կոմիտեն ապահովության, անվտանգության և շրջակա միջավայրի պահպանության նպատակներով կարող է սահմանել օդանավակայանի օգտագործման որոշակի պայմաններ ու սահմանափակումներ` բացառապես հիմնվելով ապահովության և անվտանգության վերաբերյալ ԻԿԱՕ-ի և Հայաստանի Հանրապետության անդամակցած միջազգային այլ կազմակերպությունների պահանջների վրա, առանց խախտելու համապատասխան օդանավակայանի կոնցեսիոներների իրավունքները՝ կոնցեսիոն պայմանագրին համապատասխան: Օդանավակայաններում և այլ վերգետնյա միջոցներով ավիացիոն ծառայություններ մատուցող անձանց նկատմամբ կիրառվում են սույն օրենքի 39-րդ հոդվածի 2-րդ և 3-րդ մասերով նախատեսված դրույթները: Կոմիտեն, ըստ անհրաժեշտության, սահմանում է այդ անձանց որակավորմանը վերաբերող մանրամասն պահանջներ՝ բացառապես հիմնվելով ԻԿԱՕ-ի և Հայաստանի Հանրապետության անդամակցած միջազգային այլ կազմակերպությունների պահանջների վրա, ապահովության և անվտանգության նպատակներով՝ առանց խախտելու օդանավակայանի կոնցեսիոների կոնցեսիոն պայմանագրով սահմանված իրավունքները:</w:t>
      </w:r>
    </w:p>
    <w:p w14:paraId="627D0BEE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11. Կոմիտեն անցկացնում է քաղաքացիական ավիացիայի օդանավակայանների, սերտիֆիկացված աերոդրոմների, վերգետնյա միջոցների և ծառայությունների ուսումնասիրություն և ստուգումներ՝ բացառապես ԻԿԱՕ-ի և Հայաստանի Հանրապետության անդամակցած միջազգային այլ կազմակերպությունների ապահովության և անվտանգության պահանջներին համապատասխանության նպատակով: Նման ուսումնասիրությունները և ստուգումները պետք է հիմնավորված լինեն և չխոչընդոտեն օդանավակայանի կոնցեսիոներների բնականոն գործունեությանը: Կոնցեսիոներների կատարած օդանավակայանի բարեփոխումները պետք է համապատասխանեն ԻԿԱՕ-ի և Հայաստանի Հանրապետության անդամակցած միջազգային այլ կազմակերպությունների ապահովության և անվտանգության բոլոր պահանջներին:</w:t>
      </w:r>
    </w:p>
    <w:p w14:paraId="0F039471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 xml:space="preserve">12. Օդանավակայանի կոնցեսիոները մասնավոր անձ է, որը լիազորված է Հայաստանի Հանրապետության օդանավակայաններից որևէ մեկը կամ մի քանիսը շահագործելու, </w:t>
      </w:r>
      <w:r w:rsidRPr="001A5A55">
        <w:rPr>
          <w:rFonts w:ascii="GHEA Grapalat" w:hAnsi="GHEA Grapalat"/>
          <w:sz w:val="24"/>
          <w:szCs w:val="24"/>
        </w:rPr>
        <w:lastRenderedPageBreak/>
        <w:t>տնօրինելու, ղեկավարելու և կառավարելու՝ Կառավարության տրամադրած լիազորությունների շրջանակում:</w:t>
      </w:r>
    </w:p>
    <w:p w14:paraId="36DB8582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13. Կոնցեսիոն պայմանագիրը ենթադրում է Հայաստանի Հանրապետության օդանավակայաններից որևէ մեկի օդանավակայանի կոնցեսիոների իրավունքը՝</w:t>
      </w:r>
    </w:p>
    <w:p w14:paraId="1D5B157E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1) օգտագործելու օդանավակայանի տարածքը և գույքը.</w:t>
      </w:r>
    </w:p>
    <w:p w14:paraId="1F04E0A5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2) գործելու որպես օդանավակայանի կառավարիչ՝ սահմանելով և կիրառելով օդանավակայանի շահագործման հետ կապված կանոնակարգերը.</w:t>
      </w:r>
    </w:p>
    <w:p w14:paraId="1B3106DF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3) շահագործելու օդանավակայանը և ստանալու շահույթ դրա շահագործումից.</w:t>
      </w:r>
    </w:p>
    <w:p w14:paraId="5AE68A8F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4) Հայաստանի Հանրապետության օրենսդրությամբ սահմանված կարգով Կառավարության կողմից տրված լիազորությունների շրջանակում տրամադրելու թույլտվություններ օդանավակայանի տարածքում գործունեություն իրականացնելու համար կամ իրականացնելու այդ գործունեությունն ուղղակիորեն՝ կոնցեսիոն պայմանագրին համապատասխան:</w:t>
      </w:r>
    </w:p>
    <w:p w14:paraId="19B651E6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14. Օդանավակայանները սեփականության իրավունքով կարող են պատկանել Հայաստանի Հանրապետությանը, համայնքներին և իրավաբանական անձանց: Օդանավակայանների անշարժ գույքի միավորների նկատմամբ սեփականության և այլ գույքային իրավունքները ենթակա են պետական գրանցման՝ Հայաստանի Հանրապետության օրենսդրությամբ սահմանված կարգով:</w:t>
      </w:r>
    </w:p>
    <w:p w14:paraId="34573EA6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Հայաստանի Հանրապետությանը և համայնքներին սեփականության իրավունքով պատկանող օդանավակայանները շահագործվում են մասնագիտացված կազմակերպությունների կողմից նաև կոնցեսիայի միջոցով:</w:t>
      </w:r>
    </w:p>
    <w:p w14:paraId="52F98784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Կոնցեսիայի միջոցով օդանավակայանի շահագործման նպատակով օդանավակայանի սեփականատիրոջ և շահագործողի միջև կնքվում է օդանավակայանի կոնցեսիայի պայմանագիր, որով շահագործողին են փոխանցվում օդանավակայանի շահագործման իրավունքները և գույքի միավորների օգտագործման իրավունքը: Կոնցեսիայով շահագործողին կարող է հանձնվել օդանավակայանի շահագործումը կամ օդանավակայանային առանձին ծառայությունների մատուցումը:</w:t>
      </w:r>
    </w:p>
    <w:p w14:paraId="64BB6257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lastRenderedPageBreak/>
        <w:t>Կոնցեսիայի պայմանագրի պայմանները որոշվում են կողմերի համաձայնությամբ, եթե օրենքով այլ բան սահմանված չէ:</w:t>
      </w:r>
    </w:p>
    <w:p w14:paraId="59FE9593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Օդանավակայանների կոնցեսիոն պայմանագրերի հիման վրա շահագործողներն օդանավակայանային առանձին ծառայություններ կարող են հանձնել ենթակոնցեսիայի:</w:t>
      </w:r>
    </w:p>
    <w:p w14:paraId="6BDAF864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Ենթակոնցեսիայի պայմանները սահմանվում են օդանավակայանների սեփականատերերի կամ շահագործողների կողմից, եթե օրենքով այլ բան սահմանված չէ:</w:t>
      </w:r>
    </w:p>
    <w:p w14:paraId="7AA7635C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Կառավարությունն իրականացնում է համապատասխան վերահսկողություն օդանավակայանի կոնցեսիոների գործունեության նկատմամբ՝ կոնցեսիոն պայմանագրի և Հայաստանի Հանրապետության օրենսդրության պահանջների խախտումները կանխելու նպատակով:</w:t>
      </w:r>
    </w:p>
    <w:p w14:paraId="2D561F25" w14:textId="77777777" w:rsidR="001A5A55" w:rsidRP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15. Սույն օրենքի իմաստով օդանավակայանների վերգետնյա սպասարկման ծառայություններ են հանդիսանում օդանավի կայանման գործընթացից սկսած մինչև թռիչքի իրականացման նպատակով շարժիչների գործարկման թույլտվություն ստանալու պահը, ուղևորների, ուղեբեռների գրանցման, օդանավի բեռնման, բեռնաթափման և չվերթի սպասարկման հետ կապված բոլոր աշխատանքները:</w:t>
      </w:r>
    </w:p>
    <w:p w14:paraId="1A0451CD" w14:textId="7E60C46F" w:rsid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A5A55">
        <w:rPr>
          <w:rFonts w:ascii="GHEA Grapalat" w:hAnsi="GHEA Grapalat"/>
          <w:sz w:val="24"/>
          <w:szCs w:val="24"/>
        </w:rPr>
        <w:t>(12-րդ հոդվածը փոփ. 23.03.18 ՀՕ-294-Ն, լրաց., խմբ., փոփ. 09.06.22 ՀՕ-272-Ն)</w:t>
      </w:r>
    </w:p>
    <w:p w14:paraId="615CC178" w14:textId="07F6307A" w:rsidR="001A5A55" w:rsidRDefault="001A5A55" w:rsidP="001A5A55">
      <w:pPr>
        <w:spacing w:after="0" w:line="360" w:lineRule="auto"/>
        <w:ind w:firstLine="426"/>
        <w:jc w:val="both"/>
        <w:rPr>
          <w:rFonts w:ascii="GHEA Grapalat" w:hAnsi="GHEA Grapalat"/>
          <w:bCs/>
          <w:color w:val="2E74B5" w:themeColor="accent1" w:themeShade="BF"/>
          <w:sz w:val="24"/>
          <w:szCs w:val="24"/>
          <w:u w:val="single"/>
          <w:lang w:val="hy-AM"/>
        </w:rPr>
      </w:pPr>
      <w:r w:rsidRPr="00E32E2D">
        <w:rPr>
          <w:rFonts w:ascii="GHEA Grapalat" w:hAnsi="GHEA Grapalat"/>
          <w:color w:val="2E74B5" w:themeColor="accent1" w:themeShade="BF"/>
          <w:sz w:val="24"/>
          <w:szCs w:val="24"/>
          <w:u w:val="single"/>
        </w:rPr>
        <w:t>1</w:t>
      </w:r>
      <w:r w:rsidRPr="00E32E2D">
        <w:rPr>
          <w:rFonts w:ascii="GHEA Grapalat" w:hAnsi="GHEA Grapalat"/>
          <w:color w:val="2E74B5" w:themeColor="accent1" w:themeShade="BF"/>
          <w:sz w:val="24"/>
          <w:szCs w:val="24"/>
          <w:u w:val="single"/>
          <w:lang w:val="hy-AM"/>
        </w:rPr>
        <w:t>6</w:t>
      </w:r>
      <w:r w:rsidRPr="00E32E2D">
        <w:rPr>
          <w:rFonts w:ascii="GHEA Grapalat" w:hAnsi="GHEA Grapalat"/>
          <w:color w:val="2E74B5" w:themeColor="accent1" w:themeShade="BF"/>
          <w:sz w:val="24"/>
          <w:szCs w:val="24"/>
          <w:u w:val="single"/>
        </w:rPr>
        <w:t>.</w:t>
      </w:r>
      <w:r w:rsidRPr="00E32E2D">
        <w:rPr>
          <w:rFonts w:ascii="GHEA Grapalat" w:hAnsi="GHEA Grapalat"/>
          <w:color w:val="2E74B5" w:themeColor="accent1" w:themeShade="BF"/>
          <w:sz w:val="24"/>
          <w:szCs w:val="24"/>
          <w:u w:val="single"/>
          <w:lang w:val="hy-AM"/>
        </w:rPr>
        <w:t xml:space="preserve"> </w:t>
      </w:r>
      <w:r w:rsidRPr="00E32E2D">
        <w:rPr>
          <w:rFonts w:ascii="GHEA Grapalat" w:hAnsi="GHEA Grapalat"/>
          <w:bCs/>
          <w:color w:val="2E74B5" w:themeColor="accent1" w:themeShade="BF"/>
          <w:sz w:val="24"/>
          <w:szCs w:val="24"/>
          <w:u w:val="single"/>
          <w:lang w:val="hy-AM"/>
        </w:rPr>
        <w:t>Արտակարգ իրավիճակներում քաղաքացիական ավիացիայի օդանավակայանների գործելու և Հայաստանի Հանրապետության պետական մարմինների հետ փոխհամագործակցության կարգը սահմանում է Կառավարությունը։</w:t>
      </w:r>
    </w:p>
    <w:p w14:paraId="2E6B2F8A" w14:textId="77777777" w:rsidR="000224BC" w:rsidRDefault="000224BC" w:rsidP="001A5A55">
      <w:pPr>
        <w:spacing w:after="0" w:line="360" w:lineRule="auto"/>
        <w:ind w:firstLine="426"/>
        <w:jc w:val="both"/>
        <w:rPr>
          <w:rFonts w:ascii="GHEA Grapalat" w:hAnsi="GHEA Grapalat"/>
          <w:bCs/>
          <w:color w:val="2E74B5" w:themeColor="accent1" w:themeShade="BF"/>
          <w:sz w:val="24"/>
          <w:szCs w:val="24"/>
          <w:u w:val="single"/>
          <w:lang w:val="hy-AM"/>
        </w:rPr>
      </w:pPr>
    </w:p>
    <w:p w14:paraId="610B8F22" w14:textId="77777777" w:rsidR="000224BC" w:rsidRPr="00E32E2D" w:rsidRDefault="000224BC" w:rsidP="001A5A55">
      <w:pPr>
        <w:spacing w:after="0" w:line="360" w:lineRule="auto"/>
        <w:ind w:firstLine="426"/>
        <w:jc w:val="both"/>
        <w:rPr>
          <w:rFonts w:ascii="GHEA Grapalat" w:hAnsi="GHEA Grapalat"/>
          <w:color w:val="4472C4" w:themeColor="accent5"/>
          <w:sz w:val="24"/>
          <w:szCs w:val="24"/>
          <w:u w:val="single"/>
          <w:lang w:val="hy-AM"/>
        </w:rPr>
      </w:pPr>
    </w:p>
    <w:sectPr w:rsidR="000224BC" w:rsidRPr="00E32E2D" w:rsidSect="007216BE">
      <w:footerReference w:type="default" r:id="rId6"/>
      <w:pgSz w:w="12240" w:h="15840"/>
      <w:pgMar w:top="709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285C8" w14:textId="77777777" w:rsidR="00D27305" w:rsidRDefault="00D27305" w:rsidP="00862496">
      <w:pPr>
        <w:spacing w:after="0" w:line="240" w:lineRule="auto"/>
      </w:pPr>
      <w:r>
        <w:separator/>
      </w:r>
    </w:p>
  </w:endnote>
  <w:endnote w:type="continuationSeparator" w:id="0">
    <w:p w14:paraId="42A1D323" w14:textId="77777777" w:rsidR="00D27305" w:rsidRDefault="00D27305" w:rsidP="00862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17281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29379F" w14:textId="77777777" w:rsidR="00862496" w:rsidRDefault="008624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21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4789F4" w14:textId="77777777" w:rsidR="00862496" w:rsidRDefault="008624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9C500" w14:textId="77777777" w:rsidR="00D27305" w:rsidRDefault="00D27305" w:rsidP="00862496">
      <w:pPr>
        <w:spacing w:after="0" w:line="240" w:lineRule="auto"/>
      </w:pPr>
      <w:r>
        <w:separator/>
      </w:r>
    </w:p>
  </w:footnote>
  <w:footnote w:type="continuationSeparator" w:id="0">
    <w:p w14:paraId="09D739EF" w14:textId="77777777" w:rsidR="00D27305" w:rsidRDefault="00D27305" w:rsidP="008624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84A"/>
    <w:rsid w:val="000224BC"/>
    <w:rsid w:val="00052902"/>
    <w:rsid w:val="000814C0"/>
    <w:rsid w:val="000B163D"/>
    <w:rsid w:val="000C44DA"/>
    <w:rsid w:val="00114DAF"/>
    <w:rsid w:val="00143263"/>
    <w:rsid w:val="00166B82"/>
    <w:rsid w:val="001A5A55"/>
    <w:rsid w:val="001D2FAE"/>
    <w:rsid w:val="0021212F"/>
    <w:rsid w:val="00234B2F"/>
    <w:rsid w:val="002A1E13"/>
    <w:rsid w:val="00390452"/>
    <w:rsid w:val="003B685F"/>
    <w:rsid w:val="003C5728"/>
    <w:rsid w:val="004B5B25"/>
    <w:rsid w:val="0053427A"/>
    <w:rsid w:val="0065784A"/>
    <w:rsid w:val="00687B1B"/>
    <w:rsid w:val="007216BE"/>
    <w:rsid w:val="007D733A"/>
    <w:rsid w:val="00810C4C"/>
    <w:rsid w:val="0081572C"/>
    <w:rsid w:val="00862496"/>
    <w:rsid w:val="008C2EEE"/>
    <w:rsid w:val="00946955"/>
    <w:rsid w:val="009E14D5"/>
    <w:rsid w:val="00A26140"/>
    <w:rsid w:val="00A420E6"/>
    <w:rsid w:val="00AF1F2F"/>
    <w:rsid w:val="00B35BC6"/>
    <w:rsid w:val="00B40BFC"/>
    <w:rsid w:val="00B63F16"/>
    <w:rsid w:val="00C5655B"/>
    <w:rsid w:val="00CA0104"/>
    <w:rsid w:val="00D27305"/>
    <w:rsid w:val="00D6054E"/>
    <w:rsid w:val="00E15B11"/>
    <w:rsid w:val="00E32E2D"/>
    <w:rsid w:val="00E47C97"/>
    <w:rsid w:val="00E60BA0"/>
    <w:rsid w:val="00E664F1"/>
    <w:rsid w:val="00E706F5"/>
    <w:rsid w:val="00E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2D482"/>
  <w15:docId w15:val="{37672518-8DB2-4016-B273-9FB7D829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49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62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62496"/>
  </w:style>
  <w:style w:type="paragraph" w:styleId="a6">
    <w:name w:val="footer"/>
    <w:basedOn w:val="a"/>
    <w:link w:val="a7"/>
    <w:uiPriority w:val="99"/>
    <w:unhideWhenUsed/>
    <w:rsid w:val="00862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62496"/>
  </w:style>
  <w:style w:type="character" w:styleId="a8">
    <w:name w:val="FollowedHyperlink"/>
    <w:basedOn w:val="a0"/>
    <w:uiPriority w:val="99"/>
    <w:semiHidden/>
    <w:unhideWhenUsed/>
    <w:rsid w:val="00E15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1437</Words>
  <Characters>11772</Characters>
  <Application>Microsoft Office Word</Application>
  <DocSecurity>0</DocSecurity>
  <Lines>245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>https://mul2-mia.gov.am/tasks/2693997/oneclick/Texekanq lracvox hodvaci masin(6).docx?token=f6ee6dcfd69eb9e868f631ddc28a5481</cp:keywords>
  <dc:description/>
  <cp:lastModifiedBy>M.Muradyan</cp:lastModifiedBy>
  <cp:revision>29</cp:revision>
  <dcterms:created xsi:type="dcterms:W3CDTF">2023-09-27T11:49:00Z</dcterms:created>
  <dcterms:modified xsi:type="dcterms:W3CDTF">2024-04-15T11:39:00Z</dcterms:modified>
</cp:coreProperties>
</file>