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7FB26" w14:textId="77777777" w:rsidR="00892ECB" w:rsidRPr="00892ECB" w:rsidRDefault="00892ECB" w:rsidP="00892ECB">
      <w:pPr>
        <w:pStyle w:val="Normal2"/>
        <w:pBdr>
          <w:top w:val="nil"/>
          <w:left w:val="nil"/>
          <w:bottom w:val="nil"/>
          <w:right w:val="nil"/>
          <w:between w:val="nil"/>
        </w:pBdr>
        <w:spacing w:after="0" w:line="360" w:lineRule="auto"/>
        <w:jc w:val="center"/>
        <w:rPr>
          <w:rFonts w:ascii="GHEA Grapalat" w:eastAsia="GHEA Grapalat" w:hAnsi="GHEA Grapalat" w:cs="GHEA Grapalat"/>
          <w:b/>
          <w:sz w:val="24"/>
          <w:szCs w:val="24"/>
          <w:lang w:val="hy-AM"/>
        </w:rPr>
      </w:pPr>
      <w:r w:rsidRPr="00892ECB">
        <w:rPr>
          <w:rFonts w:ascii="GHEA Grapalat" w:eastAsia="GHEA Grapalat" w:hAnsi="GHEA Grapalat" w:cs="GHEA Grapalat"/>
          <w:b/>
          <w:sz w:val="24"/>
          <w:szCs w:val="24"/>
          <w:lang w:val="hy-AM"/>
        </w:rPr>
        <w:t>ՀԻՄՆԱՎՈՐՈՒՄ</w:t>
      </w:r>
    </w:p>
    <w:p w14:paraId="490A8D89" w14:textId="49B53974" w:rsidR="00892ECB" w:rsidRPr="00892ECB" w:rsidRDefault="00892ECB" w:rsidP="00892ECB">
      <w:pPr>
        <w:pStyle w:val="Normal2"/>
        <w:spacing w:after="0"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w:t>
      </w:r>
      <w:r w:rsidRPr="00892ECB">
        <w:rPr>
          <w:rFonts w:ascii="GHEA Grapalat" w:eastAsia="GHEA Grapalat" w:hAnsi="GHEA Grapalat" w:cs="GHEA Grapalat"/>
          <w:b/>
          <w:sz w:val="24"/>
          <w:szCs w:val="24"/>
          <w:lang w:val="hy-AM"/>
        </w:rPr>
        <w:t>«</w:t>
      </w:r>
      <w:r>
        <w:rPr>
          <w:rFonts w:ascii="GHEA Grapalat" w:eastAsia="GHEA Grapalat" w:hAnsi="GHEA Grapalat" w:cs="GHEA Grapalat"/>
          <w:b/>
          <w:sz w:val="24"/>
          <w:szCs w:val="24"/>
          <w:lang w:val="hy-AM"/>
        </w:rPr>
        <w:t xml:space="preserve">ՊԵՏԱԿԱՆ ՏՈՒՐՔԻ </w:t>
      </w:r>
      <w:r w:rsidRPr="00892ECB">
        <w:rPr>
          <w:rFonts w:ascii="GHEA Grapalat" w:eastAsia="GHEA Grapalat" w:hAnsi="GHEA Grapalat" w:cs="GHEA Grapalat"/>
          <w:b/>
          <w:sz w:val="24"/>
          <w:szCs w:val="24"/>
          <w:lang w:val="hy-AM"/>
        </w:rPr>
        <w:t>ՄԱՍԻՆ»</w:t>
      </w:r>
      <w:r>
        <w:rPr>
          <w:rFonts w:ascii="GHEA Grapalat" w:eastAsia="GHEA Grapalat" w:hAnsi="GHEA Grapalat" w:cs="GHEA Grapalat"/>
          <w:b/>
          <w:sz w:val="24"/>
          <w:szCs w:val="24"/>
          <w:lang w:val="hy-AM"/>
        </w:rPr>
        <w:t xml:space="preserve"> ՕՐԵՆՔՈՒՄ ԼՐԱՑՈՒՄՆԵՐ ԵՎ ՓՈՓՈԽՈՒԹՅՈՒՆՆԵՐ ԿԱՏԱՐԵԼՈՒ ՄԱՍԻՆ» ԵՎ «ՔԱՂԱՔԱՑԻԱԿԱՆ ԴԱՏԱՎԱՐՈՒԹՅԱՆ» ՕՐԵՆՍԳՐՔՈՒՄ</w:t>
      </w:r>
      <w:r w:rsidRPr="00892ECB">
        <w:rPr>
          <w:rFonts w:ascii="GHEA Grapalat" w:eastAsia="GHEA Grapalat" w:hAnsi="GHEA Grapalat" w:cs="GHEA Grapalat"/>
          <w:b/>
          <w:sz w:val="24"/>
          <w:szCs w:val="24"/>
          <w:lang w:val="hy-AM"/>
        </w:rPr>
        <w:t xml:space="preserve"> ԼՐԱՑՈՒՄՆԵՐ </w:t>
      </w:r>
      <w:r w:rsidR="007F7773">
        <w:rPr>
          <w:rFonts w:ascii="GHEA Grapalat" w:eastAsia="GHEA Grapalat" w:hAnsi="GHEA Grapalat" w:cs="GHEA Grapalat"/>
          <w:b/>
          <w:sz w:val="24"/>
          <w:szCs w:val="24"/>
          <w:lang w:val="hy-AM"/>
        </w:rPr>
        <w:t xml:space="preserve">ԵՎ ՓՈՓՈԽՈՒԹՅՈՒՆՆԵՐ </w:t>
      </w:r>
      <w:r w:rsidRPr="00892ECB">
        <w:rPr>
          <w:rFonts w:ascii="GHEA Grapalat" w:eastAsia="GHEA Grapalat" w:hAnsi="GHEA Grapalat" w:cs="GHEA Grapalat"/>
          <w:b/>
          <w:sz w:val="24"/>
          <w:szCs w:val="24"/>
          <w:lang w:val="hy-AM"/>
        </w:rPr>
        <w:t>ԿԱՏԱՐԵԼՈՒ ՄԱՍԻՆ»</w:t>
      </w:r>
      <w:r w:rsidRPr="00E23436">
        <w:rPr>
          <w:rFonts w:ascii="GHEA Grapalat" w:eastAsia="GHEA Grapalat" w:hAnsi="GHEA Grapalat" w:cs="GHEA Grapalat"/>
          <w:b/>
          <w:sz w:val="24"/>
          <w:szCs w:val="24"/>
          <w:lang w:val="hy-AM"/>
        </w:rPr>
        <w:t xml:space="preserve"> </w:t>
      </w:r>
      <w:r w:rsidRPr="00892ECB">
        <w:rPr>
          <w:rFonts w:ascii="GHEA Grapalat" w:eastAsia="GHEA Grapalat" w:hAnsi="GHEA Grapalat" w:cs="GHEA Grapalat"/>
          <w:b/>
          <w:sz w:val="24"/>
          <w:szCs w:val="24"/>
          <w:lang w:val="hy-AM"/>
        </w:rPr>
        <w:t>ՕՐԵՆՔ</w:t>
      </w:r>
      <w:r>
        <w:rPr>
          <w:rFonts w:ascii="GHEA Grapalat" w:eastAsia="GHEA Grapalat" w:hAnsi="GHEA Grapalat" w:cs="GHEA Grapalat"/>
          <w:b/>
          <w:sz w:val="24"/>
          <w:szCs w:val="24"/>
          <w:lang w:val="hy-AM"/>
        </w:rPr>
        <w:t>ՆԵՐ</w:t>
      </w:r>
      <w:r w:rsidRPr="00892ECB">
        <w:rPr>
          <w:rFonts w:ascii="GHEA Grapalat" w:eastAsia="GHEA Grapalat" w:hAnsi="GHEA Grapalat" w:cs="GHEA Grapalat"/>
          <w:b/>
          <w:sz w:val="24"/>
          <w:szCs w:val="24"/>
          <w:lang w:val="hy-AM"/>
        </w:rPr>
        <w:t>Ի</w:t>
      </w:r>
      <w:r w:rsidRPr="00E23436">
        <w:rPr>
          <w:rFonts w:ascii="GHEA Grapalat" w:eastAsia="GHEA Grapalat" w:hAnsi="GHEA Grapalat" w:cs="GHEA Grapalat"/>
          <w:b/>
          <w:sz w:val="24"/>
          <w:szCs w:val="24"/>
          <w:lang w:val="hy-AM"/>
        </w:rPr>
        <w:t xml:space="preserve"> </w:t>
      </w:r>
      <w:r w:rsidRPr="00892ECB">
        <w:rPr>
          <w:rFonts w:ascii="GHEA Grapalat" w:eastAsia="GHEA Grapalat" w:hAnsi="GHEA Grapalat" w:cs="GHEA Grapalat"/>
          <w:b/>
          <w:sz w:val="24"/>
          <w:szCs w:val="24"/>
          <w:lang w:val="hy-AM"/>
        </w:rPr>
        <w:t>ՆԱԽԱԳԾ</w:t>
      </w:r>
      <w:r>
        <w:rPr>
          <w:rFonts w:ascii="GHEA Grapalat" w:eastAsia="GHEA Grapalat" w:hAnsi="GHEA Grapalat" w:cs="GHEA Grapalat"/>
          <w:b/>
          <w:sz w:val="24"/>
          <w:szCs w:val="24"/>
          <w:lang w:val="hy-AM"/>
        </w:rPr>
        <w:t>ԵՐ</w:t>
      </w:r>
      <w:r w:rsidRPr="00892ECB">
        <w:rPr>
          <w:rFonts w:ascii="GHEA Grapalat" w:eastAsia="GHEA Grapalat" w:hAnsi="GHEA Grapalat" w:cs="GHEA Grapalat"/>
          <w:b/>
          <w:sz w:val="24"/>
          <w:szCs w:val="24"/>
          <w:lang w:val="hy-AM"/>
        </w:rPr>
        <w:t>Ի</w:t>
      </w:r>
      <w:r w:rsidRPr="00E23436">
        <w:rPr>
          <w:rFonts w:ascii="GHEA Grapalat" w:eastAsia="GHEA Grapalat" w:hAnsi="GHEA Grapalat" w:cs="GHEA Grapalat"/>
          <w:b/>
          <w:sz w:val="24"/>
          <w:szCs w:val="24"/>
          <w:lang w:val="hy-AM"/>
        </w:rPr>
        <w:t xml:space="preserve"> </w:t>
      </w:r>
      <w:r w:rsidRPr="00892ECB">
        <w:rPr>
          <w:rFonts w:ascii="GHEA Grapalat" w:eastAsia="GHEA Grapalat" w:hAnsi="GHEA Grapalat" w:cs="GHEA Grapalat"/>
          <w:b/>
          <w:sz w:val="24"/>
          <w:szCs w:val="24"/>
          <w:lang w:val="hy-AM"/>
        </w:rPr>
        <w:t>ԸՆԴՈՒՆՄԱՆ</w:t>
      </w:r>
    </w:p>
    <w:p w14:paraId="34E4AB78" w14:textId="77777777" w:rsidR="00892ECB" w:rsidRPr="00892ECB" w:rsidRDefault="00892ECB" w:rsidP="00892ECB">
      <w:pPr>
        <w:pStyle w:val="Normal2"/>
        <w:spacing w:after="0" w:line="360" w:lineRule="auto"/>
        <w:jc w:val="center"/>
        <w:rPr>
          <w:rFonts w:ascii="GHEA Grapalat" w:eastAsia="GHEA Grapalat" w:hAnsi="GHEA Grapalat" w:cs="GHEA Grapalat"/>
          <w:b/>
          <w:sz w:val="24"/>
          <w:szCs w:val="24"/>
          <w:lang w:val="hy-AM"/>
        </w:rPr>
      </w:pPr>
    </w:p>
    <w:p w14:paraId="4392E73F" w14:textId="77777777" w:rsidR="00892ECB" w:rsidRPr="00892ECB" w:rsidRDefault="00892ECB" w:rsidP="00892ECB">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lang w:val="hy-AM"/>
        </w:rPr>
      </w:pPr>
      <w:r w:rsidRPr="00892ECB">
        <w:rPr>
          <w:rFonts w:ascii="GHEA Grapalat" w:eastAsia="GHEA Grapalat" w:hAnsi="GHEA Grapalat" w:cs="GHEA Grapalat"/>
          <w:b/>
          <w:sz w:val="24"/>
          <w:szCs w:val="24"/>
          <w:lang w:val="hy-AM"/>
        </w:rPr>
        <w:t>1. Ընթացիկ իրավիճակը և նախագծի ընդունման անհրաժեշտությունը.</w:t>
      </w:r>
    </w:p>
    <w:p w14:paraId="75BE2EC1" w14:textId="77777777" w:rsidR="00892ECB" w:rsidRPr="00892ECB" w:rsidRDefault="00892ECB" w:rsidP="00892ECB">
      <w:pPr>
        <w:pStyle w:val="Normal1"/>
        <w:pBdr>
          <w:top w:val="nil"/>
          <w:left w:val="nil"/>
          <w:bottom w:val="nil"/>
          <w:right w:val="nil"/>
          <w:between w:val="nil"/>
        </w:pBdr>
        <w:spacing w:line="360" w:lineRule="auto"/>
        <w:ind w:firstLine="720"/>
        <w:jc w:val="both"/>
        <w:rPr>
          <w:rFonts w:ascii="GHEA Grapalat" w:hAnsi="GHEA Grapalat"/>
          <w:lang w:val="hy-AM"/>
        </w:rPr>
      </w:pPr>
      <w:r w:rsidRPr="00892ECB">
        <w:rPr>
          <w:rFonts w:ascii="GHEA Grapalat" w:eastAsia="GHEA Grapalat" w:hAnsi="GHEA Grapalat" w:cs="GHEA Grapalat"/>
          <w:lang w:val="hy-AM"/>
        </w:rPr>
        <w:t>«</w:t>
      </w:r>
      <w:r>
        <w:rPr>
          <w:rFonts w:ascii="GHEA Grapalat" w:eastAsia="GHEA Grapalat" w:hAnsi="GHEA Grapalat" w:cs="GHEA Grapalat"/>
          <w:lang w:val="hy-AM"/>
        </w:rPr>
        <w:t>Պետական տուրքի մասին</w:t>
      </w:r>
      <w:r w:rsidRPr="00892ECB">
        <w:rPr>
          <w:rFonts w:ascii="GHEA Grapalat" w:eastAsia="GHEA Grapalat" w:hAnsi="GHEA Grapalat" w:cs="GHEA Grapalat"/>
          <w:lang w:val="hy-AM"/>
        </w:rPr>
        <w:t xml:space="preserve">» </w:t>
      </w:r>
      <w:r>
        <w:rPr>
          <w:rFonts w:ascii="GHEA Grapalat" w:eastAsia="GHEA Grapalat" w:hAnsi="GHEA Grapalat" w:cs="GHEA Grapalat"/>
          <w:lang w:val="hy-AM"/>
        </w:rPr>
        <w:t>օ</w:t>
      </w:r>
      <w:r w:rsidRPr="00892ECB">
        <w:rPr>
          <w:rFonts w:ascii="GHEA Grapalat" w:eastAsia="GHEA Grapalat" w:hAnsi="GHEA Grapalat" w:cs="GHEA Grapalat"/>
          <w:lang w:val="hy-AM"/>
        </w:rPr>
        <w:t>րենքում</w:t>
      </w:r>
      <w:r>
        <w:rPr>
          <w:rFonts w:ascii="GHEA Grapalat" w:eastAsia="GHEA Grapalat" w:hAnsi="GHEA Grapalat" w:cs="GHEA Grapalat"/>
          <w:lang w:val="hy-AM"/>
        </w:rPr>
        <w:t xml:space="preserve"> </w:t>
      </w:r>
      <w:r w:rsidRPr="00892ECB">
        <w:rPr>
          <w:rFonts w:ascii="GHEA Grapalat" w:eastAsia="GHEA Grapalat" w:hAnsi="GHEA Grapalat" w:cs="GHEA Grapalat"/>
          <w:lang w:val="hy-AM"/>
        </w:rPr>
        <w:t>(</w:t>
      </w:r>
      <w:r>
        <w:rPr>
          <w:rFonts w:ascii="GHEA Grapalat" w:eastAsia="GHEA Grapalat" w:hAnsi="GHEA Grapalat" w:cs="GHEA Grapalat"/>
          <w:lang w:val="hy-AM"/>
        </w:rPr>
        <w:t>այսուհետ նաև՝ Օրենք</w:t>
      </w:r>
      <w:r w:rsidRPr="00892ECB">
        <w:rPr>
          <w:rFonts w:ascii="GHEA Grapalat" w:eastAsia="GHEA Grapalat" w:hAnsi="GHEA Grapalat" w:cs="GHEA Grapalat"/>
          <w:lang w:val="hy-AM"/>
        </w:rPr>
        <w:t xml:space="preserve">) լրացումներ </w:t>
      </w:r>
      <w:r w:rsidRPr="00C04DB3">
        <w:rPr>
          <w:rFonts w:ascii="GHEA Grapalat" w:eastAsia="GHEA Grapalat" w:hAnsi="GHEA Grapalat" w:cs="GHEA Grapalat"/>
          <w:lang w:val="hy-AM"/>
        </w:rPr>
        <w:t>և</w:t>
      </w:r>
      <w:r w:rsidRPr="00892ECB">
        <w:rPr>
          <w:rFonts w:ascii="GHEA Grapalat" w:eastAsia="GHEA Grapalat" w:hAnsi="GHEA Grapalat" w:cs="GHEA Grapalat"/>
          <w:lang w:val="hy-AM"/>
        </w:rPr>
        <w:t xml:space="preserve"> փոփոխություններ</w:t>
      </w:r>
      <w:r w:rsidRPr="00C04DB3">
        <w:rPr>
          <w:rFonts w:ascii="GHEA Grapalat" w:eastAsia="GHEA Grapalat" w:hAnsi="GHEA Grapalat" w:cs="GHEA Grapalat"/>
          <w:lang w:val="hy-AM"/>
        </w:rPr>
        <w:t xml:space="preserve"> </w:t>
      </w:r>
      <w:r w:rsidRPr="00892ECB">
        <w:rPr>
          <w:rFonts w:ascii="GHEA Grapalat" w:eastAsia="GHEA Grapalat" w:hAnsi="GHEA Grapalat" w:cs="GHEA Grapalat"/>
          <w:lang w:val="hy-AM"/>
        </w:rPr>
        <w:t>կատարելու մասին»</w:t>
      </w:r>
      <w:r w:rsidRPr="00C04DB3">
        <w:rPr>
          <w:rFonts w:ascii="GHEA Grapalat" w:eastAsia="GHEA Grapalat" w:hAnsi="GHEA Grapalat" w:cs="GHEA Grapalat"/>
          <w:lang w:val="hy-AM"/>
        </w:rPr>
        <w:t xml:space="preserve"> </w:t>
      </w:r>
      <w:r w:rsidRPr="00892ECB">
        <w:rPr>
          <w:rFonts w:ascii="GHEA Grapalat" w:eastAsia="GHEA Grapalat" w:hAnsi="GHEA Grapalat" w:cs="GHEA Grapalat"/>
          <w:lang w:val="hy-AM"/>
        </w:rPr>
        <w:t>օրենքի</w:t>
      </w:r>
      <w:r w:rsidRPr="00C04DB3">
        <w:rPr>
          <w:rFonts w:ascii="GHEA Grapalat" w:eastAsia="GHEA Grapalat" w:hAnsi="GHEA Grapalat" w:cs="GHEA Grapalat"/>
          <w:lang w:val="hy-AM"/>
        </w:rPr>
        <w:t xml:space="preserve"> </w:t>
      </w:r>
      <w:r w:rsidRPr="00892ECB">
        <w:rPr>
          <w:rFonts w:ascii="GHEA Grapalat" w:eastAsia="GHEA Grapalat" w:hAnsi="GHEA Grapalat" w:cs="GHEA Grapalat"/>
          <w:lang w:val="hy-AM"/>
        </w:rPr>
        <w:t>նախագծի (այսուհետ՝ Նախագիծ)</w:t>
      </w:r>
      <w:r w:rsidRPr="00E23436">
        <w:rPr>
          <w:rFonts w:ascii="GHEA Grapalat" w:eastAsia="GHEA Grapalat" w:hAnsi="GHEA Grapalat" w:cs="GHEA Grapalat"/>
          <w:b/>
          <w:lang w:val="hy-AM"/>
        </w:rPr>
        <w:t xml:space="preserve"> </w:t>
      </w:r>
      <w:r>
        <w:rPr>
          <w:rFonts w:ascii="GHEA Grapalat" w:hAnsi="GHEA Grapalat"/>
          <w:lang w:val="hy-AM"/>
        </w:rPr>
        <w:t xml:space="preserve">ընդունումը </w:t>
      </w:r>
      <w:r w:rsidRPr="00892ECB">
        <w:rPr>
          <w:rFonts w:ascii="GHEA Grapalat" w:hAnsi="GHEA Grapalat"/>
          <w:lang w:val="hy-AM"/>
        </w:rPr>
        <w:t xml:space="preserve">պայմանավորված է </w:t>
      </w:r>
      <w:r>
        <w:rPr>
          <w:rFonts w:ascii="GHEA Grapalat" w:hAnsi="GHEA Grapalat"/>
          <w:lang w:val="hy-AM"/>
        </w:rPr>
        <w:t>քաղաքացիական ու վարչական դատավարություններում</w:t>
      </w:r>
      <w:r w:rsidRPr="00892ECB">
        <w:rPr>
          <w:rFonts w:ascii="GHEA Grapalat" w:hAnsi="GHEA Grapalat"/>
          <w:lang w:val="hy-AM"/>
        </w:rPr>
        <w:t xml:space="preserve"> ոլորտի բարեփոխման անհրաժեշտությամբ։</w:t>
      </w:r>
      <w:r>
        <w:rPr>
          <w:rFonts w:ascii="GHEA Grapalat" w:hAnsi="GHEA Grapalat"/>
          <w:lang w:val="hy-AM"/>
        </w:rPr>
        <w:t xml:space="preserve"> </w:t>
      </w:r>
      <w:r w:rsidRPr="00892ECB">
        <w:rPr>
          <w:rFonts w:ascii="GHEA Grapalat" w:hAnsi="GHEA Grapalat"/>
          <w:lang w:val="hy-AM"/>
        </w:rPr>
        <w:t xml:space="preserve"> </w:t>
      </w:r>
    </w:p>
    <w:p w14:paraId="1C149E46" w14:textId="71517997" w:rsidR="00892ECB" w:rsidRDefault="00892ECB" w:rsidP="00892ECB">
      <w:pPr>
        <w:pStyle w:val="Normal1"/>
        <w:pBdr>
          <w:top w:val="nil"/>
          <w:left w:val="nil"/>
          <w:bottom w:val="nil"/>
          <w:right w:val="nil"/>
          <w:between w:val="nil"/>
        </w:pBdr>
        <w:spacing w:line="360" w:lineRule="auto"/>
        <w:ind w:firstLine="720"/>
        <w:jc w:val="both"/>
        <w:rPr>
          <w:rFonts w:ascii="GHEA Grapalat" w:hAnsi="GHEA Grapalat"/>
          <w:lang w:val="hy-AM"/>
        </w:rPr>
      </w:pPr>
      <w:r>
        <w:rPr>
          <w:rFonts w:ascii="GHEA Grapalat" w:hAnsi="GHEA Grapalat"/>
          <w:lang w:val="hy-AM"/>
        </w:rPr>
        <w:t xml:space="preserve">Հատկանշական է, որ </w:t>
      </w:r>
      <w:r w:rsidRPr="00892ECB">
        <w:rPr>
          <w:rFonts w:ascii="GHEA Grapalat" w:hAnsi="GHEA Grapalat"/>
          <w:lang w:val="hy-AM"/>
        </w:rPr>
        <w:t xml:space="preserve">դատարան տրվող հայցադիմումների, դիմումների, դատարանի դատական ակտերի դեմ վերաքննիչ և վճռաբեկ բողոքների </w:t>
      </w:r>
      <w:r w:rsidR="00F97F37">
        <w:rPr>
          <w:rFonts w:ascii="GHEA Grapalat" w:hAnsi="GHEA Grapalat"/>
          <w:lang w:val="hy-AM"/>
        </w:rPr>
        <w:t>համար</w:t>
      </w:r>
      <w:r w:rsidRPr="00892ECB">
        <w:rPr>
          <w:rFonts w:ascii="GHEA Grapalat" w:hAnsi="GHEA Grapalat"/>
          <w:lang w:val="hy-AM"/>
        </w:rPr>
        <w:t xml:space="preserve"> պետական տուրքի</w:t>
      </w:r>
      <w:r>
        <w:rPr>
          <w:rFonts w:ascii="GHEA Grapalat" w:hAnsi="GHEA Grapalat"/>
          <w:lang w:val="hy-AM"/>
        </w:rPr>
        <w:t xml:space="preserve"> (այսուհետ՝ Տուրք)</w:t>
      </w:r>
      <w:r w:rsidRPr="00892ECB">
        <w:rPr>
          <w:rFonts w:ascii="GHEA Grapalat" w:hAnsi="GHEA Grapalat"/>
          <w:lang w:val="hy-AM"/>
        </w:rPr>
        <w:t xml:space="preserve"> դրույքաչափերը փոփոխության են ենթարկվել «Պետական տուրքի մասին» օրենքում փոփոխություններ և լրացումներ կատարելու մասին» 2021 թվականի ապրիլի 19-ի ՀՕ-177-Ն օրենքով: </w:t>
      </w:r>
      <w:r>
        <w:rPr>
          <w:rFonts w:ascii="GHEA Grapalat" w:hAnsi="GHEA Grapalat"/>
          <w:lang w:val="hy-AM"/>
        </w:rPr>
        <w:t>Սակայն նշված փոփոխությունների իրավակիրառ պրակտիկան, ինչպես նաև նշված օրենքի ընդունումից ի վեր երկրում կայացած դատաիրավական բարեփոխումները անհրաժեշտություն են առաջացրել վերանայելու Տուրքերին վերաբերելի որոշ իրավադրույթներ</w:t>
      </w:r>
      <w:r w:rsidR="00511E7A">
        <w:rPr>
          <w:rFonts w:ascii="GHEA Grapalat" w:hAnsi="GHEA Grapalat"/>
          <w:lang w:val="hy-AM"/>
        </w:rPr>
        <w:t>՝ ապահովելու համար մեկնարկած փոփոխությունների շարունակականությունը</w:t>
      </w:r>
      <w:r w:rsidR="00B0434F">
        <w:rPr>
          <w:rFonts w:ascii="GHEA Grapalat" w:hAnsi="GHEA Grapalat"/>
          <w:lang w:val="hy-AM"/>
        </w:rPr>
        <w:t xml:space="preserve"> և ամբողջականությունը</w:t>
      </w:r>
      <w:r>
        <w:rPr>
          <w:rFonts w:ascii="GHEA Grapalat" w:hAnsi="GHEA Grapalat"/>
          <w:lang w:val="hy-AM"/>
        </w:rPr>
        <w:t xml:space="preserve">: </w:t>
      </w:r>
    </w:p>
    <w:p w14:paraId="5E089628" w14:textId="77777777" w:rsidR="00892ECB" w:rsidRPr="00037F56" w:rsidRDefault="00892ECB" w:rsidP="00892ECB">
      <w:pPr>
        <w:pStyle w:val="Normal1"/>
        <w:pBdr>
          <w:top w:val="nil"/>
          <w:left w:val="nil"/>
          <w:bottom w:val="nil"/>
          <w:right w:val="nil"/>
          <w:between w:val="nil"/>
        </w:pBdr>
        <w:spacing w:line="360" w:lineRule="auto"/>
        <w:ind w:firstLine="720"/>
        <w:jc w:val="both"/>
        <w:rPr>
          <w:rFonts w:ascii="GHEA Grapalat" w:hAnsi="GHEA Grapalat"/>
          <w:u w:val="single"/>
          <w:lang w:val="hy-AM"/>
        </w:rPr>
      </w:pPr>
      <w:r w:rsidRPr="00037F56">
        <w:rPr>
          <w:rFonts w:ascii="GHEA Grapalat" w:hAnsi="GHEA Grapalat"/>
          <w:u w:val="single"/>
          <w:lang w:val="hy-AM"/>
        </w:rPr>
        <w:t xml:space="preserve">1.1. </w:t>
      </w:r>
      <w:r>
        <w:rPr>
          <w:rFonts w:ascii="GHEA Grapalat" w:hAnsi="GHEA Grapalat"/>
          <w:u w:val="single"/>
          <w:lang w:val="hy-AM"/>
        </w:rPr>
        <w:t>Պայմանագրերի վավերությունը վիճարկելու վերաբերյալ գործերով պետական տուրքը</w:t>
      </w:r>
      <w:r w:rsidRPr="00037F56">
        <w:rPr>
          <w:rFonts w:ascii="GHEA Grapalat" w:hAnsi="GHEA Grapalat"/>
          <w:u w:val="single"/>
          <w:lang w:val="hy-AM"/>
        </w:rPr>
        <w:t>.</w:t>
      </w:r>
    </w:p>
    <w:p w14:paraId="0A755540" w14:textId="41DECE4F" w:rsidR="00892ECB" w:rsidRDefault="00892ECB" w:rsidP="00892ECB">
      <w:pPr>
        <w:spacing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Ներկայումս գործող ընդհանուր կանոնի համաձայն՝ Տուրք</w:t>
      </w:r>
      <w:r w:rsidR="00601584">
        <w:rPr>
          <w:rFonts w:ascii="GHEA Grapalat" w:hAnsi="GHEA Grapalat"/>
          <w:shd w:val="clear" w:color="auto" w:fill="FFFFFF"/>
          <w:lang w:val="hy-AM"/>
        </w:rPr>
        <w:t>ի</w:t>
      </w:r>
      <w:r>
        <w:rPr>
          <w:rFonts w:ascii="GHEA Grapalat" w:hAnsi="GHEA Grapalat"/>
          <w:shd w:val="clear" w:color="auto" w:fill="FFFFFF"/>
          <w:lang w:val="hy-AM"/>
        </w:rPr>
        <w:t xml:space="preserve"> չափը հաշվարկվում է հիմք ընդունելով այն հանգամանքը, թե արդյոք դատարան ներկայացվող պահանջը բնույթով դրամական է, թե՝ ոչ դրամական: Նման մոտեցման պարագայում ստեղծվել է այնպիսի իրավիճակ, երբ պայմանագրերի վավերությունը վիճարկելու վերաբերյալ գործերով, երբ առկա չէ դրամական </w:t>
      </w:r>
      <w:r>
        <w:rPr>
          <w:rFonts w:ascii="GHEA Grapalat" w:hAnsi="GHEA Grapalat"/>
          <w:shd w:val="clear" w:color="auto" w:fill="FFFFFF"/>
          <w:lang w:val="hy-AM"/>
        </w:rPr>
        <w:lastRenderedPageBreak/>
        <w:t xml:space="preserve">պահանջ, գանձվում է ոչ դրամական պահանջի համար սահմանված </w:t>
      </w:r>
      <w:r w:rsidRPr="003712C8">
        <w:rPr>
          <w:rFonts w:ascii="GHEA Grapalat" w:hAnsi="GHEA Grapalat"/>
          <w:shd w:val="clear" w:color="auto" w:fill="FFFFFF"/>
          <w:lang w:val="hy-AM"/>
        </w:rPr>
        <w:t>բազային տուրքի 20-ապատիկի չափով</w:t>
      </w:r>
      <w:r>
        <w:rPr>
          <w:rFonts w:ascii="GHEA Grapalat" w:hAnsi="GHEA Grapalat"/>
          <w:shd w:val="clear" w:color="auto" w:fill="FFFFFF"/>
          <w:lang w:val="hy-AM"/>
        </w:rPr>
        <w:t xml:space="preserve"> (</w:t>
      </w:r>
      <w:r w:rsidRPr="003712C8">
        <w:rPr>
          <w:rFonts w:ascii="GHEA Grapalat" w:hAnsi="GHEA Grapalat"/>
          <w:shd w:val="clear" w:color="auto" w:fill="FFFFFF"/>
          <w:lang w:val="hy-AM"/>
        </w:rPr>
        <w:t>առաջին ատյանի ընդհանուր իրավասության դատարան</w:t>
      </w:r>
      <w:r>
        <w:rPr>
          <w:rFonts w:ascii="GHEA Grapalat" w:hAnsi="GHEA Grapalat"/>
          <w:shd w:val="clear" w:color="auto" w:fill="FFFFFF"/>
          <w:lang w:val="hy-AM"/>
        </w:rPr>
        <w:t xml:space="preserve"> հայցադիմում ներկայացնելու դեպքում) Տուրք: Այնինչ, նման պարագաներում վիճարկվում են պայմանագրեր, որոնք ունեն դրամային արտահայտությամբ որոշվող պայմանագրի գին: Ընդ որում, պայմանագրի վավերությունը վիճարկելու ելքով պայմանավորված առաջանում են նաև ռեստիտուցիայի՝ պայմանագրով ստացվածը վերադարձնելու հետ կապված պարտավորություններ, որոնք, իրենց հերթին, ևս կարող են հանգել դրամային պահանջների ու պարտավորությունների առաջացման: Արդյունքում, փաստացի վիճարկման հիմքում դրամական ակնկալիքի (կամ դրան համարժեք այլ եղանակով փոխհատուցման) հեռանկարով տարբեր պահանջների  դեպքում կիրառվում են տարբեր մոտեցումներ՝ մի դեպքում գանձելով Տուրք՝ կախված դրամական պահանջի չափից, իսկ մյուս դեպքում ֆիքսված Տուրք՝ անկախ վիճարկվող պայմանագրի գնից: Արդյունքում, օրինակ, 10 միլիոն դրամին համարժեք դրամական պահանջ ներկայացրած անձը վճարում է 300.000 դրամ Տուրք, իսկ նույն 10 միլիոն դրամին համարժեք գին ունեցող պայմանագրի վավերությունը վիճարկող անձը՝ 20.000 դրամ: </w:t>
      </w:r>
    </w:p>
    <w:p w14:paraId="52542E1F" w14:textId="77777777" w:rsidR="00892ECB" w:rsidRDefault="00892ECB" w:rsidP="00892ECB">
      <w:pPr>
        <w:spacing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Բացի այդ, դատական պրակտիկային խորթ չեն նաև դեպքերը, երբ ա</w:t>
      </w:r>
      <w:r w:rsidRPr="002E6EB9">
        <w:rPr>
          <w:rFonts w:ascii="GHEA Grapalat" w:hAnsi="GHEA Grapalat"/>
          <w:shd w:val="clear" w:color="auto" w:fill="FFFFFF"/>
          <w:lang w:val="hy-AM"/>
        </w:rPr>
        <w:t xml:space="preserve">նձիք </w:t>
      </w:r>
      <w:r>
        <w:rPr>
          <w:rFonts w:ascii="GHEA Grapalat" w:hAnsi="GHEA Grapalat"/>
          <w:shd w:val="clear" w:color="auto" w:fill="FFFFFF"/>
          <w:lang w:val="hy-AM"/>
        </w:rPr>
        <w:t xml:space="preserve">հաճախ </w:t>
      </w:r>
      <w:r w:rsidRPr="002E6EB9">
        <w:rPr>
          <w:rFonts w:ascii="GHEA Grapalat" w:hAnsi="GHEA Grapalat"/>
          <w:shd w:val="clear" w:color="auto" w:fill="FFFFFF"/>
          <w:lang w:val="hy-AM"/>
        </w:rPr>
        <w:t xml:space="preserve">դիմում են դատարան </w:t>
      </w:r>
      <w:r>
        <w:rPr>
          <w:rFonts w:ascii="GHEA Grapalat" w:hAnsi="GHEA Grapalat"/>
          <w:shd w:val="clear" w:color="auto" w:fill="FFFFFF"/>
          <w:lang w:val="hy-AM"/>
        </w:rPr>
        <w:t>պայմանագրի անվավերության պահանջներով</w:t>
      </w:r>
      <w:r w:rsidRPr="002E6EB9">
        <w:rPr>
          <w:rFonts w:ascii="GHEA Grapalat" w:hAnsi="GHEA Grapalat"/>
          <w:shd w:val="clear" w:color="auto" w:fill="FFFFFF"/>
          <w:lang w:val="hy-AM"/>
        </w:rPr>
        <w:t>՝ նպատակ ունենալով կա՛մ երկարաձգել դատավարական պրոցեսները, կա՛մ մյուս կողմի համար առաջա</w:t>
      </w:r>
      <w:r>
        <w:rPr>
          <w:rFonts w:ascii="GHEA Grapalat" w:hAnsi="GHEA Grapalat"/>
          <w:shd w:val="clear" w:color="auto" w:fill="FFFFFF"/>
          <w:lang w:val="hy-AM"/>
        </w:rPr>
        <w:t>ց</w:t>
      </w:r>
      <w:r w:rsidRPr="002E6EB9">
        <w:rPr>
          <w:rFonts w:ascii="GHEA Grapalat" w:hAnsi="GHEA Grapalat"/>
          <w:shd w:val="clear" w:color="auto" w:fill="FFFFFF"/>
          <w:lang w:val="hy-AM"/>
        </w:rPr>
        <w:t>նել անբարենպաս</w:t>
      </w:r>
      <w:r>
        <w:rPr>
          <w:rFonts w:ascii="GHEA Grapalat" w:hAnsi="GHEA Grapalat"/>
          <w:shd w:val="clear" w:color="auto" w:fill="FFFFFF"/>
          <w:lang w:val="hy-AM"/>
        </w:rPr>
        <w:t>տ</w:t>
      </w:r>
      <w:r w:rsidRPr="002E6EB9">
        <w:rPr>
          <w:rFonts w:ascii="GHEA Grapalat" w:hAnsi="GHEA Grapalat"/>
          <w:shd w:val="clear" w:color="auto" w:fill="FFFFFF"/>
          <w:lang w:val="hy-AM"/>
        </w:rPr>
        <w:t xml:space="preserve"> հետևանքներ, այդ թվում</w:t>
      </w:r>
      <w:r>
        <w:rPr>
          <w:rFonts w:ascii="GHEA Grapalat" w:hAnsi="GHEA Grapalat"/>
          <w:shd w:val="clear" w:color="auto" w:fill="FFFFFF"/>
          <w:lang w:val="hy-AM"/>
        </w:rPr>
        <w:t>՝</w:t>
      </w:r>
      <w:r w:rsidRPr="002E6EB9">
        <w:rPr>
          <w:rFonts w:ascii="GHEA Grapalat" w:hAnsi="GHEA Grapalat"/>
          <w:shd w:val="clear" w:color="auto" w:fill="FFFFFF"/>
          <w:lang w:val="hy-AM"/>
        </w:rPr>
        <w:t xml:space="preserve"> նաև որպես հայցի ապահովման միջոց կիրառելու մասին միջնորդություններ ներկայացնելով:</w:t>
      </w:r>
    </w:p>
    <w:p w14:paraId="027A4C1C" w14:textId="77777777" w:rsidR="00892ECB" w:rsidRDefault="00892ECB" w:rsidP="00892ECB">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Այս համատեքստում նկատենք, որ մ</w:t>
      </w:r>
      <w:r w:rsidRPr="00BF3926">
        <w:rPr>
          <w:rFonts w:ascii="GHEA Grapalat" w:eastAsia="GHEA Grapalat" w:hAnsi="GHEA Grapalat" w:cs="GHEA Grapalat"/>
          <w:lang w:val="hy-AM"/>
        </w:rPr>
        <w:t>իջազգային փորձ</w:t>
      </w:r>
      <w:r>
        <w:rPr>
          <w:rFonts w:ascii="GHEA Grapalat" w:eastAsia="GHEA Grapalat" w:hAnsi="GHEA Grapalat" w:cs="GHEA Grapalat"/>
          <w:lang w:val="hy-AM"/>
        </w:rPr>
        <w:t>ի ուսումնասիրություն</w:t>
      </w:r>
      <w:r w:rsidRPr="00BF3926">
        <w:rPr>
          <w:rFonts w:ascii="GHEA Grapalat" w:eastAsia="GHEA Grapalat" w:hAnsi="GHEA Grapalat" w:cs="GHEA Grapalat"/>
          <w:lang w:val="hy-AM"/>
        </w:rPr>
        <w:t xml:space="preserve">ը </w:t>
      </w:r>
      <w:r>
        <w:rPr>
          <w:rFonts w:ascii="GHEA Grapalat" w:eastAsia="GHEA Grapalat" w:hAnsi="GHEA Grapalat" w:cs="GHEA Grapalat"/>
          <w:lang w:val="hy-AM"/>
        </w:rPr>
        <w:t xml:space="preserve">ևս </w:t>
      </w:r>
      <w:r w:rsidRPr="00BF3926">
        <w:rPr>
          <w:rFonts w:ascii="GHEA Grapalat" w:eastAsia="GHEA Grapalat" w:hAnsi="GHEA Grapalat" w:cs="GHEA Grapalat"/>
          <w:lang w:val="hy-AM"/>
        </w:rPr>
        <w:t xml:space="preserve">վկայում է, որ որոշ երկրներում </w:t>
      </w:r>
      <w:r>
        <w:rPr>
          <w:rFonts w:ascii="GHEA Grapalat" w:eastAsia="GHEA Grapalat" w:hAnsi="GHEA Grapalat" w:cs="GHEA Grapalat"/>
          <w:lang w:val="hy-AM"/>
        </w:rPr>
        <w:t>պայմանագրերի անվավերության հայցադիմումների գործերով</w:t>
      </w:r>
      <w:r w:rsidRPr="00BF3926">
        <w:rPr>
          <w:rFonts w:ascii="GHEA Grapalat" w:eastAsia="GHEA Grapalat" w:hAnsi="GHEA Grapalat" w:cs="GHEA Grapalat"/>
          <w:lang w:val="hy-AM"/>
        </w:rPr>
        <w:t xml:space="preserve"> պետական բյուջե գանձվող պետական տուրքի</w:t>
      </w:r>
      <w:r>
        <w:rPr>
          <w:rFonts w:ascii="GHEA Grapalat" w:eastAsia="GHEA Grapalat" w:hAnsi="GHEA Grapalat" w:cs="GHEA Grapalat"/>
          <w:lang w:val="hy-AM"/>
        </w:rPr>
        <w:t xml:space="preserve"> չափը կախված է պայմանագրի գնից</w:t>
      </w:r>
      <w:r w:rsidRPr="00BF3926">
        <w:rPr>
          <w:rFonts w:ascii="GHEA Grapalat" w:eastAsia="GHEA Grapalat" w:hAnsi="GHEA Grapalat" w:cs="GHEA Grapalat"/>
          <w:lang w:val="hy-AM"/>
        </w:rPr>
        <w:t xml:space="preserve">: </w:t>
      </w:r>
      <w:r>
        <w:rPr>
          <w:rFonts w:ascii="GHEA Grapalat" w:eastAsia="GHEA Grapalat" w:hAnsi="GHEA Grapalat" w:cs="GHEA Grapalat"/>
          <w:lang w:val="hy-AM"/>
        </w:rPr>
        <w:t>Մասնավորապես, այդ երկրներում ևս Պայմանագրի գնից</w:t>
      </w:r>
      <w:r w:rsidRPr="00430F33">
        <w:rPr>
          <w:rFonts w:ascii="GHEA Grapalat" w:eastAsia="GHEA Grapalat" w:hAnsi="GHEA Grapalat" w:cs="GHEA Grapalat"/>
          <w:lang w:val="hy-AM"/>
        </w:rPr>
        <w:t xml:space="preserve"> կախված սահմանվում է որոշակի տոկոսային թիվ, որից </w:t>
      </w:r>
      <w:r>
        <w:rPr>
          <w:rFonts w:ascii="GHEA Grapalat" w:eastAsia="GHEA Grapalat" w:hAnsi="GHEA Grapalat" w:cs="GHEA Grapalat"/>
          <w:lang w:val="hy-AM"/>
        </w:rPr>
        <w:t>և</w:t>
      </w:r>
      <w:r w:rsidRPr="00430F33">
        <w:rPr>
          <w:rFonts w:ascii="GHEA Grapalat" w:eastAsia="GHEA Grapalat" w:hAnsi="GHEA Grapalat" w:cs="GHEA Grapalat"/>
          <w:lang w:val="hy-AM"/>
        </w:rPr>
        <w:t xml:space="preserve"> որոշվում է պետական տուրքի չափը</w:t>
      </w:r>
      <w:r>
        <w:rPr>
          <w:rFonts w:ascii="GHEA Grapalat" w:eastAsia="GHEA Grapalat" w:hAnsi="GHEA Grapalat" w:cs="GHEA Grapalat"/>
          <w:lang w:val="hy-AM"/>
        </w:rPr>
        <w:t xml:space="preserve">: Այն որոշվում է նաև </w:t>
      </w:r>
      <w:r>
        <w:rPr>
          <w:rFonts w:ascii="GHEA Grapalat" w:eastAsia="GHEA Grapalat" w:hAnsi="GHEA Grapalat" w:cs="GHEA Grapalat"/>
          <w:lang w:val="hy-AM"/>
        </w:rPr>
        <w:lastRenderedPageBreak/>
        <w:t>պայմանագրի գնով պայմանավորված որոշակի</w:t>
      </w:r>
      <w:r w:rsidRPr="00430F33">
        <w:rPr>
          <w:rFonts w:ascii="GHEA Grapalat" w:eastAsia="GHEA Grapalat" w:hAnsi="GHEA Grapalat" w:cs="GHEA Grapalat"/>
          <w:lang w:val="hy-AM"/>
        </w:rPr>
        <w:t xml:space="preserve"> ֆիքսված գումար</w:t>
      </w:r>
      <w:r>
        <w:rPr>
          <w:rFonts w:ascii="GHEA Grapalat" w:eastAsia="GHEA Grapalat" w:hAnsi="GHEA Grapalat" w:cs="GHEA Grapalat"/>
          <w:lang w:val="hy-AM"/>
        </w:rPr>
        <w:t>ով, կամ ֆիքսված գումար և տոկոսային վճար համատեղությամբ:</w:t>
      </w:r>
    </w:p>
    <w:p w14:paraId="28C6706A" w14:textId="19408D62" w:rsidR="00892ECB" w:rsidRPr="00430F33" w:rsidRDefault="00892ECB" w:rsidP="00892ECB">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Այսպես, օրինակ, </w:t>
      </w:r>
      <w:r w:rsidRPr="00037F56">
        <w:rPr>
          <w:rFonts w:ascii="GHEA Grapalat" w:eastAsia="GHEA Grapalat" w:hAnsi="GHEA Grapalat" w:cs="GHEA Grapalat"/>
          <w:b/>
          <w:lang w:val="hy-AM"/>
        </w:rPr>
        <w:t>Էստոնիայի</w:t>
      </w:r>
      <w:r w:rsidRPr="00430F33">
        <w:rPr>
          <w:rFonts w:ascii="GHEA Grapalat" w:eastAsia="GHEA Grapalat" w:hAnsi="GHEA Grapalat" w:cs="GHEA Grapalat"/>
          <w:lang w:val="hy-AM"/>
        </w:rPr>
        <w:t xml:space="preserve"> քաղաքացիական դատավարության օրենսգիրքը</w:t>
      </w:r>
      <w:r>
        <w:rPr>
          <w:rStyle w:val="FootnoteReference"/>
          <w:rFonts w:ascii="GHEA Grapalat" w:eastAsia="GHEA Grapalat" w:hAnsi="GHEA Grapalat" w:cs="GHEA Grapalat"/>
          <w:lang w:val="hy-AM"/>
        </w:rPr>
        <w:footnoteReference w:id="1"/>
      </w:r>
      <w:r w:rsidRPr="00430F33">
        <w:rPr>
          <w:rFonts w:ascii="GHEA Grapalat" w:eastAsia="GHEA Grapalat" w:hAnsi="GHEA Grapalat" w:cs="GHEA Grapalat"/>
          <w:lang w:val="hy-AM"/>
        </w:rPr>
        <w:t xml:space="preserve"> սահմանում է թե ինչ է իրենից ներկայացնում հայցագինը յուրաքանչյուր պահանջի դեպքում առանձին-առանձին (Գլուխ 17), որի մեջ 128-րդ հոդվածում նշվում է օգտագործման պայմանագրերից ծագող վեճերի վերաբերյալ հայցագնի չափը: </w:t>
      </w:r>
      <w:r w:rsidR="00F97F37">
        <w:rPr>
          <w:rFonts w:ascii="GHEA Grapalat" w:eastAsia="GHEA Grapalat" w:hAnsi="GHEA Grapalat" w:cs="GHEA Grapalat"/>
          <w:lang w:val="hy-AM"/>
        </w:rPr>
        <w:t>Մասնավորապես</w:t>
      </w:r>
      <w:r w:rsidRPr="00430F33">
        <w:rPr>
          <w:rFonts w:ascii="GHEA Grapalat" w:eastAsia="GHEA Grapalat" w:hAnsi="GHEA Grapalat" w:cs="GHEA Grapalat"/>
          <w:lang w:val="hy-AM"/>
        </w:rPr>
        <w:t xml:space="preserve">, Վարձակալության պայմանագրի, առևտրային վարձակալության պայմանագրի կամ օգտագործման այլ նմանատիպ պայմանագրի վավերականության կամ տևողության հետ կապված վեճում դատական հայցի գինը կազմում է վեճի ընթացքում ոչ ավելի, քան մեկ տարվա ընթացքում վճարվող օգտագործողների վճարների հանրագումարը: Եթե վեճը կապված է անշարժ գույքի օբյեկտի, շինարարական աշխատանքների կամ այդպիսի օբյեկտի կամ աշխատանքի մի մասի </w:t>
      </w:r>
      <w:r w:rsidR="00F97F37">
        <w:rPr>
          <w:rFonts w:ascii="GHEA Grapalat" w:eastAsia="GHEA Grapalat" w:hAnsi="GHEA Grapalat" w:cs="GHEA Grapalat"/>
          <w:lang w:val="hy-AM"/>
        </w:rPr>
        <w:t>տիրապետմանը</w:t>
      </w:r>
      <w:r w:rsidRPr="00430F33">
        <w:rPr>
          <w:rFonts w:ascii="GHEA Grapalat" w:eastAsia="GHEA Grapalat" w:hAnsi="GHEA Grapalat" w:cs="GHEA Grapalat"/>
          <w:lang w:val="hy-AM"/>
        </w:rPr>
        <w:t xml:space="preserve"> հանձնելուց հրաժարվելու հետ, քանի որ պայմանագրի ժամկետը լրանում է, ապա դատական հայցի գինը հավասար է մեկ տարվա համար վճարման ենթակա օգտագործողի վճարների ընդհանուր գումարին: 18-րդ գլխում սահմանվում է վճարվող պետական տուրքը՝ հղում անելով «Պետական տուրքի մասին» Ակտին</w:t>
      </w:r>
      <w:r>
        <w:rPr>
          <w:rStyle w:val="FootnoteReference"/>
          <w:rFonts w:ascii="GHEA Grapalat" w:eastAsia="GHEA Grapalat" w:hAnsi="GHEA Grapalat" w:cs="GHEA Grapalat"/>
          <w:lang w:val="hy-AM"/>
        </w:rPr>
        <w:footnoteReference w:id="2"/>
      </w:r>
      <w:r w:rsidRPr="00430F33">
        <w:rPr>
          <w:rFonts w:ascii="GHEA Grapalat" w:eastAsia="GHEA Grapalat" w:hAnsi="GHEA Grapalat" w:cs="GHEA Grapalat"/>
          <w:lang w:val="hy-AM"/>
        </w:rPr>
        <w:t>, որի հավելված 1-</w:t>
      </w:r>
      <w:r>
        <w:rPr>
          <w:rFonts w:ascii="GHEA Grapalat" w:eastAsia="GHEA Grapalat" w:hAnsi="GHEA Grapalat" w:cs="GHEA Grapalat"/>
          <w:lang w:val="hy-AM"/>
        </w:rPr>
        <w:t>ում</w:t>
      </w:r>
      <w:r>
        <w:rPr>
          <w:rStyle w:val="FootnoteReference"/>
          <w:rFonts w:ascii="GHEA Grapalat" w:eastAsia="GHEA Grapalat" w:hAnsi="GHEA Grapalat" w:cs="GHEA Grapalat"/>
          <w:lang w:val="hy-AM"/>
        </w:rPr>
        <w:footnoteReference w:id="3"/>
      </w:r>
      <w:r w:rsidRPr="00430F33">
        <w:rPr>
          <w:rFonts w:ascii="GHEA Grapalat" w:eastAsia="GHEA Grapalat" w:hAnsi="GHEA Grapalat" w:cs="GHEA Grapalat"/>
          <w:lang w:val="hy-AM"/>
        </w:rPr>
        <w:t xml:space="preserve"> սահմանվում են հայցագնին համապատասխան պետական </w:t>
      </w:r>
      <w:r w:rsidR="00F97F37">
        <w:rPr>
          <w:rFonts w:ascii="GHEA Grapalat" w:eastAsia="GHEA Grapalat" w:hAnsi="GHEA Grapalat" w:cs="GHEA Grapalat"/>
          <w:lang w:val="hy-AM"/>
        </w:rPr>
        <w:t>տուրքերի</w:t>
      </w:r>
      <w:r w:rsidRPr="00430F33">
        <w:rPr>
          <w:rFonts w:ascii="GHEA Grapalat" w:eastAsia="GHEA Grapalat" w:hAnsi="GHEA Grapalat" w:cs="GHEA Grapalat"/>
          <w:lang w:val="hy-AM"/>
        </w:rPr>
        <w:t xml:space="preserve"> չափերը</w:t>
      </w:r>
      <w:r>
        <w:rPr>
          <w:rFonts w:ascii="GHEA Grapalat" w:eastAsia="GHEA Grapalat" w:hAnsi="GHEA Grapalat" w:cs="GHEA Grapalat"/>
          <w:lang w:val="hy-AM"/>
        </w:rPr>
        <w:t>: Պ</w:t>
      </w:r>
      <w:r w:rsidRPr="00430F33">
        <w:rPr>
          <w:rFonts w:ascii="GHEA Grapalat" w:eastAsia="GHEA Grapalat" w:hAnsi="GHEA Grapalat" w:cs="GHEA Grapalat"/>
          <w:lang w:val="hy-AM"/>
        </w:rPr>
        <w:t>ետական տուրքի</w:t>
      </w:r>
      <w:r>
        <w:rPr>
          <w:rFonts w:ascii="GHEA Grapalat" w:eastAsia="GHEA Grapalat" w:hAnsi="GHEA Grapalat" w:cs="GHEA Grapalat"/>
          <w:lang w:val="hy-AM"/>
        </w:rPr>
        <w:t xml:space="preserve"> ա</w:t>
      </w:r>
      <w:r w:rsidRPr="00430F33">
        <w:rPr>
          <w:rFonts w:ascii="GHEA Grapalat" w:eastAsia="GHEA Grapalat" w:hAnsi="GHEA Grapalat" w:cs="GHEA Grapalat"/>
          <w:lang w:val="hy-AM"/>
        </w:rPr>
        <w:t>ռավելագույն չափը կազմում է 5,000 եվրո:</w:t>
      </w:r>
    </w:p>
    <w:p w14:paraId="5FD36CB9"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Օրինակ, եթե վարձակալության պայմանագրով մեկ տարվա համար ընդհանուր վճարվելիք գումարի չափը կազմում է 12,000 եվրո, ապա պետական տուրքը ըստ Հավելվածի հավասար կլինի 770 եվրոյի:</w:t>
      </w:r>
    </w:p>
    <w:p w14:paraId="4CFEDA5C" w14:textId="6DA4E86E" w:rsidR="00892ECB" w:rsidRPr="00430F33" w:rsidRDefault="00892ECB" w:rsidP="00892ECB">
      <w:pPr>
        <w:spacing w:line="360" w:lineRule="auto"/>
        <w:ind w:firstLine="567"/>
        <w:jc w:val="both"/>
        <w:rPr>
          <w:rFonts w:ascii="GHEA Grapalat" w:eastAsia="GHEA Grapalat" w:hAnsi="GHEA Grapalat" w:cs="GHEA Grapalat"/>
          <w:lang w:val="hy-AM"/>
        </w:rPr>
      </w:pPr>
      <w:r w:rsidRPr="00037F56">
        <w:rPr>
          <w:rFonts w:ascii="GHEA Grapalat" w:eastAsia="GHEA Grapalat" w:hAnsi="GHEA Grapalat" w:cs="GHEA Grapalat"/>
          <w:b/>
          <w:lang w:val="hy-AM"/>
        </w:rPr>
        <w:t>Հունգարիայի</w:t>
      </w:r>
      <w:r w:rsidRPr="00430F33">
        <w:rPr>
          <w:rFonts w:ascii="GHEA Grapalat" w:eastAsia="GHEA Grapalat" w:hAnsi="GHEA Grapalat" w:cs="GHEA Grapalat"/>
          <w:lang w:val="hy-AM"/>
        </w:rPr>
        <w:t xml:space="preserve"> «Վճարների մասին» օրենքի</w:t>
      </w:r>
      <w:r>
        <w:rPr>
          <w:rStyle w:val="FootnoteReference"/>
          <w:rFonts w:ascii="GHEA Grapalat" w:eastAsia="GHEA Grapalat" w:hAnsi="GHEA Grapalat" w:cs="GHEA Grapalat"/>
          <w:lang w:val="hy-AM"/>
        </w:rPr>
        <w:footnoteReference w:id="4"/>
      </w:r>
      <w:r w:rsidRPr="00430F33">
        <w:rPr>
          <w:rFonts w:ascii="GHEA Grapalat" w:eastAsia="GHEA Grapalat" w:hAnsi="GHEA Grapalat" w:cs="GHEA Grapalat"/>
          <w:lang w:val="hy-AM"/>
        </w:rPr>
        <w:t xml:space="preserve"> 6-րդ գլխով սահմանվում են պետական տուրքի չափերը հայցադիմումի առարկայի արժեքի նկատմամբ տոկոսային հարաբերակցությամբ (որը կազմում է 6%), իսկ քաղաքացիական </w:t>
      </w:r>
      <w:r w:rsidRPr="00430F33">
        <w:rPr>
          <w:rFonts w:ascii="GHEA Grapalat" w:eastAsia="GHEA Grapalat" w:hAnsi="GHEA Grapalat" w:cs="GHEA Grapalat"/>
          <w:lang w:val="hy-AM"/>
        </w:rPr>
        <w:lastRenderedPageBreak/>
        <w:t>դատավարության օրենսգրքը</w:t>
      </w:r>
      <w:r>
        <w:rPr>
          <w:rStyle w:val="FootnoteReference"/>
          <w:rFonts w:ascii="GHEA Grapalat" w:eastAsia="GHEA Grapalat" w:hAnsi="GHEA Grapalat" w:cs="GHEA Grapalat"/>
          <w:lang w:val="hy-AM"/>
        </w:rPr>
        <w:footnoteReference w:id="5"/>
      </w:r>
      <w:r w:rsidRPr="00430F33">
        <w:rPr>
          <w:rFonts w:ascii="GHEA Grapalat" w:eastAsia="GHEA Grapalat" w:hAnsi="GHEA Grapalat" w:cs="GHEA Grapalat"/>
          <w:lang w:val="hy-AM"/>
        </w:rPr>
        <w:t xml:space="preserve"> սահմանում է հայցի առարկայի արժեքը: Հայցադիմումի առարկայի արժեքից ելնելով որոշվում է պետական տուրքի չափը: </w:t>
      </w:r>
      <w:r w:rsidR="00F97F37">
        <w:rPr>
          <w:rFonts w:ascii="GHEA Grapalat" w:eastAsia="GHEA Grapalat" w:hAnsi="GHEA Grapalat" w:cs="GHEA Grapalat"/>
          <w:lang w:val="hy-AM"/>
        </w:rPr>
        <w:t>Մասնավորապես</w:t>
      </w:r>
      <w:r w:rsidRPr="00430F33">
        <w:rPr>
          <w:rFonts w:ascii="GHEA Grapalat" w:eastAsia="GHEA Grapalat" w:hAnsi="GHEA Grapalat" w:cs="GHEA Grapalat"/>
          <w:lang w:val="hy-AM"/>
        </w:rPr>
        <w:t xml:space="preserve">, Օրենսգրքի 21-րդ հոդվածի 1-ին մասի համաձայն՝ հայցադիմումի առարկայի արժեքը, բացառությամբ 3-րդ կետի, նույնն է, ինչ հայցի կամ այլ իրավունքի արժեքը, որն իրականացվել է գործողությամբ: Նույն հոդվածի 2-րդ մասի համաձայն՝ Պահանջի կամ այլ իրավունքի արժեքը որոշվում է՝ </w:t>
      </w:r>
    </w:p>
    <w:p w14:paraId="680BDD80"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 xml:space="preserve">ա) պայմանագրի </w:t>
      </w:r>
      <w:r>
        <w:rPr>
          <w:rFonts w:ascii="GHEA Grapalat" w:eastAsia="GHEA Grapalat" w:hAnsi="GHEA Grapalat" w:cs="GHEA Grapalat"/>
          <w:lang w:val="hy-AM"/>
        </w:rPr>
        <w:t>կնքման</w:t>
      </w:r>
      <w:r w:rsidRPr="00430F33">
        <w:rPr>
          <w:rFonts w:ascii="GHEA Grapalat" w:eastAsia="GHEA Grapalat" w:hAnsi="GHEA Grapalat" w:cs="GHEA Grapalat"/>
          <w:lang w:val="hy-AM"/>
        </w:rPr>
        <w:t xml:space="preserve">, </w:t>
      </w:r>
      <w:r>
        <w:rPr>
          <w:rFonts w:ascii="GHEA Grapalat" w:eastAsia="GHEA Grapalat" w:hAnsi="GHEA Grapalat" w:cs="GHEA Grapalat"/>
          <w:lang w:val="hy-AM"/>
        </w:rPr>
        <w:t>կնքված չլինելու</w:t>
      </w:r>
      <w:r w:rsidRPr="00430F33">
        <w:rPr>
          <w:rFonts w:ascii="GHEA Grapalat" w:eastAsia="GHEA Grapalat" w:hAnsi="GHEA Grapalat" w:cs="GHEA Grapalat"/>
          <w:lang w:val="hy-AM"/>
        </w:rPr>
        <w:t>, վավերականության, անվավերության, վավերականության կամ անվավեր ճանաչելու պահանջի դեպքում՝ պայմանագրով նախատեսված ծառայության դիմաց վճարվող հատուցման արժեքով.</w:t>
      </w:r>
    </w:p>
    <w:p w14:paraId="2A3D6ECA"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 xml:space="preserve">բ) պայմանագիր </w:t>
      </w:r>
      <w:r>
        <w:rPr>
          <w:rFonts w:ascii="GHEA Grapalat" w:eastAsia="GHEA Grapalat" w:hAnsi="GHEA Grapalat" w:cs="GHEA Grapalat"/>
          <w:lang w:val="hy-AM"/>
        </w:rPr>
        <w:t xml:space="preserve">կնքելու </w:t>
      </w:r>
      <w:r w:rsidRPr="00430F33">
        <w:rPr>
          <w:rFonts w:ascii="GHEA Grapalat" w:eastAsia="GHEA Grapalat" w:hAnsi="GHEA Grapalat" w:cs="GHEA Grapalat"/>
          <w:lang w:val="hy-AM"/>
        </w:rPr>
        <w:t>կամ լուծելու պահանջի դեպքում՝ պայմանագրային ծառայության դիմաց վճարվող փոխհատուցման արժեքով, որը դեռ չի կատարվել.</w:t>
      </w:r>
    </w:p>
    <w:p w14:paraId="11CFF575"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գ) վիճելի առարկայի կամ իրի մի մասի արժեքով կամ գույքային իրավունքով.</w:t>
      </w:r>
    </w:p>
    <w:p w14:paraId="72083436"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դ) հայցի ապահովման հայցով` ապահովված պահանջի արժեքով, կամ եթե գրավի արժեքը սրանից փոքր է` վերջինիս արժեքով.</w:t>
      </w:r>
    </w:p>
    <w:p w14:paraId="3FC7E9FD" w14:textId="77777777" w:rsidR="00892ECB" w:rsidRPr="00E926DF"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ե) գրավի պայմանագրի անվավերության պահանջի դեպքում՝ պահանջի արժեքով, կամ եթե հանված գրավի արժեքը սրանից փոքր է, վերջինիս արժեքով.</w:t>
      </w:r>
    </w:p>
    <w:p w14:paraId="736857D0"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Վճարվող պետական տուրքի նվազագույն չափը կազմում է 15,000</w:t>
      </w:r>
      <w:r w:rsidRPr="00037F56">
        <w:rPr>
          <w:rFonts w:ascii="GHEA Grapalat" w:eastAsia="GHEA Grapalat" w:hAnsi="GHEA Grapalat" w:cs="GHEA Grapalat"/>
          <w:lang w:val="hy-AM"/>
        </w:rPr>
        <w:t xml:space="preserve"> </w:t>
      </w:r>
      <w:r>
        <w:rPr>
          <w:rFonts w:ascii="GHEA Grapalat" w:eastAsia="GHEA Grapalat" w:hAnsi="GHEA Grapalat" w:cs="GHEA Grapalat"/>
          <w:lang w:val="hy-AM"/>
        </w:rPr>
        <w:t>հունգարական ֆորինտ</w:t>
      </w:r>
      <w:r w:rsidRPr="00430F33">
        <w:rPr>
          <w:rFonts w:ascii="GHEA Grapalat" w:eastAsia="GHEA Grapalat" w:hAnsi="GHEA Grapalat" w:cs="GHEA Grapalat"/>
          <w:lang w:val="hy-AM"/>
        </w:rPr>
        <w:t xml:space="preserve">, իսկ առավելագույն չափը՝ 1,500,000 </w:t>
      </w:r>
      <w:r>
        <w:rPr>
          <w:rFonts w:ascii="GHEA Grapalat" w:eastAsia="GHEA Grapalat" w:hAnsi="GHEA Grapalat" w:cs="GHEA Grapalat"/>
          <w:lang w:val="hy-AM"/>
        </w:rPr>
        <w:t>հունգարական ֆորինտ:</w:t>
      </w:r>
    </w:p>
    <w:p w14:paraId="04FDBCA7" w14:textId="7D686030" w:rsidR="00892ECB"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Ստացվում է օրինակ</w:t>
      </w:r>
      <w:r w:rsidR="00F97F37">
        <w:rPr>
          <w:rFonts w:ascii="GHEA Grapalat" w:eastAsia="GHEA Grapalat" w:hAnsi="GHEA Grapalat" w:cs="GHEA Grapalat"/>
          <w:lang w:val="hy-AM"/>
        </w:rPr>
        <w:t>, եթե</w:t>
      </w:r>
      <w:r w:rsidRPr="00430F33">
        <w:rPr>
          <w:rFonts w:ascii="GHEA Grapalat" w:eastAsia="GHEA Grapalat" w:hAnsi="GHEA Grapalat" w:cs="GHEA Grapalat"/>
          <w:lang w:val="hy-AM"/>
        </w:rPr>
        <w:t xml:space="preserve"> վարձակալության պայմանագրի արժեքը </w:t>
      </w:r>
      <w:r w:rsidR="00F97F37">
        <w:rPr>
          <w:rFonts w:ascii="GHEA Grapalat" w:eastAsia="GHEA Grapalat" w:hAnsi="GHEA Grapalat" w:cs="GHEA Grapalat"/>
          <w:lang w:val="hy-AM"/>
        </w:rPr>
        <w:t>կազմում</w:t>
      </w:r>
      <w:r w:rsidRPr="00430F33">
        <w:rPr>
          <w:rFonts w:ascii="GHEA Grapalat" w:eastAsia="GHEA Grapalat" w:hAnsi="GHEA Grapalat" w:cs="GHEA Grapalat"/>
          <w:lang w:val="hy-AM"/>
        </w:rPr>
        <w:t xml:space="preserve"> է 1,000,000</w:t>
      </w:r>
      <w:r>
        <w:rPr>
          <w:rFonts w:ascii="GHEA Grapalat" w:eastAsia="GHEA Grapalat" w:hAnsi="GHEA Grapalat" w:cs="GHEA Grapalat"/>
          <w:lang w:val="hy-AM"/>
        </w:rPr>
        <w:t xml:space="preserve"> հունգարական ֆորինտ</w:t>
      </w:r>
      <w:r w:rsidRPr="00430F33">
        <w:rPr>
          <w:rFonts w:ascii="GHEA Grapalat" w:eastAsia="GHEA Grapalat" w:hAnsi="GHEA Grapalat" w:cs="GHEA Grapalat"/>
          <w:lang w:val="hy-AM"/>
        </w:rPr>
        <w:t>, ապա հայցագնի չափը որոշվում է 1,000,000 * 6 / 100 = 60,000</w:t>
      </w:r>
      <w:r>
        <w:rPr>
          <w:rFonts w:ascii="GHEA Grapalat" w:eastAsia="GHEA Grapalat" w:hAnsi="GHEA Grapalat" w:cs="GHEA Grapalat"/>
          <w:lang w:val="hy-AM"/>
        </w:rPr>
        <w:t xml:space="preserve"> հունգարական ֆորինտ</w:t>
      </w:r>
      <w:r w:rsidRPr="00430F33">
        <w:rPr>
          <w:rFonts w:ascii="GHEA Grapalat" w:eastAsia="GHEA Grapalat" w:hAnsi="GHEA Grapalat" w:cs="GHEA Grapalat"/>
          <w:lang w:val="hy-AM"/>
        </w:rPr>
        <w:t>:</w:t>
      </w:r>
      <w:r>
        <w:rPr>
          <w:rFonts w:ascii="GHEA Grapalat" w:eastAsia="GHEA Grapalat" w:hAnsi="GHEA Grapalat" w:cs="GHEA Grapalat"/>
          <w:lang w:val="hy-AM"/>
        </w:rPr>
        <w:t xml:space="preserve"> </w:t>
      </w:r>
    </w:p>
    <w:p w14:paraId="153B1056" w14:textId="44E7D538" w:rsidR="00892ECB" w:rsidRPr="00E926DF" w:rsidRDefault="00892ECB" w:rsidP="00892ECB">
      <w:pPr>
        <w:spacing w:line="360" w:lineRule="auto"/>
        <w:ind w:firstLine="567"/>
        <w:jc w:val="both"/>
        <w:rPr>
          <w:rFonts w:ascii="GHEA Grapalat" w:eastAsia="GHEA Grapalat" w:hAnsi="GHEA Grapalat" w:cs="GHEA Grapalat"/>
          <w:lang w:val="hy-AM"/>
        </w:rPr>
      </w:pPr>
      <w:r w:rsidRPr="00037F56">
        <w:rPr>
          <w:rFonts w:ascii="GHEA Grapalat" w:eastAsia="GHEA Grapalat" w:hAnsi="GHEA Grapalat" w:cs="GHEA Grapalat"/>
          <w:b/>
          <w:lang w:val="hy-AM"/>
        </w:rPr>
        <w:t>Սլովակիայի</w:t>
      </w:r>
      <w:r w:rsidRPr="00430F33">
        <w:rPr>
          <w:rFonts w:ascii="GHEA Grapalat" w:eastAsia="GHEA Grapalat" w:hAnsi="GHEA Grapalat" w:cs="GHEA Grapalat"/>
          <w:lang w:val="hy-AM"/>
        </w:rPr>
        <w:t xml:space="preserve"> «Դատական ծախսերի և քրեական դատավարությունից քաղվածքի վճարի վերաբերյալ» օրենքի</w:t>
      </w:r>
      <w:r>
        <w:rPr>
          <w:rStyle w:val="FootnoteReference"/>
          <w:rFonts w:ascii="GHEA Grapalat" w:eastAsia="GHEA Grapalat" w:hAnsi="GHEA Grapalat" w:cs="GHEA Grapalat"/>
          <w:lang w:val="hy-AM"/>
        </w:rPr>
        <w:footnoteReference w:id="6"/>
      </w:r>
      <w:r w:rsidRPr="00430F33">
        <w:rPr>
          <w:rFonts w:ascii="GHEA Grapalat" w:eastAsia="GHEA Grapalat" w:hAnsi="GHEA Grapalat" w:cs="GHEA Grapalat"/>
          <w:lang w:val="hy-AM"/>
        </w:rPr>
        <w:t xml:space="preserve"> 7-րդ հոդվածի համաձայն՝ տոկոսային դրույքաչափով տուրքի հիմք է հանդիսանում վճարի գործարքի առարկայի գինը, իսկ նույն օրենքի 6-րդ հոդվածի համաձայն՝ Վճարների դրույքաչափը նշվում է վճարների ժամանակացույցում որպես վճարի բազայի տոկոս (այսուհետ` տոկոսային դրույքաչափ) կամ ֆիքսված գումար: Հավելված 1-ի համաձայն՝ </w:t>
      </w:r>
      <w:r w:rsidRPr="00430F33">
        <w:rPr>
          <w:rFonts w:ascii="GHEA Grapalat" w:eastAsia="GHEA Grapalat" w:hAnsi="GHEA Grapalat" w:cs="GHEA Grapalat"/>
          <w:lang w:val="hy-AM"/>
        </w:rPr>
        <w:lastRenderedPageBreak/>
        <w:t xml:space="preserve">վարույթի առարկայի գնից (վճարումից) կամ վեճի առարկայի արժեքից 6 տոկոսի չափով գանձվում է պետական տուրք (6%, առնվազն 16,50 եվրո, առավելագույնը 16,596,50 եվրո բիզնեսի հարցերում առավելագույնը 33,193,50 եվրո): </w:t>
      </w:r>
      <w:r w:rsidR="00F97F37">
        <w:rPr>
          <w:rFonts w:ascii="GHEA Grapalat" w:eastAsia="GHEA Grapalat" w:hAnsi="GHEA Grapalat" w:cs="GHEA Grapalat"/>
          <w:lang w:val="hy-AM"/>
        </w:rPr>
        <w:t>Այսպիսով` ստացվում</w:t>
      </w:r>
      <w:r w:rsidRPr="00430F33">
        <w:rPr>
          <w:rFonts w:ascii="GHEA Grapalat" w:eastAsia="GHEA Grapalat" w:hAnsi="GHEA Grapalat" w:cs="GHEA Grapalat"/>
          <w:lang w:val="hy-AM"/>
        </w:rPr>
        <w:t xml:space="preserve"> է պայմանագրի գնից գանձվում է համապատասխան չափով պետական տուրք:</w:t>
      </w:r>
    </w:p>
    <w:p w14:paraId="15EE7987"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037F56">
        <w:rPr>
          <w:rFonts w:ascii="GHEA Grapalat" w:eastAsia="GHEA Grapalat" w:hAnsi="GHEA Grapalat" w:cs="GHEA Grapalat"/>
          <w:b/>
          <w:lang w:val="hy-AM"/>
        </w:rPr>
        <w:t>Լատվիայի</w:t>
      </w:r>
      <w:r w:rsidRPr="00430F33">
        <w:rPr>
          <w:rFonts w:ascii="GHEA Grapalat" w:eastAsia="GHEA Grapalat" w:hAnsi="GHEA Grapalat" w:cs="GHEA Grapalat"/>
          <w:lang w:val="hy-AM"/>
        </w:rPr>
        <w:t xml:space="preserve"> քաղաքացիական դատավարության օրենսգիրքը</w:t>
      </w:r>
      <w:r>
        <w:rPr>
          <w:rStyle w:val="FootnoteReference"/>
          <w:rFonts w:ascii="GHEA Grapalat" w:eastAsia="GHEA Grapalat" w:hAnsi="GHEA Grapalat" w:cs="GHEA Grapalat"/>
          <w:lang w:val="hy-AM"/>
        </w:rPr>
        <w:footnoteReference w:id="7"/>
      </w:r>
      <w:r w:rsidRPr="00430F33">
        <w:rPr>
          <w:rFonts w:ascii="GHEA Grapalat" w:eastAsia="GHEA Grapalat" w:hAnsi="GHEA Grapalat" w:cs="GHEA Grapalat"/>
          <w:lang w:val="hy-AM"/>
        </w:rPr>
        <w:t xml:space="preserve"> պետական տուրքերի համար նախատեսում է գույքային և ոչ գույքային պահանջները, ինչպես նաև այլ պահանջներ: Համաձայն օրենսգրքի 34-րդ հոդվածի 1-ին մասի 1-ին կետի՝ դրամական չափով գնահատվող պահանջների համար գանձվում է պետական տուրք ըստ պահանջի չափի նկատմամբ տոկոսային հարաբերակցությամբ, իսկ նույն մասի 4-րդ կետի համաձայն՝ պահանջները, որոնց բնույթը գույքային չէ կամ չի պահանջվում գնահատում գանձվում է պետական տուրք 70 եվրոյին չափով: Օրենսգրքի 35-րդ հոդվածի 1-ին մասի 11-րդ կետի համաձայն՝ պահանջի չափը կազմում է՝ գործարքը լուծելու կամ անվավեր ճանաչելու պահանջ ներկայացվելու դեպքում - վեճի առարկա պայմանագրի գինը: </w:t>
      </w:r>
    </w:p>
    <w:p w14:paraId="78B8F20D"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Լատվիային քաղաքացիական դատավարության օրենսգրքի վերը նշված իրավական դրույթներից կարել է եզրակացնել, որ եթե պայմանագիրը լուծելու կամ անվավեր ճանաչելու պահանջ է ներկայացվել, ապա նման դեպքում պահանջի չափը հաշվում է վեճի առարկա պայմանագրի առարկային գնի հիման վրա, որից և որոշվում է պահանջի գույքային բնույթը և փաստորեն պետական տուրք գանձվում է 34-րդ հոդվածի 1-ին մասի 1-ին կետի կանոններով:</w:t>
      </w:r>
    </w:p>
    <w:p w14:paraId="6A2ADDE6" w14:textId="77777777" w:rsidR="00892ECB"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 xml:space="preserve">Սահմանվում են հետևյալ չափերը. </w:t>
      </w:r>
    </w:p>
    <w:p w14:paraId="098FA018"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1) դրամական գումարով գնահատվող պահանջների համար</w:t>
      </w:r>
      <w:r>
        <w:rPr>
          <w:rFonts w:ascii="GHEA Grapalat" w:eastAsia="GHEA Grapalat" w:hAnsi="GHEA Grapalat" w:cs="GHEA Grapalat"/>
          <w:lang w:val="hy-AM"/>
        </w:rPr>
        <w:t>.</w:t>
      </w:r>
    </w:p>
    <w:p w14:paraId="65FD5C88"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ա) մինչև 2134 եվրո - պահանջվող գումարի 15 տոկոսը, բայց ոչ պակաս, քան 70 եվրո,</w:t>
      </w:r>
    </w:p>
    <w:p w14:paraId="43D3C6DD"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բ) 2135 եվրոյից մինչև 7114 եվրո՝ 320 եվրո գումարած 2134 եվրոն գերազանցող պահանջվող գումարի 4 տոկոսը.</w:t>
      </w:r>
    </w:p>
    <w:p w14:paraId="2E80F6FC"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lastRenderedPageBreak/>
        <w:t>գ) 7115 եվրոյից մինչև 28 457 եվրո՝ 520 եվրո գումարած 7114 եվրոն գերազանցող պահանջվող գումարի 3,2 տոկոսը,</w:t>
      </w:r>
    </w:p>
    <w:p w14:paraId="248FEE33"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դ) 28 458 եվրոյից մինչև 142 287 եվրո՝ 1200 եվրո գումարած 28 457 եվրոն գերազանցող պահանջվող գումարի 1,6 տոկոսը,</w:t>
      </w:r>
    </w:p>
    <w:p w14:paraId="40B1ED66"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ե) 142 288 եվրոյից մինչև 711 435 եվրո՝ 3025 եվրո գումարած 142 287 եվրոն գերազանցող պահանջվող գումարի 1 տոկոսը,</w:t>
      </w:r>
    </w:p>
    <w:p w14:paraId="04ED37DA"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զ) 711 435 եվրոն գերազանցող - 8715 եվրո գումարած 711 435 եվրոն գերազանցող պահանջվող գումարի 0,6 տոկոսը.</w:t>
      </w:r>
    </w:p>
    <w:p w14:paraId="1B8458D9" w14:textId="372A3536" w:rsidR="00892ECB" w:rsidRPr="00430F33"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Այսպիսով, Լատ</w:t>
      </w:r>
      <w:r w:rsidR="00F97F37">
        <w:rPr>
          <w:rFonts w:ascii="GHEA Grapalat" w:eastAsia="GHEA Grapalat" w:hAnsi="GHEA Grapalat" w:cs="GHEA Grapalat"/>
          <w:lang w:val="hy-AM"/>
        </w:rPr>
        <w:t>վիայի</w:t>
      </w:r>
      <w:r w:rsidRPr="00430F33">
        <w:rPr>
          <w:rFonts w:ascii="GHEA Grapalat" w:eastAsia="GHEA Grapalat" w:hAnsi="GHEA Grapalat" w:cs="GHEA Grapalat"/>
          <w:lang w:val="hy-AM"/>
        </w:rPr>
        <w:t xml:space="preserve"> քաղաքացիական դատավարության օրենսգիրքը թույլ է տալիս պայմանագրի անվավերության պահանջ ներկայացնելու պարագայում պետական տուրքի չափը որոշել վեճի առարկա պայմանագրի գնից:</w:t>
      </w:r>
    </w:p>
    <w:p w14:paraId="3F514E94"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037F56">
        <w:rPr>
          <w:rFonts w:ascii="GHEA Grapalat" w:eastAsia="GHEA Grapalat" w:hAnsi="GHEA Grapalat" w:cs="GHEA Grapalat"/>
          <w:b/>
          <w:lang w:val="hy-AM"/>
        </w:rPr>
        <w:t>Լիտվայի</w:t>
      </w:r>
      <w:r w:rsidRPr="00430F33">
        <w:rPr>
          <w:rFonts w:ascii="GHEA Grapalat" w:eastAsia="GHEA Grapalat" w:hAnsi="GHEA Grapalat" w:cs="GHEA Grapalat"/>
          <w:lang w:val="hy-AM"/>
        </w:rPr>
        <w:t xml:space="preserve"> քաղաքացիական դատավարության օրենսգրքի</w:t>
      </w:r>
      <w:r>
        <w:rPr>
          <w:rStyle w:val="FootnoteReference"/>
          <w:rFonts w:ascii="GHEA Grapalat" w:eastAsia="GHEA Grapalat" w:hAnsi="GHEA Grapalat" w:cs="GHEA Grapalat"/>
          <w:lang w:val="hy-AM"/>
        </w:rPr>
        <w:footnoteReference w:id="8"/>
      </w:r>
      <w:r w:rsidRPr="00430F33">
        <w:rPr>
          <w:rFonts w:ascii="GHEA Grapalat" w:eastAsia="GHEA Grapalat" w:hAnsi="GHEA Grapalat" w:cs="GHEA Grapalat"/>
          <w:lang w:val="hy-AM"/>
        </w:rPr>
        <w:t xml:space="preserve"> 80-րդ հոդվածի 1-ին մասի  1-ին կետի համաձայն՝ </w:t>
      </w:r>
      <w:r>
        <w:rPr>
          <w:rFonts w:ascii="GHEA Grapalat" w:eastAsia="GHEA Grapalat" w:hAnsi="GHEA Grapalat" w:cs="GHEA Grapalat"/>
          <w:lang w:val="hy-AM"/>
        </w:rPr>
        <w:t xml:space="preserve">տուրքը գանձվում է </w:t>
      </w:r>
      <w:r w:rsidRPr="00430F33">
        <w:rPr>
          <w:rFonts w:ascii="GHEA Grapalat" w:eastAsia="GHEA Grapalat" w:hAnsi="GHEA Grapalat" w:cs="GHEA Grapalat"/>
          <w:lang w:val="hy-AM"/>
        </w:rPr>
        <w:t>գույքային վեճերում՝ պահանջի չափից՝ մինչև երեսուն հազար եվրո՝ 3 տոկոս, բայց ոչ պակաս, քան քսան եվրո. երեսուն հազար եվրոյից մինչև հարյուր հազար եվրո գերազանցող գումարից՝ ինը հարյուր եվրո գումարած պահանջի գումարի 2 տոկոսը. հարյուր հազար եվրոն գերազանցող գումարից՝ երկու հազար երեք հարյուր եվրո գումարած հարյուր հազար եվրոն գերազանցող պահանջի գումարի 1 տոկոսը: Գույքային վեճերում տուրքի ընդհանուր գումարը չի կարող գերազանցել տասնհինգ հազար եվրոն</w:t>
      </w:r>
      <w:r>
        <w:rPr>
          <w:rFonts w:ascii="GHEA Grapalat" w:eastAsia="GHEA Grapalat" w:hAnsi="GHEA Grapalat" w:cs="GHEA Grapalat"/>
          <w:lang w:val="hy-AM"/>
        </w:rPr>
        <w:t>:</w:t>
      </w:r>
      <w:r w:rsidRPr="00430F33">
        <w:rPr>
          <w:rFonts w:ascii="GHEA Grapalat" w:eastAsia="GHEA Grapalat" w:hAnsi="GHEA Grapalat" w:cs="GHEA Grapalat"/>
          <w:lang w:val="hy-AM"/>
        </w:rPr>
        <w:t xml:space="preserve"> Նույն մասի 2-րդ կետի համաձայն՝ պայմանագրի փոփոխության հետ կապված (փոփոխելու, լուծելու և այլն) վճարվում է 200 եվրո, բացառությամբ պայմանագրերի գույքային բնույթի դրույթների փոփոխման հետ կապված վեճերի: Նույն օրենսգրքի 85-րդ հոդվածը կարգավորում է պահանջի չափը: Մասնավորապես համաձայն նույն հոդվածի 1-ին մասի 11-րդ կետի</w:t>
      </w:r>
      <w:r>
        <w:rPr>
          <w:rFonts w:ascii="GHEA Grapalat" w:eastAsia="GHEA Grapalat" w:hAnsi="GHEA Grapalat" w:cs="GHEA Grapalat"/>
          <w:lang w:val="hy-AM"/>
        </w:rPr>
        <w:t>՝</w:t>
      </w:r>
      <w:r w:rsidRPr="00430F33">
        <w:rPr>
          <w:rFonts w:ascii="GHEA Grapalat" w:eastAsia="GHEA Grapalat" w:hAnsi="GHEA Grapalat" w:cs="GHEA Grapalat"/>
          <w:lang w:val="hy-AM"/>
        </w:rPr>
        <w:t xml:space="preserve"> պահանջի չափը որոշվում է հետևյալ կերպ. գործարքների անվավերության դեպքում՝ համաձայն այն գումարի չափի, որը պետք է վերադարձվի պատասխանողի կողմից, կամ պատասխանողին վերադարձվելիք գույքի շուկայական արժեքով, </w:t>
      </w:r>
      <w:r w:rsidRPr="00430F33">
        <w:rPr>
          <w:rFonts w:ascii="GHEA Grapalat" w:eastAsia="GHEA Grapalat" w:hAnsi="GHEA Grapalat" w:cs="GHEA Grapalat"/>
          <w:lang w:val="hy-AM"/>
        </w:rPr>
        <w:lastRenderedPageBreak/>
        <w:t xml:space="preserve">եթե ռեստիտուցիան կիրառվում է գործարքն անվավեր ճանաչվելու դեպքում: Օրենսգրքի 80-րդ հոդվածի 1-ին մասի 1-ին կետը վերաբերում է գույքային պահանջներին, որի համաձայն պահանջի չափը որոշվում է պահանջի չափի նկատմամբ տոկոսային հարաբերակցությամբ: </w:t>
      </w:r>
    </w:p>
    <w:p w14:paraId="2D406420"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E926DF">
        <w:rPr>
          <w:rFonts w:ascii="GHEA Grapalat" w:eastAsia="GHEA Grapalat" w:hAnsi="GHEA Grapalat" w:cs="GHEA Grapalat"/>
          <w:lang w:val="hy-AM"/>
        </w:rPr>
        <w:t>Լիտվայի</w:t>
      </w:r>
      <w:r w:rsidRPr="00430F33">
        <w:rPr>
          <w:rFonts w:ascii="GHEA Grapalat" w:eastAsia="GHEA Grapalat" w:hAnsi="GHEA Grapalat" w:cs="GHEA Grapalat"/>
          <w:lang w:val="hy-AM"/>
        </w:rPr>
        <w:t xml:space="preserve"> քաղաքացիական դատավարության օրենսգրքի վերը նշված դրույթներից կարող ենք եզրակացնել, որ պայմանագրի անվավերության պահանջ ներկայացնելու պարագայում պետական տուրքը հավասար է ըստ պատասխանողի կողմից վերադարձվելիք գումարների կամ պատասխանողի կողմից վերադարձվող ակտիվների շուկայական արժեքի և համապատասխան տոկոսային հարաբերակցության թվի արտադրյալին, բաժանած 100%-ի, եթե գործարքը անվավեր ճանաչվելու դեպքում կկիրառվի ռեստիտուցիա:</w:t>
      </w:r>
    </w:p>
    <w:p w14:paraId="1A4DE9BB" w14:textId="649EECD9" w:rsidR="00892ECB" w:rsidRPr="00430F33" w:rsidRDefault="00F97F37" w:rsidP="00892ECB">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Այսպիսով</w:t>
      </w:r>
      <w:r w:rsidR="00892ECB" w:rsidRPr="00430F33">
        <w:rPr>
          <w:rFonts w:ascii="GHEA Grapalat" w:eastAsia="GHEA Grapalat" w:hAnsi="GHEA Grapalat" w:cs="GHEA Grapalat"/>
          <w:lang w:val="hy-AM"/>
        </w:rPr>
        <w:t xml:space="preserve">, կարծում ենք Լիտվայի քաղաքացիական դատավարության օրենսգիրքը </w:t>
      </w:r>
      <w:r>
        <w:rPr>
          <w:rFonts w:ascii="GHEA Grapalat" w:eastAsia="GHEA Grapalat" w:hAnsi="GHEA Grapalat" w:cs="GHEA Grapalat"/>
          <w:lang w:val="hy-AM"/>
        </w:rPr>
        <w:t>նախադրյալներ</w:t>
      </w:r>
      <w:r w:rsidR="00892ECB" w:rsidRPr="00430F33">
        <w:rPr>
          <w:rFonts w:ascii="GHEA Grapalat" w:eastAsia="GHEA Grapalat" w:hAnsi="GHEA Grapalat" w:cs="GHEA Grapalat"/>
          <w:lang w:val="hy-AM"/>
        </w:rPr>
        <w:t xml:space="preserve"> է ստեղծել պայմանագրի անվավերությունից բխող վեճերով, որոնք ունեն գույքային բնույթ, պետական տուրքը գանձել գույքային պահանջներին ներկայացվող նորմերով՝ համապատասխան տոկոսային հարաբերակցությամբ:</w:t>
      </w:r>
    </w:p>
    <w:p w14:paraId="3A0C7710"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037F56">
        <w:rPr>
          <w:rFonts w:ascii="GHEA Grapalat" w:eastAsia="GHEA Grapalat" w:hAnsi="GHEA Grapalat" w:cs="GHEA Grapalat"/>
          <w:b/>
          <w:lang w:val="hy-AM"/>
        </w:rPr>
        <w:t>Սերբիայի</w:t>
      </w:r>
      <w:r w:rsidRPr="00430F33">
        <w:rPr>
          <w:rFonts w:ascii="GHEA Grapalat" w:eastAsia="GHEA Grapalat" w:hAnsi="GHEA Grapalat" w:cs="GHEA Grapalat"/>
          <w:lang w:val="hy-AM"/>
        </w:rPr>
        <w:t xml:space="preserve"> քաղաքացիական դատավարության օրենսգրքի</w:t>
      </w:r>
      <w:r>
        <w:rPr>
          <w:rStyle w:val="FootnoteReference"/>
          <w:rFonts w:ascii="GHEA Grapalat" w:eastAsia="GHEA Grapalat" w:hAnsi="GHEA Grapalat" w:cs="GHEA Grapalat"/>
          <w:lang w:val="hy-AM"/>
        </w:rPr>
        <w:footnoteReference w:id="9"/>
      </w:r>
      <w:r w:rsidRPr="00430F33">
        <w:rPr>
          <w:rFonts w:ascii="GHEA Grapalat" w:eastAsia="GHEA Grapalat" w:hAnsi="GHEA Grapalat" w:cs="GHEA Grapalat"/>
          <w:lang w:val="hy-AM"/>
        </w:rPr>
        <w:t xml:space="preserve"> 32-րդ հոդվածի համաձայն՝ եթե հայցով պահանջվում է գույքային իրավունքներ կամ գույքի նկատմամբ այլ իրական իրավունքներ հաստատել, անշարժ գույք ունեցող պայմանագրի անվավերության, առոչնչության կամ լուծելու հարց որոշել, դատավարության առարկայի արժեքը որոշվում է շուկայի անշարժ գույքի կամ դրա անբաժանելի մասի շուկայական արժեքից: </w:t>
      </w:r>
    </w:p>
    <w:p w14:paraId="0B406946" w14:textId="77777777" w:rsidR="00892ECB" w:rsidRPr="00430F33" w:rsidRDefault="00892ECB" w:rsidP="00892ECB">
      <w:pPr>
        <w:spacing w:line="360" w:lineRule="auto"/>
        <w:ind w:firstLine="567"/>
        <w:jc w:val="both"/>
        <w:rPr>
          <w:rFonts w:ascii="GHEA Grapalat" w:eastAsia="GHEA Grapalat" w:hAnsi="GHEA Grapalat" w:cs="GHEA Grapalat"/>
          <w:lang w:val="hy-AM"/>
        </w:rPr>
      </w:pPr>
      <w:r w:rsidRPr="00430F33">
        <w:rPr>
          <w:rFonts w:ascii="GHEA Grapalat" w:eastAsia="GHEA Grapalat" w:hAnsi="GHEA Grapalat" w:cs="GHEA Grapalat"/>
          <w:lang w:val="hy-AM"/>
        </w:rPr>
        <w:t>Ընդհանուր իրավասության դատարան ներկայացված հայցադիմումի և հակընդդեմ հայցի համար դատական տուրքը վճարվում է՝ ելնելով վեճի առարկայի արժեքից՝ հետևյալ կերպ</w:t>
      </w:r>
      <w:r>
        <w:rPr>
          <w:rStyle w:val="FootnoteReference"/>
          <w:rFonts w:ascii="GHEA Grapalat" w:eastAsia="GHEA Grapalat" w:hAnsi="GHEA Grapalat" w:cs="GHEA Grapalat"/>
          <w:lang w:val="hy-AM"/>
        </w:rPr>
        <w:footnoteReference w:id="10"/>
      </w:r>
      <w:r w:rsidRPr="00430F33">
        <w:rPr>
          <w:rFonts w:ascii="GHEA Grapalat" w:eastAsia="GHEA Grapalat" w:hAnsi="GHEA Grapalat" w:cs="GHEA Grapalat"/>
          <w:lang w:val="hy-AM"/>
        </w:rPr>
        <w:t>.</w:t>
      </w:r>
    </w:p>
    <w:p w14:paraId="41134858"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Մինչև 10000 դինար արժեք – 1900 դինար վճար:</w:t>
      </w:r>
    </w:p>
    <w:p w14:paraId="1BCB2E5D"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lastRenderedPageBreak/>
        <w:t>Ավելի քան 10000-ից մինչև 100000 դինար արժեք՝ 1900 դինար վճար՝ գումարած վեճի առարկայի արժեքի 4%-ը:</w:t>
      </w:r>
    </w:p>
    <w:p w14:paraId="5CBE69D2"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Ավելի քան 100,000-ից մինչև 500,000 դինար արժեք՝ 9800 դինար վճար՝ գումարած վեճի առարկայի արժեքի 2%-ը:</w:t>
      </w:r>
    </w:p>
    <w:p w14:paraId="0FEE746F"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Ավելի քան 500,000-ից մինչև 1,000,000 դինար արժեք՝ 29,300 դինար վճար՝ գումարած վեճի առարկայի արժեքի 1%-ը:</w:t>
      </w:r>
    </w:p>
    <w:p w14:paraId="49F58351" w14:textId="77777777" w:rsidR="00892ECB" w:rsidRPr="00430F33"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Ավելի քան 1,000,000 դինար արժեք – վճար 48,800 դինար գումարած վեճի արժեքի 0,5%-ը, մինչև առավելագույնը 97,500 դինար:</w:t>
      </w:r>
    </w:p>
    <w:p w14:paraId="6ABB8EB8" w14:textId="77777777" w:rsidR="00892ECB" w:rsidRDefault="00892ECB" w:rsidP="00892ECB">
      <w:pPr>
        <w:spacing w:line="360" w:lineRule="auto"/>
        <w:jc w:val="both"/>
        <w:rPr>
          <w:rFonts w:ascii="GHEA Grapalat" w:eastAsia="GHEA Grapalat" w:hAnsi="GHEA Grapalat" w:cs="GHEA Grapalat"/>
          <w:lang w:val="hy-AM"/>
        </w:rPr>
      </w:pPr>
      <w:r w:rsidRPr="00430F33">
        <w:rPr>
          <w:rFonts w:ascii="GHEA Grapalat" w:eastAsia="GHEA Grapalat" w:hAnsi="GHEA Grapalat" w:cs="GHEA Grapalat"/>
          <w:lang w:val="hy-AM"/>
        </w:rPr>
        <w:t>Սերբիայի օրենսդրության համաձայն՝ այն պայմանագրերի անվավերության պահանջի դեպքում, որոնց առարկան անշարժ գույքն է, հայցի առարկայի արժեքը որոշվում է դրա շուկայական գնով, իսկ պետական տուրքը համապատասխան ֆիքսված վճարով և տոկոսային հարաբերակցությամբ հայցի առարկայի արժեքի նկատմամբ:</w:t>
      </w:r>
    </w:p>
    <w:p w14:paraId="3632C321" w14:textId="77777777" w:rsidR="00E330A0" w:rsidRDefault="00892ECB" w:rsidP="00892E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ab/>
        <w:t>Այսպիսով, միջազգային փորձը ևս վկայում է այն մասին, որ պայմանագրերի անվավերության պահանջ ներկայացնելուց տարբեր դեպքերում պետական տուրքը կարող է գանձվել նաև պայմանագրի գնով պայմանավորված որոշվող չափով:</w:t>
      </w:r>
      <w:r w:rsidR="00E330A0">
        <w:rPr>
          <w:rFonts w:ascii="GHEA Grapalat" w:eastAsia="GHEA Grapalat" w:hAnsi="GHEA Grapalat" w:cs="GHEA Grapalat"/>
          <w:lang w:val="hy-AM"/>
        </w:rPr>
        <w:t xml:space="preserve"> </w:t>
      </w:r>
    </w:p>
    <w:p w14:paraId="385F0FF2" w14:textId="27C65F66" w:rsidR="00892ECB" w:rsidRDefault="00E330A0" w:rsidP="00EC4780">
      <w:pPr>
        <w:spacing w:line="360" w:lineRule="auto"/>
        <w:ind w:firstLine="567"/>
        <w:jc w:val="both"/>
        <w:rPr>
          <w:rFonts w:ascii="GHEA Grapalat" w:eastAsia="GHEA Grapalat" w:hAnsi="GHEA Grapalat" w:cs="GHEA Grapalat"/>
          <w:lang w:val="hy-AM"/>
        </w:rPr>
      </w:pPr>
      <w:r>
        <w:rPr>
          <w:rFonts w:ascii="GHEA Grapalat" w:eastAsia="GHEA Grapalat" w:hAnsi="GHEA Grapalat" w:cs="GHEA Grapalat"/>
          <w:lang w:val="hy-AM"/>
        </w:rPr>
        <w:t xml:space="preserve">Միևնույն ժամանակ, հաշվի առնելով, ձեռնարկատիրական գործունեության և կորպորատիվ իրավահարաբերությունների առանձնահատկությունները, հատկապես, դրանց մասնակիցների առավել պրոֆեսիոնալիզմն ու, այսպես կոչված, ձեռնարկատիրական ռիսկը, ինչով պայմանավորված ենթադրվում է, որ դրանք առավել աչալուրջ պետք է լինեն պայմանագրային իրավահարաբերությունների մեջ մտնելիս՝ թույլ չտալով հետագայում իրենց գործարքների ու պայմանագրերի անվավերության հիմքերի ի հայտ գալը, առաջարկվում է ներկայումս գործարքների կամ պայմանագրերի վավերությունը վիճարկելու համար տուրքը նախատեսել, միայն ձեռնարկատիրական գործունեությունից կամ կորպորատիվ իրավահարաբերություններից բխող գործարքների վիճարկման պահանջների նկատմամբ: Ընդ որում, ձեռնարկատիրական գործունեության հասկացությունը բխում է Հայաստանի </w:t>
      </w:r>
      <w:r>
        <w:rPr>
          <w:rFonts w:ascii="GHEA Grapalat" w:eastAsia="GHEA Grapalat" w:hAnsi="GHEA Grapalat" w:cs="GHEA Grapalat"/>
          <w:lang w:val="hy-AM"/>
        </w:rPr>
        <w:lastRenderedPageBreak/>
        <w:t xml:space="preserve">Հանրապետության քաղաքացիական օրենսգրքից, իսկ կորպորատիվ իրավահարաբերություններից բխող վեճերի շրջանակը սահմանված է Հայաստանի Հանրապետության քաղաքացիական դատավարության </w:t>
      </w:r>
      <w:r w:rsidR="00F2216E">
        <w:rPr>
          <w:rFonts w:ascii="GHEA Grapalat" w:eastAsia="GHEA Grapalat" w:hAnsi="GHEA Grapalat" w:cs="GHEA Grapalat"/>
          <w:lang w:val="hy-AM"/>
        </w:rPr>
        <w:t>օրենսգրքով</w:t>
      </w:r>
      <w:r>
        <w:rPr>
          <w:rFonts w:ascii="GHEA Grapalat" w:eastAsia="GHEA Grapalat" w:hAnsi="GHEA Grapalat" w:cs="GHEA Grapalat"/>
          <w:lang w:val="hy-AM"/>
        </w:rPr>
        <w:t>:</w:t>
      </w:r>
    </w:p>
    <w:p w14:paraId="31F38E5B" w14:textId="77777777" w:rsidR="00892ECB" w:rsidRPr="00430F33" w:rsidRDefault="00892ECB" w:rsidP="00892ECB">
      <w:pPr>
        <w:spacing w:line="360" w:lineRule="auto"/>
        <w:jc w:val="both"/>
        <w:rPr>
          <w:rFonts w:ascii="GHEA Grapalat" w:eastAsia="GHEA Grapalat" w:hAnsi="GHEA Grapalat" w:cs="GHEA Grapalat"/>
          <w:lang w:val="hy-AM"/>
        </w:rPr>
      </w:pPr>
    </w:p>
    <w:p w14:paraId="67A911EC" w14:textId="5E00A96A" w:rsidR="00892ECB" w:rsidRDefault="00892ECB" w:rsidP="00892ECB">
      <w:pPr>
        <w:pStyle w:val="NormalWeb"/>
        <w:shd w:val="clear" w:color="auto" w:fill="FFFFFF"/>
        <w:spacing w:before="0" w:beforeAutospacing="0" w:after="0" w:afterAutospacing="0" w:line="360" w:lineRule="auto"/>
        <w:ind w:firstLine="567"/>
        <w:jc w:val="both"/>
        <w:rPr>
          <w:rFonts w:ascii="GHEA Grapalat" w:hAnsi="GHEA Grapalat"/>
          <w:b/>
          <w:lang w:val="hy-AM" w:eastAsia="ru-RU"/>
        </w:rPr>
      </w:pPr>
      <w:r w:rsidRPr="00827E7F">
        <w:rPr>
          <w:rFonts w:ascii="GHEA Grapalat" w:hAnsi="GHEA Grapalat"/>
          <w:u w:val="single"/>
          <w:lang w:val="hy-AM"/>
        </w:rPr>
        <w:t>1.</w:t>
      </w:r>
      <w:r w:rsidRPr="00037F56">
        <w:rPr>
          <w:rFonts w:ascii="GHEA Grapalat" w:hAnsi="GHEA Grapalat"/>
          <w:u w:val="single"/>
          <w:lang w:val="hy-AM"/>
        </w:rPr>
        <w:t>2</w:t>
      </w:r>
      <w:r w:rsidRPr="00827E7F">
        <w:rPr>
          <w:rFonts w:ascii="GHEA Grapalat" w:hAnsi="GHEA Grapalat"/>
          <w:u w:val="single"/>
          <w:lang w:val="hy-AM"/>
        </w:rPr>
        <w:t xml:space="preserve">. </w:t>
      </w:r>
      <w:r>
        <w:rPr>
          <w:rFonts w:ascii="GHEA Grapalat" w:hAnsi="GHEA Grapalat"/>
          <w:u w:val="single"/>
          <w:lang w:val="hy-AM"/>
        </w:rPr>
        <w:t>Ակնհայտ անհիմն հայց ներկայացնել</w:t>
      </w:r>
      <w:r w:rsidR="00B26BD2">
        <w:rPr>
          <w:rFonts w:ascii="GHEA Grapalat" w:hAnsi="GHEA Grapalat"/>
          <w:u w:val="single"/>
          <w:lang w:val="hy-AM"/>
        </w:rPr>
        <w:t>ը որպես հայցադիմումի ընդունումը մերժելու հիմք</w:t>
      </w:r>
      <w:r w:rsidRPr="00827E7F">
        <w:rPr>
          <w:rFonts w:ascii="GHEA Grapalat" w:hAnsi="GHEA Grapalat"/>
          <w:u w:val="single"/>
          <w:lang w:val="hy-AM"/>
        </w:rPr>
        <w:t>.</w:t>
      </w:r>
      <w:r w:rsidRPr="00E23436">
        <w:rPr>
          <w:rFonts w:ascii="GHEA Grapalat" w:hAnsi="GHEA Grapalat"/>
          <w:b/>
          <w:lang w:val="hy-AM" w:eastAsia="ru-RU"/>
        </w:rPr>
        <w:t xml:space="preserve"> </w:t>
      </w:r>
    </w:p>
    <w:p w14:paraId="4AA1F613" w14:textId="0EF62EBB" w:rsidR="00941CF4" w:rsidRDefault="00892ECB" w:rsidP="00892EC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 xml:space="preserve">Անձիք, իրացնելով Սահմանադրությամբ երաշխավորված դատական պաշտպանության իրավունքը, հաճախ </w:t>
      </w:r>
      <w:r w:rsidR="00A00FC2">
        <w:rPr>
          <w:rFonts w:ascii="GHEA Grapalat" w:hAnsi="GHEA Grapalat"/>
          <w:shd w:val="clear" w:color="auto" w:fill="FFFFFF"/>
          <w:lang w:val="hy-AM"/>
        </w:rPr>
        <w:t>ոչ իրավաչափորեն</w:t>
      </w:r>
      <w:r>
        <w:rPr>
          <w:rFonts w:ascii="GHEA Grapalat" w:hAnsi="GHEA Grapalat"/>
          <w:shd w:val="clear" w:color="auto" w:fill="FFFFFF"/>
          <w:lang w:val="hy-AM"/>
        </w:rPr>
        <w:t xml:space="preserve"> արհեստական հայցադիմումներ են ներկայացնում դատարան՝ միևնույն ժամանակ</w:t>
      </w:r>
      <w:r w:rsidR="009B6B17">
        <w:rPr>
          <w:rFonts w:ascii="GHEA Grapalat" w:hAnsi="GHEA Grapalat"/>
          <w:shd w:val="clear" w:color="auto" w:fill="FFFFFF"/>
          <w:lang w:val="hy-AM"/>
        </w:rPr>
        <w:t>,</w:t>
      </w:r>
      <w:r>
        <w:rPr>
          <w:rFonts w:ascii="GHEA Grapalat" w:hAnsi="GHEA Grapalat"/>
          <w:shd w:val="clear" w:color="auto" w:fill="FFFFFF"/>
          <w:lang w:val="hy-AM"/>
        </w:rPr>
        <w:t xml:space="preserve"> անհիմն կերպով ծանրաբեռնելով դատական համակարգը: Այս նկատառումից ելնելով Քաղաքացիական դատավարության օրենսգրքում 2022թ.-ի դեկտեմբերի 23-ին կատարված փոփոխություններով </w:t>
      </w:r>
      <w:r w:rsidR="009B6B17">
        <w:rPr>
          <w:rFonts w:ascii="GHEA Grapalat" w:hAnsi="GHEA Grapalat"/>
          <w:shd w:val="clear" w:color="auto" w:fill="FFFFFF"/>
          <w:lang w:val="hy-AM"/>
        </w:rPr>
        <w:t xml:space="preserve">օրենսգրքի </w:t>
      </w:r>
      <w:r>
        <w:rPr>
          <w:rFonts w:ascii="GHEA Grapalat" w:hAnsi="GHEA Grapalat"/>
          <w:shd w:val="clear" w:color="auto" w:fill="FFFFFF"/>
          <w:lang w:val="hy-AM"/>
        </w:rPr>
        <w:t>303-րդ հոդվածի 1-ին մասի 8-րդ կետով որպես արագացված դատաքննության կիրառման հիմք</w:t>
      </w:r>
      <w:r w:rsidR="00B26BD2">
        <w:rPr>
          <w:rFonts w:ascii="GHEA Grapalat" w:hAnsi="GHEA Grapalat"/>
          <w:shd w:val="clear" w:color="auto" w:fill="FFFFFF"/>
          <w:lang w:val="hy-AM"/>
        </w:rPr>
        <w:t xml:space="preserve"> արդեն իսկ</w:t>
      </w:r>
      <w:r>
        <w:rPr>
          <w:rFonts w:ascii="GHEA Grapalat" w:hAnsi="GHEA Grapalat"/>
          <w:shd w:val="clear" w:color="auto" w:fill="FFFFFF"/>
          <w:lang w:val="hy-AM"/>
        </w:rPr>
        <w:t xml:space="preserve"> նախատեսվել են նաև այն դեպքերը, երբ հայցն ակնհայտ անհիմն է: Նման միջոցը ինքնուրույն վերցրած, ըստ էության, լիարժեք չի կարող ապահովել իր առջև դրված նպատակը:</w:t>
      </w:r>
      <w:r w:rsidR="00D23216">
        <w:rPr>
          <w:rFonts w:ascii="GHEA Grapalat" w:hAnsi="GHEA Grapalat"/>
          <w:shd w:val="clear" w:color="auto" w:fill="FFFFFF"/>
          <w:lang w:val="hy-AM"/>
        </w:rPr>
        <w:t xml:space="preserve"> Ավելին, առկա դատական պրակտիկան վկայում է այն մասին, որ անգամ նման դեպքերում դատարանները ստիպված են լինում էապես ավելի կարճ </w:t>
      </w:r>
      <w:r w:rsidR="00C71148">
        <w:rPr>
          <w:rFonts w:ascii="GHEA Grapalat" w:hAnsi="GHEA Grapalat"/>
          <w:shd w:val="clear" w:color="auto" w:fill="FFFFFF"/>
          <w:lang w:val="hy-AM"/>
        </w:rPr>
        <w:t xml:space="preserve">դատավարական </w:t>
      </w:r>
      <w:r w:rsidR="00D23216">
        <w:rPr>
          <w:rFonts w:ascii="GHEA Grapalat" w:hAnsi="GHEA Grapalat"/>
          <w:shd w:val="clear" w:color="auto" w:fill="FFFFFF"/>
          <w:lang w:val="hy-AM"/>
        </w:rPr>
        <w:t xml:space="preserve">ժամկետներում </w:t>
      </w:r>
      <w:r w:rsidR="00C71148">
        <w:rPr>
          <w:rFonts w:ascii="GHEA Grapalat" w:hAnsi="GHEA Grapalat"/>
          <w:shd w:val="clear" w:color="auto" w:fill="FFFFFF"/>
          <w:lang w:val="hy-AM"/>
        </w:rPr>
        <w:t>կայացնել ծավալուն և աշխատատար դատական ակտեր՝ փորձելով հիմնավոր կերպով պատճառաբանել նման հայցերի անհիմն լինելը:</w:t>
      </w:r>
      <w:r>
        <w:rPr>
          <w:rFonts w:ascii="GHEA Grapalat" w:hAnsi="GHEA Grapalat"/>
          <w:shd w:val="clear" w:color="auto" w:fill="FFFFFF"/>
          <w:lang w:val="hy-AM"/>
        </w:rPr>
        <w:t xml:space="preserve"> Ուստի, </w:t>
      </w:r>
      <w:r w:rsidR="00C71148">
        <w:rPr>
          <w:rFonts w:ascii="GHEA Grapalat" w:hAnsi="GHEA Grapalat"/>
          <w:shd w:val="clear" w:color="auto" w:fill="FFFFFF"/>
          <w:lang w:val="hy-AM"/>
        </w:rPr>
        <w:t>առավել նպատակահարմար է թվում, հայցի անհիմն լինելու առնչությամբ որոշումների կայացումը նախատեսել դատավարական ավելի վաղ փուլի, այն է՝ հայցադիմումի ընդունելիության փուլի համար, ինչը հնարավորություն կտա հենց սկզբնական փուլից անդրադառնալ հայցի անհիմն լինելու հարցին և նման պարագայում խուսափել հետագայում դատական ռեսուրսների վատնումից:</w:t>
      </w:r>
      <w:r w:rsidR="00941CF4">
        <w:rPr>
          <w:rFonts w:ascii="GHEA Grapalat" w:hAnsi="GHEA Grapalat"/>
          <w:shd w:val="clear" w:color="auto" w:fill="FFFFFF"/>
          <w:lang w:val="hy-AM"/>
        </w:rPr>
        <w:t xml:space="preserve"> Ընդ որում, նմանօրինակ իրավիճակ է նաև ոչ պատշաճ հայցվորի կողմից ներկայացված հայցադիմումների դեպքում:</w:t>
      </w:r>
    </w:p>
    <w:p w14:paraId="0A8ED0E2" w14:textId="005AFDE0" w:rsidR="00892ECB" w:rsidRDefault="00C71148" w:rsidP="00892EC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 xml:space="preserve">Ավելին, </w:t>
      </w:r>
      <w:r w:rsidR="00892ECB">
        <w:rPr>
          <w:rFonts w:ascii="GHEA Grapalat" w:hAnsi="GHEA Grapalat"/>
          <w:shd w:val="clear" w:color="auto" w:fill="FFFFFF"/>
          <w:lang w:val="hy-AM"/>
        </w:rPr>
        <w:t>նման պարագայում</w:t>
      </w:r>
      <w:r>
        <w:rPr>
          <w:rFonts w:ascii="GHEA Grapalat" w:hAnsi="GHEA Grapalat"/>
          <w:shd w:val="clear" w:color="auto" w:fill="FFFFFF"/>
          <w:lang w:val="hy-AM"/>
        </w:rPr>
        <w:t xml:space="preserve"> </w:t>
      </w:r>
      <w:r w:rsidR="00892ECB">
        <w:rPr>
          <w:rFonts w:ascii="GHEA Grapalat" w:hAnsi="GHEA Grapalat"/>
          <w:shd w:val="clear" w:color="auto" w:fill="FFFFFF"/>
          <w:lang w:val="hy-AM"/>
        </w:rPr>
        <w:t>նկատի ունենալ</w:t>
      </w:r>
      <w:r>
        <w:rPr>
          <w:rFonts w:ascii="GHEA Grapalat" w:hAnsi="GHEA Grapalat"/>
          <w:shd w:val="clear" w:color="auto" w:fill="FFFFFF"/>
          <w:lang w:val="hy-AM"/>
        </w:rPr>
        <w:t>ով</w:t>
      </w:r>
      <w:r w:rsidR="00892ECB">
        <w:rPr>
          <w:rFonts w:ascii="GHEA Grapalat" w:hAnsi="GHEA Grapalat"/>
          <w:shd w:val="clear" w:color="auto" w:fill="FFFFFF"/>
          <w:lang w:val="hy-AM"/>
        </w:rPr>
        <w:t xml:space="preserve"> </w:t>
      </w:r>
      <w:r>
        <w:rPr>
          <w:rFonts w:ascii="GHEA Grapalat" w:hAnsi="GHEA Grapalat"/>
          <w:shd w:val="clear" w:color="auto" w:fill="FFFFFF"/>
          <w:lang w:val="hy-AM"/>
        </w:rPr>
        <w:t xml:space="preserve">նաև </w:t>
      </w:r>
      <w:r w:rsidR="00892ECB">
        <w:rPr>
          <w:rFonts w:ascii="GHEA Grapalat" w:hAnsi="GHEA Grapalat"/>
          <w:shd w:val="clear" w:color="auto" w:fill="FFFFFF"/>
          <w:lang w:val="hy-AM"/>
        </w:rPr>
        <w:t xml:space="preserve">այն հանգամանքը, որ Տուրքի բնութագրիչ գծերից և դրա սահմանելու նպատակներից մեկն էլ </w:t>
      </w:r>
      <w:r w:rsidR="00892ECB" w:rsidRPr="00037F56">
        <w:rPr>
          <w:rFonts w:ascii="GHEA Grapalat" w:hAnsi="GHEA Grapalat"/>
          <w:lang w:val="hy-AM"/>
        </w:rPr>
        <w:t xml:space="preserve">ակնհայտ </w:t>
      </w:r>
      <w:r w:rsidR="00892ECB" w:rsidRPr="00037F56">
        <w:rPr>
          <w:rFonts w:ascii="GHEA Grapalat" w:hAnsi="GHEA Grapalat"/>
          <w:lang w:val="hy-AM"/>
        </w:rPr>
        <w:lastRenderedPageBreak/>
        <w:t>անհիմն հայցադիմումների հոսքը</w:t>
      </w:r>
      <w:r w:rsidR="00892ECB">
        <w:rPr>
          <w:rFonts w:ascii="GHEA Grapalat" w:hAnsi="GHEA Grapalat"/>
          <w:shd w:val="clear" w:color="auto" w:fill="FFFFFF"/>
          <w:lang w:val="hy-AM"/>
        </w:rPr>
        <w:t xml:space="preserve"> նախականխելն է, որպիսի հանգամանքը ամրագրվել է նաև Մարդու իրավունքների եվրոպական դատարանի և Սահմանադրական դատարանի որոշումներով (տե՛ս օրինակ՝ </w:t>
      </w:r>
      <w:r w:rsidR="00892ECB" w:rsidRPr="00037F56">
        <w:rPr>
          <w:rFonts w:ascii="GHEA Grapalat" w:eastAsia="GHEA Grapalat" w:hAnsi="GHEA Grapalat" w:cs="GHEA Grapalat"/>
          <w:color w:val="000000"/>
          <w:lang w:val="hy-AM"/>
        </w:rPr>
        <w:t>Սահմանադրական դատարանի՝ 10.07.2018թ.-ի թիվ ՍԴՈ-1423 որոշում</w:t>
      </w:r>
      <w:r w:rsidR="00892ECB">
        <w:rPr>
          <w:rFonts w:ascii="GHEA Grapalat" w:eastAsia="GHEA Grapalat" w:hAnsi="GHEA Grapalat" w:cs="GHEA Grapalat"/>
          <w:color w:val="000000"/>
          <w:lang w:val="hy-AM"/>
        </w:rPr>
        <w:t>ը</w:t>
      </w:r>
      <w:r w:rsidR="00892ECB">
        <w:rPr>
          <w:rFonts w:ascii="GHEA Grapalat" w:hAnsi="GHEA Grapalat"/>
          <w:shd w:val="clear" w:color="auto" w:fill="FFFFFF"/>
          <w:lang w:val="hy-AM"/>
        </w:rPr>
        <w:t>)</w:t>
      </w:r>
      <w:r w:rsidR="002C031C">
        <w:rPr>
          <w:rFonts w:ascii="GHEA Grapalat" w:hAnsi="GHEA Grapalat"/>
          <w:shd w:val="clear" w:color="auto" w:fill="FFFFFF"/>
          <w:lang w:val="hy-AM"/>
        </w:rPr>
        <w:t xml:space="preserve">, այս </w:t>
      </w:r>
      <w:r w:rsidR="00892ECB">
        <w:rPr>
          <w:rFonts w:ascii="GHEA Grapalat" w:hAnsi="GHEA Grapalat"/>
          <w:shd w:val="clear" w:color="auto" w:fill="FFFFFF"/>
          <w:lang w:val="hy-AM"/>
        </w:rPr>
        <w:t xml:space="preserve">ինստիտուտի առավել պատշաճ կիրառումն ապահովելու և ակնհայտ անհիմն հայցադիմումների ներկայացումը նվազագույնի հասցնելու տեսանկյունից, նպատակահարմար է թվում նման դեպքերում </w:t>
      </w:r>
      <w:r w:rsidR="00E611F6">
        <w:rPr>
          <w:rFonts w:ascii="GHEA Grapalat" w:hAnsi="GHEA Grapalat"/>
          <w:shd w:val="clear" w:color="auto" w:fill="FFFFFF"/>
          <w:lang w:val="hy-AM"/>
        </w:rPr>
        <w:t xml:space="preserve">նախատեսել համարժեք բացասական հետևանք՝ արդեն իսկ վճարված </w:t>
      </w:r>
      <w:r w:rsidR="00892ECB">
        <w:rPr>
          <w:rFonts w:ascii="GHEA Grapalat" w:hAnsi="GHEA Grapalat"/>
          <w:shd w:val="clear" w:color="auto" w:fill="FFFFFF"/>
          <w:lang w:val="hy-AM"/>
        </w:rPr>
        <w:t>Տուրք</w:t>
      </w:r>
      <w:r w:rsidR="00E611F6">
        <w:rPr>
          <w:rFonts w:ascii="GHEA Grapalat" w:hAnsi="GHEA Grapalat"/>
          <w:shd w:val="clear" w:color="auto" w:fill="FFFFFF"/>
          <w:lang w:val="hy-AM"/>
        </w:rPr>
        <w:t>ի</w:t>
      </w:r>
      <w:r w:rsidR="00892ECB">
        <w:rPr>
          <w:rFonts w:ascii="GHEA Grapalat" w:hAnsi="GHEA Grapalat"/>
          <w:shd w:val="clear" w:color="auto" w:fill="FFFFFF"/>
          <w:lang w:val="hy-AM"/>
        </w:rPr>
        <w:t xml:space="preserve"> </w:t>
      </w:r>
      <w:r w:rsidR="00E611F6">
        <w:rPr>
          <w:rFonts w:ascii="GHEA Grapalat" w:hAnsi="GHEA Grapalat"/>
          <w:shd w:val="clear" w:color="auto" w:fill="FFFFFF"/>
          <w:lang w:val="hy-AM"/>
        </w:rPr>
        <w:t>վերադարձի բացառումը, ինչը լրացուցիչ երաշխիք կլինի չարամտորեն և իրավունքների չարաշահումների միջոցով դատական համակարգի ծանրաբեռնման դեմ</w:t>
      </w:r>
      <w:r w:rsidR="00892ECB">
        <w:rPr>
          <w:rFonts w:ascii="GHEA Grapalat" w:hAnsi="GHEA Grapalat"/>
          <w:shd w:val="clear" w:color="auto" w:fill="FFFFFF"/>
          <w:lang w:val="hy-AM"/>
        </w:rPr>
        <w:t>:</w:t>
      </w:r>
    </w:p>
    <w:p w14:paraId="3A8D0451" w14:textId="77777777" w:rsidR="004200F1" w:rsidRPr="004200F1" w:rsidRDefault="004200F1" w:rsidP="004200F1">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4200F1">
        <w:rPr>
          <w:rFonts w:ascii="GHEA Grapalat" w:hAnsi="GHEA Grapalat"/>
          <w:shd w:val="clear" w:color="auto" w:fill="FFFFFF"/>
          <w:lang w:val="hy-AM"/>
        </w:rPr>
        <w:t>Ընդ որում, նմանատիպ ինստիտուտ արդեն իսկ գործում է վարչական դատավարության շրջանակներում: Մասնավորապես, Հայաստանի Հանրապետության վարչական դատավարության մասին օրենսգրքի 80-րդ հոդվածի 1-ին մասի 4-րդ կետի համաձայն՝ վարչական դատարանը մերժում է հայցադիմումի ընդունումը, եթե հայցադիմում է ներկայացրել դրա իրավունքն ակնհայտորեն չունեցող անձը:</w:t>
      </w:r>
    </w:p>
    <w:p w14:paraId="3DCA1C18" w14:textId="4EEB5B03" w:rsidR="004200F1" w:rsidRDefault="004200F1" w:rsidP="004200F1">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4200F1">
        <w:rPr>
          <w:rFonts w:ascii="GHEA Grapalat" w:hAnsi="GHEA Grapalat"/>
          <w:shd w:val="clear" w:color="auto" w:fill="FFFFFF"/>
          <w:lang w:val="hy-AM"/>
        </w:rPr>
        <w:t xml:space="preserve">Այս կապակցությամբ հատկանշական են նաև Սահմանադրական դատարանի (17.04.2012 թվականի թիվ ՍԴՈ-1022 որոշում) և Վճռաբեկ դատարանի (10.02.2023 թվականի թիվ ՎԴ/0012/05/22 վարչական գործով որոշում) դիրքորոշումները որոնք հանգում են հետևյալին. ակնհայտորեն բառը ենթադրում է, որ առանց նյութական իրավունքի խախտման փաստի բացահայտման` կասկածից վեր է տվյալ իրավունքը հայցվորին չպատկանելը, հայցադիմումում խախտված տվյալ իրավունքը հայցվորին պատկանելու վերաբերյալ հիմնավորվածության բացակայությունը կամ այդպիսի ենթադրյալ հիմնավորման ակնհայտ անհիմն լինելը, վիճարկվող վարչական ակտի, գործողության կամ անգործության և հայցվորի իրավունքների և ազատությունների ենթադրյալ խախտման փաստի միջև առկա հնարավոր պատճառահետևանքային կապի բացակայությունը, այդպիսի կապի վերաբերյալ հիմնավորվածության բացակայությունը կամ այդպիսի ենթադրյալ հիմնավորման ակնհայտ անհիմն </w:t>
      </w:r>
      <w:r w:rsidRPr="004200F1">
        <w:rPr>
          <w:rFonts w:ascii="GHEA Grapalat" w:hAnsi="GHEA Grapalat"/>
          <w:shd w:val="clear" w:color="auto" w:fill="FFFFFF"/>
          <w:lang w:val="hy-AM"/>
        </w:rPr>
        <w:lastRenderedPageBreak/>
        <w:t>լինելը: Օրենսգրքի վիճարկվող դրույթում «ակնհայտորեն» բառի ամրագրմամբ օրենսդիրը նպատակ է հետապնդել հայցադիմումի ընդունելիության փուլում ստուգելու ոչ թե նյութական իրավունքի խախտման առկայությունը, այլ ենթադրյալ խախտված իրավունքը տվյալ անձին պատկանելու հանգամանքը, այսինքն, հայցվորի` «շահագրգիռ անձ» հանդիսանալու հանգամանքը (...): Ընդ որում, հայցադիմում ներկայացնելու իրավունքի ակնհայտ բացակայության պարագայում դատարանը ոչ թե իրավունք ունի, այլ պարտավոր է մերժել դրա ընդունումը: Օրենսդիրը նման իրավակարգավորմամբ իրավացիորեն խուսափել է ոչ տեղին ու քննության ոչ ենթակա գործերի հետազոտությունից, ինչը հանգեցնում է դատարանի ավելորդ և անհիմն ծանրաբեռնվածության և դատարանի վարույթում գտնվող մյուս գործերի քննության ձգձգումների: Վարչական դատավարության օրենսգրքում նախատեսված «ակնհայտություն» եզրույթն իրենից ներկայացնում է անմիջապես աչքի զարնող, առաջին իսկ դիտարկման պահին երևացող, աչքի ընկնող և ոչ մի կերպ չվրիպող ու կասկած չհարուցող ակներևություն: Այսինքն` սույն իրավական կարգավորումը կարող է վերաբերել միայն հայցադիմում ներկայացնելու` չափազանց պարզորոշ, միանշանակ և հստակ իրավունք չունենալուն, երբ դատարանն աներկբայորեն և հիմնավոր կերպով գտնում է, որ տվյալ ֆիզիկական կամ իրավաբանական անձն այդպիսի հայցադիմում ներկայացնելու իրավունք չուներ:</w:t>
      </w:r>
    </w:p>
    <w:p w14:paraId="23F03775" w14:textId="77777777" w:rsidR="00892ECB" w:rsidRDefault="00892ECB" w:rsidP="00892EC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p>
    <w:p w14:paraId="518C56AC" w14:textId="77777777" w:rsidR="00892ECB" w:rsidRPr="00E23436" w:rsidRDefault="00892ECB" w:rsidP="00892ECB">
      <w:pPr>
        <w:pStyle w:val="NormalWeb"/>
        <w:shd w:val="clear" w:color="auto" w:fill="FFFFFF"/>
        <w:spacing w:before="0" w:beforeAutospacing="0" w:after="0" w:afterAutospacing="0" w:line="360" w:lineRule="auto"/>
        <w:ind w:firstLine="567"/>
        <w:jc w:val="both"/>
        <w:rPr>
          <w:rFonts w:ascii="GHEA Grapalat" w:hAnsi="GHEA Grapalat"/>
          <w:lang w:val="hy-AM" w:eastAsia="ru-RU"/>
        </w:rPr>
      </w:pPr>
      <w:r w:rsidRPr="00827E7F">
        <w:rPr>
          <w:rFonts w:ascii="GHEA Grapalat" w:hAnsi="GHEA Grapalat"/>
          <w:u w:val="single"/>
          <w:lang w:val="hy-AM"/>
        </w:rPr>
        <w:t>1.</w:t>
      </w:r>
      <w:r>
        <w:rPr>
          <w:rFonts w:ascii="GHEA Grapalat" w:hAnsi="GHEA Grapalat"/>
          <w:u w:val="single"/>
          <w:lang w:val="hy-AM"/>
        </w:rPr>
        <w:t>3</w:t>
      </w:r>
      <w:r w:rsidRPr="00827E7F">
        <w:rPr>
          <w:rFonts w:ascii="GHEA Grapalat" w:hAnsi="GHEA Grapalat"/>
          <w:u w:val="single"/>
          <w:lang w:val="hy-AM"/>
        </w:rPr>
        <w:t xml:space="preserve">. </w:t>
      </w:r>
      <w:r>
        <w:rPr>
          <w:rFonts w:ascii="GHEA Grapalat" w:hAnsi="GHEA Grapalat"/>
          <w:u w:val="single"/>
          <w:lang w:val="hy-AM"/>
        </w:rPr>
        <w:t xml:space="preserve">Պարզեցված վարույթի կարգով հայցադիմումներ ներկայացնելու դեպքում կիրառվող Տուրքը. </w:t>
      </w:r>
    </w:p>
    <w:p w14:paraId="5AA6796A" w14:textId="77777777" w:rsidR="006F5084" w:rsidRDefault="00892ECB" w:rsidP="00892ECB">
      <w:pPr>
        <w:pBdr>
          <w:top w:val="nil"/>
          <w:left w:val="nil"/>
          <w:bottom w:val="nil"/>
          <w:right w:val="nil"/>
          <w:between w:val="nil"/>
        </w:pBdr>
        <w:spacing w:line="360" w:lineRule="auto"/>
        <w:ind w:firstLine="567"/>
        <w:jc w:val="both"/>
        <w:rPr>
          <w:rFonts w:ascii="GHEA Grapalat" w:hAnsi="GHEA Grapalat"/>
          <w:lang w:val="hy-AM"/>
        </w:rPr>
      </w:pPr>
      <w:r>
        <w:rPr>
          <w:rFonts w:ascii="GHEA Grapalat" w:hAnsi="GHEA Grapalat"/>
          <w:lang w:val="hy-AM"/>
        </w:rPr>
        <w:t>19.04.2021թ.-ի թիվ ՀՕ-177-Ն օրենքով կատարված փոփոխություններով նախատեսվեցին Տուրքի տարբեր դրույքաչափեր մի կողմից հայցադիմումը ընդհանուր հայցային վարույթի կարգով քննելու համար, իսկ մյուս կողմից՝ պարզեցված վարույթի կարգով: Արդյունքում, պարզեցված վարույթների համար որպես Տուրքի նվազագույն չափ</w:t>
      </w:r>
      <w:r w:rsidR="006F5084">
        <w:rPr>
          <w:rFonts w:ascii="GHEA Grapalat" w:hAnsi="GHEA Grapalat"/>
          <w:lang w:val="hy-AM"/>
        </w:rPr>
        <w:t xml:space="preserve"> և որպես արտոնյալ տարբերակում</w:t>
      </w:r>
      <w:r>
        <w:rPr>
          <w:rFonts w:ascii="GHEA Grapalat" w:hAnsi="GHEA Grapalat"/>
          <w:lang w:val="hy-AM"/>
        </w:rPr>
        <w:t xml:space="preserve"> պահպանվեց նախկինում գործող 1500 դրամին համարժեք գումարը: </w:t>
      </w:r>
    </w:p>
    <w:p w14:paraId="5FDE6C69" w14:textId="72F41978" w:rsidR="006465AD" w:rsidRDefault="006F5084" w:rsidP="00892ECB">
      <w:pPr>
        <w:pBdr>
          <w:top w:val="nil"/>
          <w:left w:val="nil"/>
          <w:bottom w:val="nil"/>
          <w:right w:val="nil"/>
          <w:between w:val="nil"/>
        </w:pBdr>
        <w:spacing w:line="360" w:lineRule="auto"/>
        <w:ind w:firstLine="567"/>
        <w:jc w:val="both"/>
        <w:rPr>
          <w:rFonts w:ascii="GHEA Grapalat" w:hAnsi="GHEA Grapalat"/>
          <w:lang w:val="hy-AM"/>
        </w:rPr>
      </w:pPr>
      <w:r>
        <w:rPr>
          <w:rFonts w:ascii="GHEA Grapalat" w:hAnsi="GHEA Grapalat"/>
          <w:lang w:val="hy-AM"/>
        </w:rPr>
        <w:lastRenderedPageBreak/>
        <w:t>Սակայն</w:t>
      </w:r>
      <w:r w:rsidR="00892ECB">
        <w:rPr>
          <w:rFonts w:ascii="GHEA Grapalat" w:hAnsi="GHEA Grapalat"/>
          <w:lang w:val="hy-AM"/>
        </w:rPr>
        <w:t xml:space="preserve">, հաշվի առնելով </w:t>
      </w:r>
      <w:r>
        <w:rPr>
          <w:rFonts w:ascii="GHEA Grapalat" w:hAnsi="GHEA Grapalat"/>
          <w:lang w:val="hy-AM"/>
        </w:rPr>
        <w:t xml:space="preserve">ինչպես իրավական իրողության, այնպես էլ </w:t>
      </w:r>
      <w:r w:rsidR="00892ECB">
        <w:rPr>
          <w:rFonts w:ascii="GHEA Grapalat" w:hAnsi="GHEA Grapalat"/>
          <w:lang w:val="hy-AM"/>
        </w:rPr>
        <w:t>Հայաստանում սոցիալ տնտեսական ցուցանիշների կարճ ժամանակահատվածում էական փոփոխությունները,</w:t>
      </w:r>
      <w:r w:rsidR="006465AD">
        <w:rPr>
          <w:rFonts w:ascii="GHEA Grapalat" w:hAnsi="GHEA Grapalat"/>
          <w:lang w:val="hy-AM"/>
        </w:rPr>
        <w:t xml:space="preserve"> անհրաժեշտություն է առաջացել վերանայել նման տարբերակման նպատակահարմարությունը:</w:t>
      </w:r>
      <w:r w:rsidR="005D25FF">
        <w:rPr>
          <w:rFonts w:ascii="GHEA Grapalat" w:hAnsi="GHEA Grapalat"/>
          <w:lang w:val="hy-AM"/>
        </w:rPr>
        <w:t xml:space="preserve"> </w:t>
      </w:r>
    </w:p>
    <w:p w14:paraId="6258FE5E" w14:textId="1EA2E21D" w:rsidR="00FC37BC" w:rsidRDefault="00FC37BC" w:rsidP="00892ECB">
      <w:pPr>
        <w:pBdr>
          <w:top w:val="nil"/>
          <w:left w:val="nil"/>
          <w:bottom w:val="nil"/>
          <w:right w:val="nil"/>
          <w:between w:val="nil"/>
        </w:pBdr>
        <w:spacing w:line="360" w:lineRule="auto"/>
        <w:ind w:firstLine="567"/>
        <w:jc w:val="both"/>
        <w:rPr>
          <w:rFonts w:ascii="GHEA Grapalat" w:hAnsi="GHEA Grapalat"/>
          <w:lang w:val="hy-AM"/>
        </w:rPr>
      </w:pPr>
      <w:r>
        <w:rPr>
          <w:rFonts w:ascii="GHEA Grapalat" w:eastAsia="GHEA Grapalat" w:hAnsi="GHEA Grapalat" w:cs="GHEA Grapalat"/>
          <w:color w:val="000000"/>
          <w:lang w:val="hy-AM"/>
        </w:rPr>
        <w:t xml:space="preserve">Այսպես, </w:t>
      </w:r>
      <w:r w:rsidR="00FD6413">
        <w:rPr>
          <w:rFonts w:ascii="GHEA Grapalat" w:hAnsi="GHEA Grapalat"/>
          <w:lang w:val="hy-AM"/>
        </w:rPr>
        <w:t xml:space="preserve">հարկ է նկատի ունենալ, որ նշված փոփոխությունների նախատեսման ժամանակ պարզեցված վարույթի կարգով քննության ենթակա էին գումարի բռնագանձման պահանջները, որոնց չափը չէր գերազանցում 2 միլիոն դրամը, սակայն հետագա օրենսդրական փոփոխությունների արդյունքում այդ շեմը բարձրացվեց մինչև 5 միլիոն դրամ: </w:t>
      </w:r>
      <w:r w:rsidR="00FD6413">
        <w:rPr>
          <w:rFonts w:ascii="GHEA Grapalat" w:eastAsia="GHEA Grapalat" w:hAnsi="GHEA Grapalat" w:cs="GHEA Grapalat"/>
          <w:color w:val="000000"/>
          <w:lang w:val="hy-AM"/>
        </w:rPr>
        <w:t>Բացի այդ</w:t>
      </w:r>
      <w:r>
        <w:rPr>
          <w:rFonts w:ascii="GHEA Grapalat" w:eastAsia="GHEA Grapalat" w:hAnsi="GHEA Grapalat" w:cs="GHEA Grapalat"/>
          <w:color w:val="000000"/>
          <w:lang w:val="hy-AM"/>
        </w:rPr>
        <w:t>, 26.06.2023թ.-ի թիվ ՀՕ-229-Ն օրենքով «Նոտարիատի մասին» օրենքում կատարվ</w:t>
      </w:r>
      <w:r w:rsidR="00FD6413">
        <w:rPr>
          <w:rFonts w:ascii="GHEA Grapalat" w:eastAsia="GHEA Grapalat" w:hAnsi="GHEA Grapalat" w:cs="GHEA Grapalat"/>
          <w:color w:val="000000"/>
          <w:lang w:val="hy-AM"/>
        </w:rPr>
        <w:t>եցին</w:t>
      </w:r>
      <w:r>
        <w:rPr>
          <w:rFonts w:ascii="GHEA Grapalat" w:eastAsia="GHEA Grapalat" w:hAnsi="GHEA Grapalat" w:cs="GHEA Grapalat"/>
          <w:color w:val="000000"/>
          <w:lang w:val="hy-AM"/>
        </w:rPr>
        <w:t xml:space="preserve"> փոփոխություններ, որոնց համատեքստում գումարի բռնագանձման պահանջով կարգադրություն կարող է արձակվել: Այս առնչությամբ «Պետական տուրքի մասին» օրենքի 11-րդ հոդվածի 21.1. կետով սահմանվեց, որ նոտարի կողմից՝ ն</w:t>
      </w:r>
      <w:r w:rsidRPr="003B597D">
        <w:rPr>
          <w:rFonts w:ascii="GHEA Grapalat" w:eastAsia="GHEA Grapalat" w:hAnsi="GHEA Grapalat" w:cs="GHEA Grapalat"/>
          <w:color w:val="000000"/>
          <w:lang w:val="hy-AM"/>
        </w:rPr>
        <w:t>ոտարական գրասենյակները նոտարական գործողությունների համար պետական տուրքը գանձում են հետևյալ դրույքաչափերով`</w:t>
      </w:r>
      <w:r>
        <w:rPr>
          <w:rFonts w:ascii="GHEA Grapalat" w:eastAsia="GHEA Grapalat" w:hAnsi="GHEA Grapalat" w:cs="GHEA Grapalat"/>
          <w:color w:val="000000"/>
          <w:lang w:val="hy-AM"/>
        </w:rPr>
        <w:t xml:space="preserve"> </w:t>
      </w:r>
      <w:r w:rsidRPr="003B597D">
        <w:rPr>
          <w:rFonts w:ascii="GHEA Grapalat" w:eastAsia="GHEA Grapalat" w:hAnsi="GHEA Grapalat" w:cs="GHEA Grapalat"/>
          <w:color w:val="000000"/>
          <w:lang w:val="hy-AM"/>
        </w:rPr>
        <w:t>կատարողական մակագրության թերթ տալու համար</w:t>
      </w:r>
      <w:r>
        <w:rPr>
          <w:rFonts w:ascii="GHEA Grapalat" w:eastAsia="GHEA Grapalat" w:hAnsi="GHEA Grapalat" w:cs="GHEA Grapalat"/>
          <w:color w:val="000000"/>
          <w:lang w:val="hy-AM"/>
        </w:rPr>
        <w:t xml:space="preserve"> </w:t>
      </w:r>
      <w:r w:rsidRPr="003B597D">
        <w:rPr>
          <w:rFonts w:ascii="GHEA Grapalat" w:eastAsia="GHEA Grapalat" w:hAnsi="GHEA Grapalat" w:cs="GHEA Grapalat"/>
          <w:color w:val="000000"/>
          <w:lang w:val="hy-AM"/>
        </w:rPr>
        <w:t>բազային տուրքի հնգապատիկի չափով</w:t>
      </w:r>
      <w:r>
        <w:rPr>
          <w:rFonts w:ascii="GHEA Grapalat" w:eastAsia="GHEA Grapalat" w:hAnsi="GHEA Grapalat" w:cs="GHEA Grapalat"/>
          <w:color w:val="000000"/>
          <w:lang w:val="hy-AM"/>
        </w:rPr>
        <w:t>: Ստացվում է, որ նոտարի կատարողական մակագրություն տալու համար Նոտարը գանձում է 3.3 անգամ ավել պետական տուրք, քան դատարանները, իսկ մատուցած ծառայության համար նոտարները գանձում են 5,000 – 10,000 ՀՀ դրամ ծառայության վճար:</w:t>
      </w:r>
      <w:r w:rsidR="00FD6413">
        <w:rPr>
          <w:rFonts w:ascii="GHEA Grapalat" w:eastAsia="GHEA Grapalat" w:hAnsi="GHEA Grapalat" w:cs="GHEA Grapalat"/>
          <w:color w:val="000000"/>
          <w:lang w:val="hy-AM"/>
        </w:rPr>
        <w:t xml:space="preserve"> Արդյունքում,</w:t>
      </w:r>
      <w:r w:rsidR="00FD6413">
        <w:rPr>
          <w:rFonts w:ascii="GHEA Grapalat" w:hAnsi="GHEA Grapalat"/>
          <w:lang w:val="hy-AM"/>
        </w:rPr>
        <w:t xml:space="preserve"> պարզեցված վարույթների համար նախատե</w:t>
      </w:r>
      <w:r w:rsidR="00546E4B">
        <w:rPr>
          <w:rFonts w:ascii="GHEA Grapalat" w:hAnsi="GHEA Grapalat"/>
          <w:lang w:val="hy-AM"/>
        </w:rPr>
        <w:t>սված նշված արտոնությունը կորցրել է</w:t>
      </w:r>
      <w:r w:rsidR="00FD6413">
        <w:rPr>
          <w:rFonts w:ascii="GHEA Grapalat" w:hAnsi="GHEA Grapalat"/>
          <w:lang w:val="hy-AM"/>
        </w:rPr>
        <w:t xml:space="preserve"> իր արդիականությունը</w:t>
      </w:r>
      <w:r w:rsidR="00546E4B">
        <w:rPr>
          <w:rFonts w:ascii="GHEA Grapalat" w:hAnsi="GHEA Grapalat"/>
          <w:lang w:val="hy-AM"/>
        </w:rPr>
        <w:t xml:space="preserve">: </w:t>
      </w:r>
    </w:p>
    <w:p w14:paraId="0FE5F627" w14:textId="6B24B3F3" w:rsidR="00892ECB" w:rsidRDefault="00546E4B" w:rsidP="00892ECB">
      <w:pPr>
        <w:pBdr>
          <w:top w:val="nil"/>
          <w:left w:val="nil"/>
          <w:bottom w:val="nil"/>
          <w:right w:val="nil"/>
          <w:between w:val="nil"/>
        </w:pBdr>
        <w:spacing w:line="360" w:lineRule="auto"/>
        <w:ind w:firstLine="567"/>
        <w:jc w:val="both"/>
        <w:rPr>
          <w:rFonts w:ascii="GHEA Grapalat" w:hAnsi="GHEA Grapalat"/>
          <w:lang w:val="hy-AM"/>
        </w:rPr>
      </w:pPr>
      <w:r>
        <w:rPr>
          <w:rFonts w:ascii="GHEA Grapalat" w:hAnsi="GHEA Grapalat"/>
          <w:lang w:val="hy-AM"/>
        </w:rPr>
        <w:t>Միևնույն ժամանակ</w:t>
      </w:r>
      <w:r w:rsidR="00892ECB">
        <w:rPr>
          <w:rFonts w:ascii="GHEA Grapalat" w:hAnsi="GHEA Grapalat"/>
          <w:lang w:val="hy-AM"/>
        </w:rPr>
        <w:t>,</w:t>
      </w:r>
      <w:r>
        <w:rPr>
          <w:rFonts w:ascii="GHEA Grapalat" w:hAnsi="GHEA Grapalat"/>
          <w:lang w:val="hy-AM"/>
        </w:rPr>
        <w:t xml:space="preserve"> նկատենք, որ տուրքի նման տարբերակված սահմանումը հանգեցրել էր տարաբնույթ չարաշահումների: Օրինակ՝</w:t>
      </w:r>
      <w:r w:rsidR="00892ECB">
        <w:rPr>
          <w:rFonts w:ascii="GHEA Grapalat" w:hAnsi="GHEA Grapalat"/>
          <w:lang w:val="hy-AM"/>
        </w:rPr>
        <w:t xml:space="preserve"> նույնաչափ Տուրք </w:t>
      </w:r>
      <w:r>
        <w:rPr>
          <w:rFonts w:ascii="GHEA Grapalat" w:hAnsi="GHEA Grapalat"/>
          <w:lang w:val="hy-AM"/>
        </w:rPr>
        <w:t xml:space="preserve">էր </w:t>
      </w:r>
      <w:r w:rsidR="00892ECB">
        <w:rPr>
          <w:rFonts w:ascii="GHEA Grapalat" w:hAnsi="GHEA Grapalat"/>
          <w:lang w:val="hy-AM"/>
        </w:rPr>
        <w:t>նախատեսվե</w:t>
      </w:r>
      <w:r>
        <w:rPr>
          <w:rFonts w:ascii="GHEA Grapalat" w:hAnsi="GHEA Grapalat"/>
          <w:lang w:val="hy-AM"/>
        </w:rPr>
        <w:t>լ</w:t>
      </w:r>
      <w:r w:rsidR="00892ECB">
        <w:rPr>
          <w:rFonts w:ascii="GHEA Grapalat" w:hAnsi="GHEA Grapalat"/>
          <w:lang w:val="hy-AM"/>
        </w:rPr>
        <w:t xml:space="preserve"> նաև </w:t>
      </w:r>
      <w:r>
        <w:rPr>
          <w:rFonts w:ascii="GHEA Grapalat" w:hAnsi="GHEA Grapalat"/>
          <w:lang w:val="hy-AM"/>
        </w:rPr>
        <w:t xml:space="preserve">վճարման </w:t>
      </w:r>
      <w:r w:rsidR="00892ECB">
        <w:rPr>
          <w:rFonts w:ascii="GHEA Grapalat" w:hAnsi="GHEA Grapalat"/>
          <w:lang w:val="hy-AM"/>
        </w:rPr>
        <w:t>կարգադրություն արձակելու դիմումների համար, որպիսի պարագայում հաճախ արձանագրվել են դեպքեր, երբ անձինք վճարման կարգադրություն արձակելու դիմումի փոխարեն ներկայացրել են հայցադիմումներ, ինչի արդյունքում, ըստ էության, չի պահպանվել նաև Տուրքի նախականխող գործառույթը:</w:t>
      </w:r>
      <w:r w:rsidR="004C1324">
        <w:rPr>
          <w:rFonts w:ascii="GHEA Grapalat" w:hAnsi="GHEA Grapalat"/>
          <w:lang w:val="hy-AM"/>
        </w:rPr>
        <w:t xml:space="preserve"> </w:t>
      </w:r>
      <w:r>
        <w:rPr>
          <w:rFonts w:ascii="GHEA Grapalat" w:hAnsi="GHEA Grapalat"/>
          <w:lang w:val="hy-AM"/>
        </w:rPr>
        <w:t>Բացի այդ, պարզեցված վարույթի համար սահմանված Տուրքի նման ցածր չափը</w:t>
      </w:r>
      <w:r w:rsidR="00394493">
        <w:rPr>
          <w:rFonts w:ascii="GHEA Grapalat" w:hAnsi="GHEA Grapalat"/>
          <w:lang w:val="hy-AM"/>
        </w:rPr>
        <w:t xml:space="preserve"> փաստացի հիմքեր է ստե</w:t>
      </w:r>
      <w:r w:rsidR="002B3412">
        <w:rPr>
          <w:rFonts w:ascii="GHEA Grapalat" w:hAnsi="GHEA Grapalat"/>
          <w:lang w:val="hy-AM"/>
        </w:rPr>
        <w:t>ղ</w:t>
      </w:r>
      <w:r w:rsidR="00394493">
        <w:rPr>
          <w:rFonts w:ascii="GHEA Grapalat" w:hAnsi="GHEA Grapalat"/>
          <w:lang w:val="hy-AM"/>
        </w:rPr>
        <w:t>ծում խուսափելու</w:t>
      </w:r>
      <w:r>
        <w:rPr>
          <w:rFonts w:ascii="GHEA Grapalat" w:hAnsi="GHEA Grapalat"/>
          <w:lang w:val="hy-AM"/>
        </w:rPr>
        <w:t xml:space="preserve"> </w:t>
      </w:r>
      <w:r w:rsidR="002B3412">
        <w:rPr>
          <w:rFonts w:ascii="GHEA Grapalat" w:hAnsi="GHEA Grapalat"/>
          <w:lang w:val="hy-AM"/>
        </w:rPr>
        <w:lastRenderedPageBreak/>
        <w:t xml:space="preserve">վեճերի լուծման </w:t>
      </w:r>
      <w:r w:rsidR="00394493">
        <w:rPr>
          <w:rFonts w:ascii="GHEA Grapalat" w:hAnsi="GHEA Grapalat"/>
          <w:lang w:val="hy-AM"/>
        </w:rPr>
        <w:t>արտադատական կարգերից, ինչպիսիք են նոտարների կողմից գումարի բռնագանձման կարգադրություն արձակելը,</w:t>
      </w:r>
      <w:r>
        <w:rPr>
          <w:rFonts w:ascii="GHEA Grapalat" w:hAnsi="GHEA Grapalat"/>
          <w:lang w:val="hy-AM"/>
        </w:rPr>
        <w:t xml:space="preserve"> արբիտրաժը</w:t>
      </w:r>
      <w:r w:rsidR="00394493">
        <w:rPr>
          <w:rFonts w:ascii="GHEA Grapalat" w:hAnsi="GHEA Grapalat"/>
          <w:lang w:val="hy-AM"/>
        </w:rPr>
        <w:t xml:space="preserve"> և այլն,</w:t>
      </w:r>
      <w:r>
        <w:rPr>
          <w:rFonts w:ascii="GHEA Grapalat" w:hAnsi="GHEA Grapalat"/>
          <w:lang w:val="hy-AM"/>
        </w:rPr>
        <w:t xml:space="preserve"> </w:t>
      </w:r>
      <w:r w:rsidR="00394493">
        <w:rPr>
          <w:rFonts w:ascii="GHEA Grapalat" w:hAnsi="GHEA Grapalat"/>
          <w:lang w:val="hy-AM"/>
        </w:rPr>
        <w:t>ինչպես նա</w:t>
      </w:r>
      <w:r>
        <w:rPr>
          <w:rFonts w:ascii="GHEA Grapalat" w:hAnsi="GHEA Grapalat"/>
          <w:lang w:val="hy-AM"/>
        </w:rPr>
        <w:t>և ակնհայտորեն տարբերակված ցածր պետական տուրք վճարելով՝ ծանրաբեռնելու դատական համակարգը:</w:t>
      </w:r>
    </w:p>
    <w:p w14:paraId="2BB79D56" w14:textId="77777777" w:rsidR="00FC37BC" w:rsidRPr="00037F56" w:rsidRDefault="00FC37BC" w:rsidP="00FC37BC">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037F56">
        <w:rPr>
          <w:rFonts w:ascii="GHEA Grapalat" w:hAnsi="GHEA Grapalat"/>
          <w:lang w:val="hy-AM"/>
        </w:rPr>
        <w:t xml:space="preserve">Անդրադառնալով </w:t>
      </w:r>
      <w:r w:rsidRPr="00F52B83">
        <w:rPr>
          <w:rFonts w:ascii="GHEA Grapalat" w:eastAsia="GHEA Grapalat" w:hAnsi="GHEA Grapalat" w:cs="GHEA Grapalat"/>
          <w:color w:val="000000"/>
          <w:lang w:val="hy-AM"/>
        </w:rPr>
        <w:t>Հ</w:t>
      </w:r>
      <w:r w:rsidRPr="00B52558">
        <w:rPr>
          <w:rFonts w:ascii="GHEA Grapalat" w:eastAsia="GHEA Grapalat" w:hAnsi="GHEA Grapalat" w:cs="GHEA Grapalat"/>
          <w:color w:val="000000"/>
          <w:lang w:val="hy-AM"/>
        </w:rPr>
        <w:t>այաստանում որոշ սոցիալ-տնտեսական ցուցանիշներ</w:t>
      </w:r>
      <w:r>
        <w:rPr>
          <w:rFonts w:ascii="GHEA Grapalat" w:eastAsia="GHEA Grapalat" w:hAnsi="GHEA Grapalat" w:cs="GHEA Grapalat"/>
          <w:color w:val="000000"/>
          <w:lang w:val="hy-AM"/>
        </w:rPr>
        <w:t>ի էական փոփոխություններին</w:t>
      </w:r>
      <w:r w:rsidRPr="00B52558">
        <w:rPr>
          <w:rFonts w:ascii="GHEA Grapalat" w:eastAsia="GHEA Grapalat" w:hAnsi="GHEA Grapalat" w:cs="GHEA Grapalat"/>
          <w:color w:val="000000"/>
          <w:lang w:val="hy-AM"/>
        </w:rPr>
        <w:t>, որոնք կարող են դրվել Տուրքի նախատեսվող դրույքաչափի հաշվարկի հիմքում</w:t>
      </w:r>
      <w:r>
        <w:rPr>
          <w:rFonts w:ascii="GHEA Grapalat" w:eastAsia="GHEA Grapalat" w:hAnsi="GHEA Grapalat" w:cs="GHEA Grapalat"/>
          <w:color w:val="000000"/>
          <w:lang w:val="hy-AM"/>
        </w:rPr>
        <w:t>՝ կարող ենք նկատել հետևյալ պատկերը.</w:t>
      </w:r>
      <w:r w:rsidRPr="00037F56">
        <w:rPr>
          <w:rFonts w:ascii="GHEA Grapalat" w:eastAsia="GHEA Grapalat" w:hAnsi="GHEA Grapalat" w:cs="GHEA Grapalat"/>
          <w:color w:val="000000"/>
          <w:lang w:val="hy-AM"/>
        </w:rPr>
        <w:t xml:space="preserve"> </w:t>
      </w:r>
    </w:p>
    <w:p w14:paraId="3E1BA809"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GHEA Grapalat" w:eastAsia="GHEA Grapalat" w:hAnsi="GHEA Grapalat" w:cs="GHEA Grapalat"/>
          <w:color w:val="000000"/>
          <w:lang w:val="hy-AM"/>
        </w:rPr>
      </w:pPr>
      <w:r w:rsidRPr="00F64AD4">
        <w:rPr>
          <w:rFonts w:ascii="GHEA Grapalat" w:eastAsia="GHEA Grapalat" w:hAnsi="GHEA Grapalat" w:cs="GHEA Grapalat"/>
          <w:color w:val="000000"/>
          <w:lang w:val="hy-AM"/>
        </w:rPr>
        <w:t>Համաշխարհային բանկի տվյալներով, մեկ շնչին ընկնող համախառն ներքին արդյունքը` ազգային արժույթով արտահայտված (այսուհետ` ՀՆԱ) 20</w:t>
      </w:r>
      <w:r>
        <w:rPr>
          <w:rFonts w:ascii="GHEA Grapalat" w:eastAsia="GHEA Grapalat" w:hAnsi="GHEA Grapalat" w:cs="GHEA Grapalat"/>
          <w:color w:val="000000"/>
          <w:lang w:val="hy-AM"/>
        </w:rPr>
        <w:t>20</w:t>
      </w:r>
      <w:r w:rsidRPr="00F64AD4">
        <w:rPr>
          <w:rFonts w:ascii="GHEA Grapalat" w:eastAsia="GHEA Grapalat" w:hAnsi="GHEA Grapalat" w:cs="GHEA Grapalat"/>
          <w:color w:val="000000"/>
          <w:lang w:val="hy-AM"/>
        </w:rPr>
        <w:t>թ.-ին կազմել է 2,</w:t>
      </w:r>
      <w:r>
        <w:rPr>
          <w:rFonts w:ascii="GHEA Grapalat" w:eastAsia="GHEA Grapalat" w:hAnsi="GHEA Grapalat" w:cs="GHEA Grapalat"/>
          <w:color w:val="000000"/>
          <w:lang w:val="hy-AM"/>
        </w:rPr>
        <w:t>036</w:t>
      </w:r>
      <w:r w:rsidRPr="00F64AD4">
        <w:rPr>
          <w:rFonts w:ascii="GHEA Grapalat" w:eastAsia="GHEA Grapalat" w:hAnsi="GHEA Grapalat" w:cs="GHEA Grapalat"/>
          <w:color w:val="000000"/>
          <w:lang w:val="hy-AM"/>
        </w:rPr>
        <w:t>,</w:t>
      </w:r>
      <w:r>
        <w:rPr>
          <w:rFonts w:ascii="GHEA Grapalat" w:eastAsia="GHEA Grapalat" w:hAnsi="GHEA Grapalat" w:cs="GHEA Grapalat"/>
          <w:color w:val="000000"/>
          <w:lang w:val="hy-AM"/>
        </w:rPr>
        <w:t>901</w:t>
      </w:r>
      <w:r w:rsidRPr="00F64AD4">
        <w:rPr>
          <w:rFonts w:ascii="GHEA Grapalat" w:eastAsia="GHEA Grapalat" w:hAnsi="GHEA Grapalat" w:cs="GHEA Grapalat"/>
          <w:color w:val="000000"/>
          <w:lang w:val="hy-AM"/>
        </w:rPr>
        <w:t xml:space="preserve"> դրամ, իսկ 202</w:t>
      </w:r>
      <w:r>
        <w:rPr>
          <w:rFonts w:ascii="GHEA Grapalat" w:eastAsia="GHEA Grapalat" w:hAnsi="GHEA Grapalat" w:cs="GHEA Grapalat"/>
          <w:color w:val="000000"/>
          <w:lang w:val="hy-AM"/>
        </w:rPr>
        <w:t>2</w:t>
      </w:r>
      <w:r w:rsidRPr="00F64AD4">
        <w:rPr>
          <w:rFonts w:ascii="GHEA Grapalat" w:eastAsia="GHEA Grapalat" w:hAnsi="GHEA Grapalat" w:cs="GHEA Grapalat"/>
          <w:color w:val="000000"/>
          <w:lang w:val="hy-AM"/>
        </w:rPr>
        <w:t>թ.-ին` 2,282,207 դրամ</w:t>
      </w:r>
      <w:r>
        <w:rPr>
          <w:rFonts w:ascii="GHEA Grapalat" w:eastAsia="GHEA Grapalat" w:hAnsi="GHEA Grapalat" w:cs="GHEA Grapalat"/>
          <w:color w:val="000000"/>
          <w:vertAlign w:val="superscript"/>
        </w:rPr>
        <w:footnoteReference w:id="11"/>
      </w:r>
      <w:r w:rsidRPr="00F64AD4">
        <w:rPr>
          <w:rFonts w:ascii="GHEA Grapalat" w:eastAsia="GHEA Grapalat" w:hAnsi="GHEA Grapalat" w:cs="GHEA Grapalat"/>
          <w:color w:val="000000"/>
          <w:lang w:val="hy-AM"/>
        </w:rPr>
        <w:t xml:space="preserve">, </w:t>
      </w:r>
      <w:r w:rsidRPr="00F64AD4">
        <w:rPr>
          <w:rFonts w:ascii="GHEA Grapalat" w:eastAsia="GHEA Grapalat" w:hAnsi="GHEA Grapalat" w:cs="GHEA Grapalat"/>
          <w:b/>
          <w:color w:val="000000"/>
          <w:lang w:val="hy-AM"/>
        </w:rPr>
        <w:t>աճելով 1.1</w:t>
      </w:r>
      <w:r>
        <w:rPr>
          <w:rFonts w:ascii="GHEA Grapalat" w:eastAsia="GHEA Grapalat" w:hAnsi="GHEA Grapalat" w:cs="GHEA Grapalat"/>
          <w:b/>
          <w:color w:val="000000"/>
          <w:lang w:val="hy-AM"/>
        </w:rPr>
        <w:t>2</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 xml:space="preserve"> </w:t>
      </w:r>
    </w:p>
    <w:p w14:paraId="460A3929"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Calibri" w:eastAsia="Calibri" w:hAnsi="Calibri" w:cs="Calibri"/>
          <w:b/>
          <w:color w:val="000000"/>
          <w:lang w:val="hy-AM"/>
        </w:rPr>
      </w:pPr>
      <w:r w:rsidRPr="00F64AD4">
        <w:rPr>
          <w:rFonts w:ascii="GHEA Grapalat" w:eastAsia="GHEA Grapalat" w:hAnsi="GHEA Grapalat" w:cs="GHEA Grapalat"/>
          <w:color w:val="000000"/>
          <w:lang w:val="hy-AM"/>
        </w:rPr>
        <w:t>միջին ամսական աշխատավարձը</w:t>
      </w:r>
      <w:r>
        <w:rPr>
          <w:rFonts w:ascii="GHEA Grapalat" w:eastAsia="GHEA Grapalat" w:hAnsi="GHEA Grapalat" w:cs="GHEA Grapalat"/>
          <w:color w:val="000000"/>
          <w:vertAlign w:val="superscript"/>
        </w:rPr>
        <w:footnoteReference w:id="12"/>
      </w:r>
      <w:r w:rsidRPr="00F64AD4">
        <w:rPr>
          <w:rFonts w:ascii="GHEA Grapalat" w:eastAsia="GHEA Grapalat" w:hAnsi="GHEA Grapalat" w:cs="GHEA Grapalat"/>
          <w:color w:val="000000"/>
          <w:lang w:val="hy-AM"/>
        </w:rPr>
        <w:t xml:space="preserve"> 2019թ.-ի</w:t>
      </w:r>
      <w:r>
        <w:rPr>
          <w:rFonts w:ascii="GHEA Grapalat" w:eastAsia="GHEA Grapalat" w:hAnsi="GHEA Grapalat" w:cs="GHEA Grapalat"/>
          <w:color w:val="000000"/>
          <w:lang w:val="hy-AM"/>
        </w:rPr>
        <w:t>ն</w:t>
      </w:r>
      <w:r w:rsidRPr="00F64AD4">
        <w:rPr>
          <w:rFonts w:ascii="GHEA Grapalat" w:eastAsia="GHEA Grapalat" w:hAnsi="GHEA Grapalat" w:cs="GHEA Grapalat"/>
          <w:color w:val="000000"/>
          <w:lang w:val="hy-AM"/>
        </w:rPr>
        <w:t xml:space="preserve"> կազմել է 182,673 դրամ</w:t>
      </w:r>
      <w:r>
        <w:rPr>
          <w:rFonts w:ascii="GHEA Grapalat" w:eastAsia="GHEA Grapalat" w:hAnsi="GHEA Grapalat" w:cs="GHEA Grapalat"/>
          <w:color w:val="000000"/>
          <w:vertAlign w:val="superscript"/>
        </w:rPr>
        <w:footnoteReference w:id="13"/>
      </w:r>
      <w:r w:rsidRPr="00F64AD4">
        <w:rPr>
          <w:rFonts w:ascii="GHEA Grapalat" w:eastAsia="GHEA Grapalat" w:hAnsi="GHEA Grapalat" w:cs="GHEA Grapalat"/>
          <w:color w:val="000000"/>
          <w:lang w:val="hy-AM"/>
        </w:rPr>
        <w:t>, իսկ 20</w:t>
      </w:r>
      <w:r>
        <w:rPr>
          <w:rFonts w:ascii="GHEA Grapalat" w:eastAsia="GHEA Grapalat" w:hAnsi="GHEA Grapalat" w:cs="GHEA Grapalat"/>
          <w:color w:val="000000"/>
          <w:lang w:val="hy-AM"/>
        </w:rPr>
        <w:t>21</w:t>
      </w:r>
      <w:r w:rsidRPr="00F64AD4">
        <w:rPr>
          <w:rFonts w:ascii="GHEA Grapalat" w:eastAsia="GHEA Grapalat" w:hAnsi="GHEA Grapalat" w:cs="GHEA Grapalat"/>
          <w:color w:val="000000"/>
          <w:lang w:val="hy-AM"/>
        </w:rPr>
        <w:t>թ.-ին</w:t>
      </w:r>
      <w:r>
        <w:rPr>
          <w:rFonts w:ascii="GHEA Grapalat" w:eastAsia="GHEA Grapalat" w:hAnsi="GHEA Grapalat" w:cs="GHEA Grapalat"/>
          <w:color w:val="000000"/>
          <w:lang w:val="hy-AM"/>
        </w:rPr>
        <w:t xml:space="preserve">՝ 204,048 </w:t>
      </w:r>
      <w:r w:rsidRPr="00F64AD4">
        <w:rPr>
          <w:rFonts w:ascii="GHEA Grapalat" w:eastAsia="GHEA Grapalat" w:hAnsi="GHEA Grapalat" w:cs="GHEA Grapalat"/>
          <w:color w:val="000000"/>
          <w:lang w:val="hy-AM"/>
        </w:rPr>
        <w:t xml:space="preserve"> դրամ</w:t>
      </w:r>
      <w:r>
        <w:rPr>
          <w:rFonts w:ascii="GHEA Grapalat" w:eastAsia="GHEA Grapalat" w:hAnsi="GHEA Grapalat" w:cs="GHEA Grapalat"/>
          <w:color w:val="000000"/>
          <w:vertAlign w:val="superscript"/>
        </w:rPr>
        <w:footnoteReference w:id="14"/>
      </w:r>
      <w:r w:rsidRPr="00F64AD4">
        <w:rPr>
          <w:rFonts w:ascii="GHEA Grapalat" w:eastAsia="GHEA Grapalat" w:hAnsi="GHEA Grapalat" w:cs="GHEA Grapalat"/>
          <w:color w:val="000000"/>
          <w:lang w:val="hy-AM"/>
        </w:rPr>
        <w:t xml:space="preserve">, </w:t>
      </w:r>
      <w:r w:rsidRPr="00F64AD4">
        <w:rPr>
          <w:rFonts w:ascii="GHEA Grapalat" w:eastAsia="GHEA Grapalat" w:hAnsi="GHEA Grapalat" w:cs="GHEA Grapalat"/>
          <w:b/>
          <w:color w:val="000000"/>
          <w:lang w:val="hy-AM"/>
        </w:rPr>
        <w:t xml:space="preserve">աճելով </w:t>
      </w:r>
      <w:r>
        <w:rPr>
          <w:rFonts w:ascii="GHEA Grapalat" w:eastAsia="GHEA Grapalat" w:hAnsi="GHEA Grapalat" w:cs="GHEA Grapalat"/>
          <w:b/>
          <w:color w:val="000000"/>
          <w:lang w:val="hy-AM"/>
        </w:rPr>
        <w:t>1.11</w:t>
      </w:r>
      <w:r w:rsidRPr="00F64AD4">
        <w:rPr>
          <w:rFonts w:ascii="GHEA Grapalat" w:eastAsia="GHEA Grapalat" w:hAnsi="GHEA Grapalat" w:cs="GHEA Grapalat"/>
          <w:b/>
          <w:color w:val="000000"/>
          <w:lang w:val="hy-AM"/>
        </w:rPr>
        <w:t xml:space="preserve"> անգամ, </w:t>
      </w:r>
    </w:p>
    <w:p w14:paraId="113FB636"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Calibri" w:eastAsia="Calibri" w:hAnsi="Calibri" w:cs="Calibri"/>
          <w:color w:val="000000"/>
          <w:lang w:val="hy-AM"/>
        </w:rPr>
      </w:pPr>
      <w:r w:rsidRPr="00F64AD4">
        <w:rPr>
          <w:rFonts w:ascii="GHEA Grapalat" w:eastAsia="GHEA Grapalat" w:hAnsi="GHEA Grapalat" w:cs="GHEA Grapalat"/>
          <w:color w:val="000000"/>
          <w:lang w:val="hy-AM"/>
        </w:rPr>
        <w:t xml:space="preserve">նվազագույն սպառողական զամբյուղի արժեքը </w:t>
      </w:r>
      <w:r>
        <w:rPr>
          <w:rFonts w:ascii="GHEA Grapalat" w:eastAsia="GHEA Grapalat" w:hAnsi="GHEA Grapalat" w:cs="GHEA Grapalat"/>
          <w:color w:val="000000"/>
          <w:lang w:val="hy-AM"/>
        </w:rPr>
        <w:t>2020</w:t>
      </w:r>
      <w:r w:rsidRPr="00F64AD4">
        <w:rPr>
          <w:rFonts w:ascii="GHEA Grapalat" w:eastAsia="GHEA Grapalat" w:hAnsi="GHEA Grapalat" w:cs="GHEA Grapalat"/>
          <w:color w:val="000000"/>
          <w:lang w:val="hy-AM"/>
        </w:rPr>
        <w:t>թ.-ի I եռամսյակի միջին ընթացիկ գներով կազմել է 61,390.7  դրամ</w:t>
      </w:r>
      <w:r>
        <w:rPr>
          <w:rFonts w:ascii="GHEA Grapalat" w:eastAsia="GHEA Grapalat" w:hAnsi="GHEA Grapalat" w:cs="GHEA Grapalat"/>
          <w:color w:val="000000"/>
          <w:vertAlign w:val="superscript"/>
        </w:rPr>
        <w:footnoteReference w:id="15"/>
      </w:r>
      <w:r w:rsidRPr="00F64AD4">
        <w:rPr>
          <w:rFonts w:ascii="GHEA Grapalat" w:eastAsia="GHEA Grapalat" w:hAnsi="GHEA Grapalat" w:cs="GHEA Grapalat"/>
          <w:color w:val="000000"/>
          <w:lang w:val="hy-AM"/>
        </w:rPr>
        <w:t>, իսկ 2023թ.</w:t>
      </w:r>
      <w:r>
        <w:rPr>
          <w:rFonts w:ascii="GHEA Grapalat" w:eastAsia="GHEA Grapalat" w:hAnsi="GHEA Grapalat" w:cs="GHEA Grapalat"/>
          <w:color w:val="000000"/>
          <w:lang w:val="hy-AM"/>
        </w:rPr>
        <w:t>-ի</w:t>
      </w:r>
      <w:r w:rsidRPr="00F64AD4">
        <w:rPr>
          <w:rFonts w:ascii="GHEA Grapalat" w:eastAsia="GHEA Grapalat" w:hAnsi="GHEA Grapalat" w:cs="GHEA Grapalat"/>
          <w:color w:val="000000"/>
          <w:lang w:val="hy-AM"/>
        </w:rPr>
        <w:t xml:space="preserve"> II եռամսյակի միջին ընթացիկ գներով` 80,045.9 դրամ</w:t>
      </w:r>
      <w:r>
        <w:rPr>
          <w:rStyle w:val="FootnoteReference"/>
          <w:rFonts w:ascii="GHEA Grapalat" w:eastAsia="GHEA Grapalat" w:hAnsi="GHEA Grapalat" w:cs="GHEA Grapalat"/>
          <w:color w:val="000000"/>
        </w:rPr>
        <w:footnoteReference w:id="16"/>
      </w:r>
      <w:r w:rsidRPr="00F64AD4">
        <w:rPr>
          <w:rFonts w:ascii="GHEA Grapalat" w:eastAsia="GHEA Grapalat" w:hAnsi="GHEA Grapalat" w:cs="GHEA Grapalat"/>
          <w:color w:val="000000"/>
          <w:lang w:val="hy-AM"/>
        </w:rPr>
        <w:t xml:space="preserve">՝ </w:t>
      </w:r>
      <w:r w:rsidRPr="00F64AD4">
        <w:rPr>
          <w:rFonts w:ascii="GHEA Grapalat" w:eastAsia="GHEA Grapalat" w:hAnsi="GHEA Grapalat" w:cs="GHEA Grapalat"/>
          <w:b/>
          <w:color w:val="000000"/>
          <w:lang w:val="hy-AM"/>
        </w:rPr>
        <w:t xml:space="preserve">աճելով </w:t>
      </w:r>
      <w:r>
        <w:rPr>
          <w:rFonts w:ascii="GHEA Grapalat" w:eastAsia="GHEA Grapalat" w:hAnsi="GHEA Grapalat" w:cs="GHEA Grapalat"/>
          <w:b/>
          <w:color w:val="000000"/>
          <w:lang w:val="hy-AM"/>
        </w:rPr>
        <w:t>1.3</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 xml:space="preserve">, </w:t>
      </w:r>
    </w:p>
    <w:p w14:paraId="543DE0B3"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Calibri" w:eastAsia="Calibri" w:hAnsi="Calibri" w:cs="Calibri"/>
          <w:color w:val="000000"/>
          <w:lang w:val="hy-AM"/>
        </w:rPr>
      </w:pPr>
      <w:r w:rsidRPr="00F64AD4">
        <w:rPr>
          <w:rFonts w:ascii="GHEA Grapalat" w:eastAsia="GHEA Grapalat" w:hAnsi="GHEA Grapalat" w:cs="GHEA Grapalat"/>
          <w:color w:val="000000"/>
          <w:lang w:val="hy-AM"/>
        </w:rPr>
        <w:t>նվազագույն աշխատավարձի չափը 20</w:t>
      </w:r>
      <w:r>
        <w:rPr>
          <w:rFonts w:ascii="GHEA Grapalat" w:eastAsia="GHEA Grapalat" w:hAnsi="GHEA Grapalat" w:cs="GHEA Grapalat"/>
          <w:color w:val="000000"/>
          <w:lang w:val="hy-AM"/>
        </w:rPr>
        <w:t>20</w:t>
      </w:r>
      <w:r w:rsidRPr="00F64AD4">
        <w:rPr>
          <w:rFonts w:ascii="GHEA Grapalat" w:eastAsia="GHEA Grapalat" w:hAnsi="GHEA Grapalat" w:cs="GHEA Grapalat"/>
          <w:color w:val="000000"/>
          <w:lang w:val="hy-AM"/>
        </w:rPr>
        <w:t xml:space="preserve">թ. դրությամբ կազմել է </w:t>
      </w:r>
      <w:r>
        <w:rPr>
          <w:rFonts w:ascii="GHEA Grapalat" w:eastAsia="GHEA Grapalat" w:hAnsi="GHEA Grapalat" w:cs="GHEA Grapalat"/>
          <w:color w:val="000000"/>
          <w:lang w:val="hy-AM"/>
        </w:rPr>
        <w:t>68</w:t>
      </w:r>
      <w:r w:rsidRPr="00F64AD4">
        <w:rPr>
          <w:rFonts w:ascii="GHEA Grapalat" w:eastAsia="GHEA Grapalat" w:hAnsi="GHEA Grapalat" w:cs="GHEA Grapalat"/>
          <w:color w:val="000000"/>
          <w:lang w:val="hy-AM"/>
        </w:rPr>
        <w:t>,000 դրամ, իսկ 202</w:t>
      </w:r>
      <w:r>
        <w:rPr>
          <w:rFonts w:ascii="GHEA Grapalat" w:eastAsia="GHEA Grapalat" w:hAnsi="GHEA Grapalat" w:cs="GHEA Grapalat"/>
          <w:color w:val="000000"/>
          <w:lang w:val="hy-AM"/>
        </w:rPr>
        <w:t>3</w:t>
      </w:r>
      <w:r w:rsidRPr="00F64AD4">
        <w:rPr>
          <w:rFonts w:ascii="GHEA Grapalat" w:eastAsia="GHEA Grapalat" w:hAnsi="GHEA Grapalat" w:cs="GHEA Grapalat"/>
          <w:color w:val="000000"/>
          <w:lang w:val="hy-AM"/>
        </w:rPr>
        <w:t xml:space="preserve">թ.-ին` </w:t>
      </w:r>
      <w:r>
        <w:rPr>
          <w:rFonts w:ascii="GHEA Grapalat" w:eastAsia="GHEA Grapalat" w:hAnsi="GHEA Grapalat" w:cs="GHEA Grapalat"/>
          <w:color w:val="000000"/>
          <w:lang w:val="hy-AM"/>
        </w:rPr>
        <w:t>75</w:t>
      </w:r>
      <w:r w:rsidRPr="00F64AD4">
        <w:rPr>
          <w:rFonts w:ascii="GHEA Grapalat" w:eastAsia="GHEA Grapalat" w:hAnsi="GHEA Grapalat" w:cs="GHEA Grapalat"/>
          <w:color w:val="000000"/>
          <w:lang w:val="hy-AM"/>
        </w:rPr>
        <w:t xml:space="preserve">,000 դրամ, </w:t>
      </w:r>
      <w:r w:rsidRPr="00F64AD4">
        <w:rPr>
          <w:rFonts w:ascii="GHEA Grapalat" w:eastAsia="GHEA Grapalat" w:hAnsi="GHEA Grapalat" w:cs="GHEA Grapalat"/>
          <w:b/>
          <w:color w:val="000000"/>
          <w:lang w:val="hy-AM"/>
        </w:rPr>
        <w:t xml:space="preserve">աճելով </w:t>
      </w:r>
      <w:r>
        <w:rPr>
          <w:rFonts w:ascii="GHEA Grapalat" w:eastAsia="GHEA Grapalat" w:hAnsi="GHEA Grapalat" w:cs="GHEA Grapalat"/>
          <w:b/>
          <w:color w:val="000000"/>
          <w:lang w:val="hy-AM"/>
        </w:rPr>
        <w:t>1.1</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 xml:space="preserve">, </w:t>
      </w:r>
    </w:p>
    <w:p w14:paraId="64E21DE0"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Calibri" w:eastAsia="Calibri" w:hAnsi="Calibri" w:cs="Calibri"/>
          <w:color w:val="000000"/>
          <w:lang w:val="hy-AM"/>
        </w:rPr>
      </w:pPr>
      <w:r w:rsidRPr="00F64AD4">
        <w:rPr>
          <w:rFonts w:ascii="GHEA Grapalat" w:eastAsia="GHEA Grapalat" w:hAnsi="GHEA Grapalat" w:cs="GHEA Grapalat"/>
          <w:color w:val="000000"/>
          <w:lang w:val="hy-AM"/>
        </w:rPr>
        <w:t xml:space="preserve">աղքատության ընդհանուր գիծը </w:t>
      </w:r>
      <w:r>
        <w:rPr>
          <w:rFonts w:ascii="GHEA Grapalat" w:eastAsia="GHEA Grapalat" w:hAnsi="GHEA Grapalat" w:cs="GHEA Grapalat"/>
          <w:color w:val="000000"/>
          <w:lang w:val="hy-AM"/>
        </w:rPr>
        <w:t>20</w:t>
      </w:r>
      <w:r w:rsidRPr="00F64AD4">
        <w:rPr>
          <w:rFonts w:ascii="GHEA Grapalat" w:eastAsia="GHEA Grapalat" w:hAnsi="GHEA Grapalat" w:cs="GHEA Grapalat"/>
          <w:color w:val="000000"/>
          <w:lang w:val="hy-AM"/>
        </w:rPr>
        <w:t xml:space="preserve">18թ.-ին </w:t>
      </w:r>
      <w:r>
        <w:rPr>
          <w:rFonts w:ascii="GHEA Grapalat" w:eastAsia="GHEA Grapalat" w:hAnsi="GHEA Grapalat" w:cs="GHEA Grapalat"/>
          <w:color w:val="000000"/>
          <w:lang w:val="hy-AM"/>
        </w:rPr>
        <w:t>կազմել</w:t>
      </w:r>
      <w:r w:rsidRPr="00F64AD4">
        <w:rPr>
          <w:rFonts w:ascii="GHEA Grapalat" w:eastAsia="GHEA Grapalat" w:hAnsi="GHEA Grapalat" w:cs="GHEA Grapalat"/>
          <w:color w:val="000000"/>
          <w:lang w:val="hy-AM"/>
        </w:rPr>
        <w:t xml:space="preserve"> է </w:t>
      </w:r>
      <w:r w:rsidRPr="00AA4D84">
        <w:rPr>
          <w:rFonts w:ascii="GHEA Grapalat" w:eastAsia="GHEA Grapalat" w:hAnsi="GHEA Grapalat" w:cs="GHEA Grapalat"/>
          <w:color w:val="000000"/>
          <w:lang w:val="hy-AM"/>
        </w:rPr>
        <w:t>42,621</w:t>
      </w:r>
      <w:r w:rsidRPr="00F64AD4">
        <w:rPr>
          <w:rFonts w:ascii="GHEA Grapalat" w:eastAsia="GHEA Grapalat" w:hAnsi="GHEA Grapalat" w:cs="GHEA Grapalat"/>
          <w:color w:val="000000"/>
          <w:lang w:val="hy-AM"/>
        </w:rPr>
        <w:t xml:space="preserve"> դրամ</w:t>
      </w:r>
      <w:r w:rsidRPr="00AA4D84">
        <w:rPr>
          <w:rFonts w:ascii="GHEA Grapalat" w:eastAsia="GHEA Grapalat" w:hAnsi="GHEA Grapalat" w:cs="GHEA Grapalat"/>
          <w:color w:val="000000"/>
          <w:vertAlign w:val="superscript"/>
        </w:rPr>
        <w:footnoteReference w:id="17"/>
      </w:r>
      <w:r w:rsidRPr="00F64AD4">
        <w:rPr>
          <w:rFonts w:ascii="GHEA Grapalat" w:eastAsia="GHEA Grapalat" w:hAnsi="GHEA Grapalat" w:cs="GHEA Grapalat"/>
          <w:color w:val="000000"/>
          <w:lang w:val="hy-AM"/>
        </w:rPr>
        <w:t>, իսկ 20</w:t>
      </w:r>
      <w:r>
        <w:rPr>
          <w:rFonts w:ascii="GHEA Grapalat" w:eastAsia="GHEA Grapalat" w:hAnsi="GHEA Grapalat" w:cs="GHEA Grapalat"/>
          <w:color w:val="000000"/>
          <w:lang w:val="hy-AM"/>
        </w:rPr>
        <w:t>21</w:t>
      </w:r>
      <w:r w:rsidRPr="00F64AD4">
        <w:rPr>
          <w:rFonts w:ascii="GHEA Grapalat" w:eastAsia="GHEA Grapalat" w:hAnsi="GHEA Grapalat" w:cs="GHEA Grapalat"/>
          <w:color w:val="000000"/>
          <w:lang w:val="hy-AM"/>
        </w:rPr>
        <w:t>թ.-ին</w:t>
      </w:r>
      <w:r>
        <w:rPr>
          <w:rFonts w:ascii="GHEA Grapalat" w:eastAsia="GHEA Grapalat" w:hAnsi="GHEA Grapalat" w:cs="GHEA Grapalat"/>
          <w:color w:val="000000"/>
          <w:lang w:val="hy-AM"/>
        </w:rPr>
        <w:t xml:space="preserve"> միջինում</w:t>
      </w:r>
      <w:r w:rsidRPr="00F64AD4">
        <w:rPr>
          <w:rFonts w:ascii="GHEA Grapalat" w:eastAsia="GHEA Grapalat" w:hAnsi="GHEA Grapalat" w:cs="GHEA Grapalat"/>
          <w:color w:val="000000"/>
          <w:lang w:val="hy-AM"/>
        </w:rPr>
        <w:t xml:space="preserve">՝ </w:t>
      </w:r>
      <w:r w:rsidRPr="00AA4D84">
        <w:rPr>
          <w:rFonts w:ascii="GHEA Grapalat" w:eastAsia="GHEA Grapalat" w:hAnsi="GHEA Grapalat" w:cs="GHEA Grapalat"/>
          <w:color w:val="000000"/>
          <w:lang w:val="hy-AM"/>
        </w:rPr>
        <w:t>48,145</w:t>
      </w:r>
      <w:r w:rsidRPr="00F64AD4">
        <w:rPr>
          <w:rFonts w:ascii="GHEA Grapalat" w:eastAsia="GHEA Grapalat" w:hAnsi="GHEA Grapalat" w:cs="GHEA Grapalat"/>
          <w:color w:val="000000"/>
          <w:lang w:val="hy-AM"/>
        </w:rPr>
        <w:t xml:space="preserve"> դրամ</w:t>
      </w:r>
      <w:r w:rsidRPr="00AA4D84">
        <w:rPr>
          <w:rStyle w:val="FootnoteReference"/>
          <w:rFonts w:ascii="GHEA Grapalat" w:eastAsia="GHEA Grapalat" w:hAnsi="GHEA Grapalat" w:cs="GHEA Grapalat"/>
          <w:color w:val="000000"/>
        </w:rPr>
        <w:footnoteReference w:id="18"/>
      </w:r>
      <w:r w:rsidRPr="00F64AD4">
        <w:rPr>
          <w:rFonts w:ascii="GHEA Grapalat" w:eastAsia="GHEA Grapalat" w:hAnsi="GHEA Grapalat" w:cs="GHEA Grapalat"/>
          <w:color w:val="000000"/>
          <w:lang w:val="hy-AM"/>
        </w:rPr>
        <w:t xml:space="preserve">՝ աճելով շուրջ </w:t>
      </w:r>
      <w:r w:rsidRPr="00F64AD4">
        <w:rPr>
          <w:rFonts w:ascii="GHEA Grapalat" w:eastAsia="GHEA Grapalat" w:hAnsi="GHEA Grapalat" w:cs="GHEA Grapalat"/>
          <w:b/>
          <w:color w:val="000000"/>
          <w:lang w:val="hy-AM"/>
        </w:rPr>
        <w:t>1.</w:t>
      </w:r>
      <w:r w:rsidRPr="00AA4D84">
        <w:rPr>
          <w:rFonts w:ascii="GHEA Grapalat" w:eastAsia="GHEA Grapalat" w:hAnsi="GHEA Grapalat" w:cs="GHEA Grapalat"/>
          <w:b/>
          <w:color w:val="000000"/>
          <w:lang w:val="hy-AM"/>
        </w:rPr>
        <w:t>12</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w:t>
      </w:r>
    </w:p>
    <w:p w14:paraId="51A0F4F6" w14:textId="77777777" w:rsidR="00FC37BC" w:rsidRPr="00F64AD4" w:rsidRDefault="00FC37BC" w:rsidP="00FC37BC">
      <w:pPr>
        <w:numPr>
          <w:ilvl w:val="0"/>
          <w:numId w:val="2"/>
        </w:numPr>
        <w:pBdr>
          <w:top w:val="nil"/>
          <w:left w:val="nil"/>
          <w:bottom w:val="nil"/>
          <w:right w:val="nil"/>
          <w:between w:val="nil"/>
        </w:pBdr>
        <w:spacing w:line="360" w:lineRule="auto"/>
        <w:jc w:val="both"/>
        <w:rPr>
          <w:rFonts w:ascii="Calibri" w:eastAsia="Calibri" w:hAnsi="Calibri" w:cs="Calibri"/>
          <w:color w:val="000000"/>
          <w:lang w:val="hy-AM"/>
        </w:rPr>
      </w:pPr>
      <w:r w:rsidRPr="00F64AD4">
        <w:rPr>
          <w:rFonts w:ascii="GHEA Grapalat" w:eastAsia="GHEA Grapalat" w:hAnsi="GHEA Grapalat" w:cs="GHEA Grapalat"/>
          <w:color w:val="000000"/>
          <w:lang w:val="hy-AM"/>
        </w:rPr>
        <w:lastRenderedPageBreak/>
        <w:t>սպառողական գների ինդեքսը 20</w:t>
      </w:r>
      <w:r>
        <w:rPr>
          <w:rFonts w:ascii="GHEA Grapalat" w:eastAsia="GHEA Grapalat" w:hAnsi="GHEA Grapalat" w:cs="GHEA Grapalat"/>
          <w:color w:val="000000"/>
          <w:lang w:val="hy-AM"/>
        </w:rPr>
        <w:t>23</w:t>
      </w:r>
      <w:r w:rsidRPr="00F64AD4">
        <w:rPr>
          <w:rFonts w:ascii="GHEA Grapalat" w:eastAsia="GHEA Grapalat" w:hAnsi="GHEA Grapalat" w:cs="GHEA Grapalat"/>
          <w:color w:val="000000"/>
          <w:lang w:val="hy-AM"/>
        </w:rPr>
        <w:t xml:space="preserve">թ.-ի </w:t>
      </w:r>
      <w:r>
        <w:rPr>
          <w:rFonts w:ascii="GHEA Grapalat" w:eastAsia="GHEA Grapalat" w:hAnsi="GHEA Grapalat" w:cs="GHEA Grapalat"/>
          <w:color w:val="000000"/>
          <w:lang w:val="hy-AM"/>
        </w:rPr>
        <w:t>օգոստոս ամսին</w:t>
      </w:r>
      <w:r w:rsidRPr="00F64AD4">
        <w:rPr>
          <w:rFonts w:ascii="GHEA Grapalat" w:eastAsia="GHEA Grapalat" w:hAnsi="GHEA Grapalat" w:cs="GHEA Grapalat"/>
          <w:color w:val="000000"/>
          <w:lang w:val="hy-AM"/>
        </w:rPr>
        <w:t xml:space="preserve"> ի համեմատ 20</w:t>
      </w:r>
      <w:r>
        <w:rPr>
          <w:rFonts w:ascii="GHEA Grapalat" w:eastAsia="GHEA Grapalat" w:hAnsi="GHEA Grapalat" w:cs="GHEA Grapalat"/>
          <w:color w:val="000000"/>
          <w:lang w:val="hy-AM"/>
        </w:rPr>
        <w:t>20</w:t>
      </w:r>
      <w:r w:rsidRPr="00F64AD4">
        <w:rPr>
          <w:rFonts w:ascii="GHEA Grapalat" w:eastAsia="GHEA Grapalat" w:hAnsi="GHEA Grapalat" w:cs="GHEA Grapalat"/>
          <w:color w:val="000000"/>
          <w:lang w:val="hy-AM"/>
        </w:rPr>
        <w:t xml:space="preserve">թ.-ի </w:t>
      </w:r>
      <w:r>
        <w:rPr>
          <w:rFonts w:ascii="GHEA Grapalat" w:eastAsia="GHEA Grapalat" w:hAnsi="GHEA Grapalat" w:cs="GHEA Grapalat"/>
          <w:color w:val="000000"/>
          <w:lang w:val="hy-AM"/>
        </w:rPr>
        <w:t xml:space="preserve">հունվարի 1-ի </w:t>
      </w:r>
      <w:r w:rsidRPr="00F64AD4">
        <w:rPr>
          <w:rFonts w:ascii="GHEA Grapalat" w:eastAsia="GHEA Grapalat" w:hAnsi="GHEA Grapalat" w:cs="GHEA Grapalat"/>
          <w:color w:val="000000"/>
          <w:lang w:val="hy-AM"/>
        </w:rPr>
        <w:t xml:space="preserve">դրությամբ կազմել է </w:t>
      </w:r>
      <w:r>
        <w:rPr>
          <w:rFonts w:ascii="GHEA Grapalat" w:eastAsia="GHEA Grapalat" w:hAnsi="GHEA Grapalat" w:cs="GHEA Grapalat"/>
          <w:color w:val="000000"/>
          <w:lang w:val="hy-AM"/>
        </w:rPr>
        <w:t>15</w:t>
      </w:r>
      <w:r w:rsidRPr="00F64AD4">
        <w:rPr>
          <w:rFonts w:ascii="GHEA Grapalat" w:eastAsia="GHEA Grapalat" w:hAnsi="GHEA Grapalat" w:cs="GHEA Grapalat"/>
          <w:color w:val="000000"/>
          <w:lang w:val="hy-AM"/>
        </w:rPr>
        <w:t>.</w:t>
      </w:r>
      <w:r>
        <w:rPr>
          <w:rFonts w:ascii="GHEA Grapalat" w:eastAsia="GHEA Grapalat" w:hAnsi="GHEA Grapalat" w:cs="GHEA Grapalat"/>
          <w:color w:val="000000"/>
          <w:lang w:val="hy-AM"/>
        </w:rPr>
        <w:t>47</w:t>
      </w:r>
      <w:r w:rsidRPr="00F64AD4">
        <w:rPr>
          <w:rFonts w:ascii="GHEA Grapalat" w:eastAsia="GHEA Grapalat" w:hAnsi="GHEA Grapalat" w:cs="GHEA Grapalat"/>
          <w:color w:val="000000"/>
          <w:lang w:val="hy-AM"/>
        </w:rPr>
        <w:t>%</w:t>
      </w:r>
      <w:r>
        <w:rPr>
          <w:rFonts w:ascii="GHEA Grapalat" w:eastAsia="GHEA Grapalat" w:hAnsi="GHEA Grapalat" w:cs="GHEA Grapalat"/>
          <w:color w:val="000000"/>
          <w:vertAlign w:val="superscript"/>
        </w:rPr>
        <w:footnoteReference w:id="19"/>
      </w:r>
      <w:r w:rsidRPr="00F64AD4">
        <w:rPr>
          <w:rFonts w:ascii="GHEA Grapalat" w:eastAsia="GHEA Grapalat" w:hAnsi="GHEA Grapalat" w:cs="GHEA Grapalat"/>
          <w:color w:val="000000"/>
          <w:lang w:val="hy-AM"/>
        </w:rPr>
        <w:t xml:space="preserve">` աճելով շուրջ </w:t>
      </w:r>
      <w:r w:rsidRPr="00F64AD4">
        <w:rPr>
          <w:rFonts w:ascii="GHEA Grapalat" w:eastAsia="GHEA Grapalat" w:hAnsi="GHEA Grapalat" w:cs="GHEA Grapalat"/>
          <w:b/>
          <w:color w:val="000000"/>
          <w:lang w:val="hy-AM"/>
        </w:rPr>
        <w:t>1.</w:t>
      </w:r>
      <w:r>
        <w:rPr>
          <w:rFonts w:ascii="GHEA Grapalat" w:eastAsia="GHEA Grapalat" w:hAnsi="GHEA Grapalat" w:cs="GHEA Grapalat"/>
          <w:b/>
          <w:color w:val="000000"/>
          <w:lang w:val="hy-AM"/>
        </w:rPr>
        <w:t>15</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w:t>
      </w:r>
    </w:p>
    <w:p w14:paraId="298C1073" w14:textId="685FA761" w:rsidR="00FC37BC" w:rsidRDefault="00FC37BC" w:rsidP="00FC37BC">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F64AD4">
        <w:rPr>
          <w:rFonts w:ascii="GHEA Grapalat" w:eastAsia="GHEA Grapalat" w:hAnsi="GHEA Grapalat" w:cs="GHEA Grapalat"/>
          <w:color w:val="000000"/>
          <w:lang w:val="hy-AM"/>
        </w:rPr>
        <w:t>Արդյունքում, նշված սոցիալ-տնտեսական ցուցանիշները 20</w:t>
      </w:r>
      <w:r>
        <w:rPr>
          <w:rFonts w:ascii="GHEA Grapalat" w:eastAsia="GHEA Grapalat" w:hAnsi="GHEA Grapalat" w:cs="GHEA Grapalat"/>
          <w:color w:val="000000"/>
          <w:lang w:val="hy-AM"/>
        </w:rPr>
        <w:t>20</w:t>
      </w:r>
      <w:r w:rsidRPr="00F64AD4">
        <w:rPr>
          <w:rFonts w:ascii="GHEA Grapalat" w:eastAsia="GHEA Grapalat" w:hAnsi="GHEA Grapalat" w:cs="GHEA Grapalat"/>
          <w:color w:val="000000"/>
          <w:lang w:val="hy-AM"/>
        </w:rPr>
        <w:t>թ.-ից մինչև 20</w:t>
      </w:r>
      <w:r>
        <w:rPr>
          <w:rFonts w:ascii="GHEA Grapalat" w:eastAsia="GHEA Grapalat" w:hAnsi="GHEA Grapalat" w:cs="GHEA Grapalat"/>
          <w:color w:val="000000"/>
          <w:lang w:val="hy-AM"/>
        </w:rPr>
        <w:t>23</w:t>
      </w:r>
      <w:r w:rsidRPr="00F64AD4">
        <w:rPr>
          <w:rFonts w:ascii="GHEA Grapalat" w:eastAsia="GHEA Grapalat" w:hAnsi="GHEA Grapalat" w:cs="GHEA Grapalat"/>
          <w:color w:val="000000"/>
          <w:lang w:val="hy-AM"/>
        </w:rPr>
        <w:t xml:space="preserve">թ.-ի </w:t>
      </w:r>
      <w:r>
        <w:rPr>
          <w:rFonts w:ascii="GHEA Grapalat" w:eastAsia="GHEA Grapalat" w:hAnsi="GHEA Grapalat" w:cs="GHEA Grapalat"/>
          <w:color w:val="000000"/>
          <w:lang w:val="hy-AM"/>
        </w:rPr>
        <w:t>երրորդ</w:t>
      </w:r>
      <w:r w:rsidRPr="00F64AD4">
        <w:rPr>
          <w:rFonts w:ascii="GHEA Grapalat" w:eastAsia="GHEA Grapalat" w:hAnsi="GHEA Grapalat" w:cs="GHEA Grapalat"/>
          <w:color w:val="000000"/>
          <w:lang w:val="hy-AM"/>
        </w:rPr>
        <w:t xml:space="preserve"> եռամսյակը աճել են </w:t>
      </w:r>
      <w:r w:rsidRPr="00F64AD4">
        <w:rPr>
          <w:rFonts w:ascii="GHEA Grapalat" w:eastAsia="GHEA Grapalat" w:hAnsi="GHEA Grapalat" w:cs="GHEA Grapalat"/>
          <w:b/>
          <w:color w:val="000000"/>
          <w:lang w:val="hy-AM"/>
        </w:rPr>
        <w:t>միջինում 1.</w:t>
      </w:r>
      <w:r>
        <w:rPr>
          <w:rFonts w:ascii="GHEA Grapalat" w:eastAsia="GHEA Grapalat" w:hAnsi="GHEA Grapalat" w:cs="GHEA Grapalat"/>
          <w:b/>
          <w:color w:val="000000"/>
          <w:lang w:val="hy-AM"/>
        </w:rPr>
        <w:t>15</w:t>
      </w:r>
      <w:r w:rsidRPr="00F64AD4">
        <w:rPr>
          <w:rFonts w:ascii="GHEA Grapalat" w:eastAsia="GHEA Grapalat" w:hAnsi="GHEA Grapalat" w:cs="GHEA Grapalat"/>
          <w:b/>
          <w:color w:val="000000"/>
          <w:lang w:val="hy-AM"/>
        </w:rPr>
        <w:t xml:space="preserve"> անգամ</w:t>
      </w:r>
      <w:r w:rsidRPr="00F64AD4">
        <w:rPr>
          <w:rFonts w:ascii="GHEA Grapalat" w:eastAsia="GHEA Grapalat" w:hAnsi="GHEA Grapalat" w:cs="GHEA Grapalat"/>
          <w:color w:val="000000"/>
          <w:lang w:val="hy-AM"/>
        </w:rPr>
        <w:t>։</w:t>
      </w:r>
    </w:p>
    <w:p w14:paraId="70C4AF45" w14:textId="5855FCFA" w:rsidR="00FC37BC" w:rsidRDefault="00394493" w:rsidP="00FC37BC">
      <w:pPr>
        <w:pBdr>
          <w:top w:val="nil"/>
          <w:left w:val="nil"/>
          <w:bottom w:val="nil"/>
          <w:right w:val="nil"/>
          <w:between w:val="nil"/>
        </w:pBdr>
        <w:spacing w:line="360" w:lineRule="auto"/>
        <w:ind w:firstLine="567"/>
        <w:jc w:val="both"/>
        <w:rPr>
          <w:rFonts w:ascii="GHEA Grapalat" w:hAnsi="GHEA Grapalat"/>
          <w:lang w:val="hy-AM"/>
        </w:rPr>
      </w:pPr>
      <w:r>
        <w:rPr>
          <w:rFonts w:ascii="GHEA Grapalat" w:hAnsi="GHEA Grapalat"/>
          <w:lang w:val="hy-AM"/>
        </w:rPr>
        <w:t xml:space="preserve">Այսպես ստեղծված իրավիճակում </w:t>
      </w:r>
      <w:r w:rsidR="00FC37BC">
        <w:rPr>
          <w:rFonts w:ascii="GHEA Grapalat" w:hAnsi="GHEA Grapalat"/>
          <w:lang w:val="hy-AM"/>
        </w:rPr>
        <w:t xml:space="preserve">ընդհանուր հայցային վարույթով և պարզեցված վարույթի կարգով քննվող գործերի </w:t>
      </w:r>
      <w:r>
        <w:rPr>
          <w:rFonts w:ascii="GHEA Grapalat" w:hAnsi="GHEA Grapalat"/>
          <w:lang w:val="hy-AM"/>
        </w:rPr>
        <w:t>համար գանձվող տուրքի տարբերակման անհրաժեշտությունը</w:t>
      </w:r>
      <w:r w:rsidR="00F70CA2">
        <w:rPr>
          <w:rFonts w:ascii="GHEA Grapalat" w:hAnsi="GHEA Grapalat"/>
          <w:lang w:val="hy-AM"/>
        </w:rPr>
        <w:t xml:space="preserve"> </w:t>
      </w:r>
      <w:r>
        <w:rPr>
          <w:rFonts w:ascii="GHEA Grapalat" w:hAnsi="GHEA Grapalat"/>
          <w:lang w:val="hy-AM"/>
        </w:rPr>
        <w:t>վերանում է</w:t>
      </w:r>
      <w:r w:rsidR="00F70CA2">
        <w:rPr>
          <w:rFonts w:ascii="GHEA Grapalat" w:hAnsi="GHEA Grapalat"/>
          <w:lang w:val="hy-AM"/>
        </w:rPr>
        <w:t>: Ընդ որում, այդ հանգամանքը հատկապես ընդգծվում է</w:t>
      </w:r>
      <w:r w:rsidR="00F70CA2" w:rsidRPr="00F70CA2">
        <w:rPr>
          <w:rFonts w:ascii="GHEA Grapalat" w:hAnsi="GHEA Grapalat"/>
          <w:lang w:val="hy-AM"/>
        </w:rPr>
        <w:t xml:space="preserve"> </w:t>
      </w:r>
      <w:r w:rsidR="00F70CA2">
        <w:rPr>
          <w:rFonts w:ascii="GHEA Grapalat" w:hAnsi="GHEA Grapalat"/>
          <w:lang w:val="hy-AM"/>
        </w:rPr>
        <w:t>գումարի բռնագանձման պահանջների դեպքում՝ ստեղծելով նաև</w:t>
      </w:r>
      <w:r w:rsidR="00FC37BC">
        <w:rPr>
          <w:rFonts w:ascii="GHEA Grapalat" w:hAnsi="GHEA Grapalat"/>
          <w:lang w:val="hy-AM"/>
        </w:rPr>
        <w:t xml:space="preserve"> չարաշահումների </w:t>
      </w:r>
      <w:r w:rsidR="00F70CA2">
        <w:rPr>
          <w:rFonts w:ascii="GHEA Grapalat" w:hAnsi="GHEA Grapalat"/>
          <w:lang w:val="hy-AM"/>
        </w:rPr>
        <w:t>հիմքեր</w:t>
      </w:r>
      <w:r w:rsidR="00FC37BC">
        <w:rPr>
          <w:rFonts w:ascii="GHEA Grapalat" w:hAnsi="GHEA Grapalat"/>
          <w:lang w:val="hy-AM"/>
        </w:rPr>
        <w:t xml:space="preserve">: </w:t>
      </w:r>
    </w:p>
    <w:p w14:paraId="2297E1A0" w14:textId="77777777" w:rsidR="00892ECB" w:rsidRPr="00D27A1C" w:rsidRDefault="00892ECB" w:rsidP="007D2A81">
      <w:pPr>
        <w:pBdr>
          <w:top w:val="nil"/>
          <w:left w:val="nil"/>
          <w:bottom w:val="nil"/>
          <w:right w:val="nil"/>
          <w:between w:val="nil"/>
        </w:pBdr>
        <w:spacing w:line="360" w:lineRule="auto"/>
        <w:ind w:firstLine="567"/>
        <w:jc w:val="both"/>
        <w:rPr>
          <w:rFonts w:ascii="GHEA Grapalat" w:eastAsia="GHEA Grapalat" w:hAnsi="GHEA Grapalat" w:cs="GHEA Grapalat"/>
          <w:color w:val="000000"/>
          <w:lang w:val="hy-AM"/>
        </w:rPr>
      </w:pPr>
      <w:r w:rsidRPr="00D27A1C">
        <w:rPr>
          <w:rFonts w:ascii="GHEA Grapalat" w:hAnsi="GHEA Grapalat"/>
          <w:lang w:val="hy-AM"/>
        </w:rPr>
        <w:t xml:space="preserve">Պետական տուրքերի վերանայման տեսանկյունից հարկ է անդրադառնալ նաև Սահմանադրական դատարանի դիրքորոշումներին։ Մասնավորապես, </w:t>
      </w:r>
      <w:r>
        <w:rPr>
          <w:rFonts w:ascii="GHEA Grapalat" w:hAnsi="GHEA Grapalat"/>
          <w:lang w:val="hy-AM"/>
        </w:rPr>
        <w:t xml:space="preserve">ինչպես արդեն նշել ենք, </w:t>
      </w:r>
      <w:r w:rsidRPr="00D27A1C">
        <w:rPr>
          <w:rFonts w:ascii="GHEA Grapalat" w:hAnsi="GHEA Grapalat"/>
          <w:lang w:val="hy-AM"/>
        </w:rPr>
        <w:t>համաձայն Սահմանադրական դատարանի 10.07.2018թ.-ի թիվ ՍԴՈ-1423 որոշման՝ պետական տուրք վճարելու պարտականության սահմանումը նպատակ է հետապնդում, նախ՝ որոշակիորեն փոխհատուցել պետության կողմից հանրային ծառայություններ մատուցելու, այդ թվում` արդարադատության իրականացման հետ կապված ծախսերը, իսկ վերջինիս դեպքում նաև՝ մասամբ նախականխել ակնհայտ անհիմն հայցադիմումների հոսքը՝ նպաստելով թե՛ արդարադատության իրականացման արդյունավետության բարձրացմանը, և թե՛ դատարան դիմելու իրավունքի իրացման հնարավոր շահարկման կանխարգելմանը:</w:t>
      </w:r>
      <w:r w:rsidRPr="00D27A1C">
        <w:rPr>
          <w:rFonts w:ascii="GHEA Grapalat" w:eastAsia="GHEA Grapalat" w:hAnsi="GHEA Grapalat" w:cs="GHEA Grapalat"/>
          <w:color w:val="000000"/>
          <w:lang w:val="hy-AM"/>
        </w:rPr>
        <w:t xml:space="preserve"> Այսինքն, պետական տուրքի գանձումը միաժամանակ ապահովում է մի քանի իրավաչափ նպատակների իրականացում՝ կատարելով և՛ փոխհատուցող, և՛ կանխարգելող գործառույթներ: </w:t>
      </w:r>
    </w:p>
    <w:p w14:paraId="37B78A72" w14:textId="3117AC12" w:rsidR="00892ECB" w:rsidRDefault="00892ECB" w:rsidP="00892ECB">
      <w:pPr>
        <w:spacing w:line="360" w:lineRule="auto"/>
        <w:ind w:right="4" w:firstLine="567"/>
        <w:jc w:val="both"/>
        <w:rPr>
          <w:rFonts w:ascii="GHEA Grapalat" w:hAnsi="GHEA Grapalat"/>
          <w:lang w:val="hy-AM"/>
        </w:rPr>
      </w:pPr>
      <w:r w:rsidRPr="00037F56">
        <w:rPr>
          <w:rFonts w:ascii="GHEA Grapalat" w:hAnsi="GHEA Grapalat"/>
          <w:lang w:val="hy-AM"/>
        </w:rPr>
        <w:t xml:space="preserve">Ուստի, դատարանների գործունեության արդյունավետության </w:t>
      </w:r>
      <w:r>
        <w:rPr>
          <w:rFonts w:ascii="GHEA Grapalat" w:hAnsi="GHEA Grapalat"/>
          <w:lang w:val="hy-AM"/>
        </w:rPr>
        <w:t>բարձրացումը</w:t>
      </w:r>
      <w:r w:rsidRPr="00037F56">
        <w:rPr>
          <w:rFonts w:ascii="GHEA Grapalat" w:hAnsi="GHEA Grapalat"/>
          <w:lang w:val="hy-AM"/>
        </w:rPr>
        <w:t xml:space="preserve"> կարող է պայմանավորվել այն հանգամանքով, որ առավել լիարժեք կապահովվի պետական տուրքի կանխարգելող գործառույթը՝ բացառելով անհիմն հայցադիմումներով և դիմումներով դատարանների ծանրաբեռնումը,</w:t>
      </w:r>
      <w:r>
        <w:rPr>
          <w:rFonts w:ascii="GHEA Grapalat" w:hAnsi="GHEA Grapalat"/>
          <w:lang w:val="hy-AM"/>
        </w:rPr>
        <w:t xml:space="preserve"> նոտարների </w:t>
      </w:r>
      <w:r>
        <w:rPr>
          <w:rFonts w:ascii="GHEA Grapalat" w:hAnsi="GHEA Grapalat"/>
          <w:lang w:val="hy-AM"/>
        </w:rPr>
        <w:lastRenderedPageBreak/>
        <w:t xml:space="preserve">կողմից </w:t>
      </w:r>
      <w:r>
        <w:rPr>
          <w:rFonts w:ascii="GHEA Grapalat" w:eastAsia="GHEA Grapalat" w:hAnsi="GHEA Grapalat" w:cs="GHEA Grapalat"/>
          <w:color w:val="000000"/>
          <w:lang w:val="hy-AM"/>
        </w:rPr>
        <w:t xml:space="preserve">գումարի </w:t>
      </w:r>
      <w:r w:rsidR="00F97F37">
        <w:rPr>
          <w:rFonts w:ascii="GHEA Grapalat" w:eastAsia="GHEA Grapalat" w:hAnsi="GHEA Grapalat" w:cs="GHEA Grapalat"/>
          <w:color w:val="000000"/>
          <w:lang w:val="hy-AM"/>
        </w:rPr>
        <w:t>բռնագանձման</w:t>
      </w:r>
      <w:r>
        <w:rPr>
          <w:rFonts w:ascii="GHEA Grapalat" w:eastAsia="GHEA Grapalat" w:hAnsi="GHEA Grapalat" w:cs="GHEA Grapalat"/>
          <w:color w:val="000000"/>
          <w:lang w:val="hy-AM"/>
        </w:rPr>
        <w:t xml:space="preserve"> պահանջով կարգադրություն արձակելու համար</w:t>
      </w:r>
      <w:r w:rsidRPr="002D6927">
        <w:rPr>
          <w:rFonts w:ascii="GHEA Grapalat" w:hAnsi="GHEA Grapalat"/>
          <w:lang w:val="hy-AM"/>
        </w:rPr>
        <w:t xml:space="preserve"> </w:t>
      </w:r>
      <w:r>
        <w:rPr>
          <w:rFonts w:ascii="GHEA Grapalat" w:hAnsi="GHEA Grapalat"/>
          <w:lang w:val="hy-AM"/>
        </w:rPr>
        <w:t xml:space="preserve">սահմանված պետական տուրքի և ծառայության վճարի ու դատարանների կողմից գործի քննության և լուծման համար սահմանված վճարների ոչ մեծ տարբերակվածությունը, </w:t>
      </w:r>
      <w:r w:rsidRPr="002D6927">
        <w:rPr>
          <w:rFonts w:ascii="GHEA Grapalat" w:hAnsi="GHEA Grapalat"/>
          <w:lang w:val="hy-AM"/>
        </w:rPr>
        <w:t xml:space="preserve">միաժամանակ, բարձրացնելով նաև </w:t>
      </w:r>
      <w:r>
        <w:rPr>
          <w:rFonts w:ascii="GHEA Grapalat" w:hAnsi="GHEA Grapalat"/>
          <w:lang w:val="hy-AM"/>
        </w:rPr>
        <w:t>Տ</w:t>
      </w:r>
      <w:r w:rsidRPr="002D6927">
        <w:rPr>
          <w:rFonts w:ascii="GHEA Grapalat" w:hAnsi="GHEA Grapalat"/>
          <w:lang w:val="hy-AM"/>
        </w:rPr>
        <w:t xml:space="preserve">ուրքի փոխհատուցող գործառույթի արդյունավետությունը, քանի որ </w:t>
      </w:r>
      <w:r>
        <w:rPr>
          <w:rFonts w:ascii="GHEA Grapalat" w:hAnsi="GHEA Grapalat"/>
          <w:lang w:val="hy-AM"/>
        </w:rPr>
        <w:t>Տ</w:t>
      </w:r>
      <w:r w:rsidRPr="002D6927">
        <w:rPr>
          <w:rFonts w:ascii="GHEA Grapalat" w:hAnsi="GHEA Grapalat"/>
          <w:lang w:val="hy-AM"/>
        </w:rPr>
        <w:t>ուրքի վճարումից ձևավորվող միջոցների հաշվին հնարավոր կլինի բարելավել դատարանների նյութատեխնիկական ապահովվածությունը, ավելացնել դատավորների և նրան</w:t>
      </w:r>
      <w:r>
        <w:rPr>
          <w:rFonts w:ascii="GHEA Grapalat" w:hAnsi="GHEA Grapalat"/>
          <w:lang w:val="hy-AM"/>
        </w:rPr>
        <w:t>ց</w:t>
      </w:r>
      <w:r w:rsidRPr="002D6927">
        <w:rPr>
          <w:rFonts w:ascii="GHEA Grapalat" w:hAnsi="GHEA Grapalat"/>
          <w:lang w:val="hy-AM"/>
        </w:rPr>
        <w:t xml:space="preserve"> կցված ծառայողների թվաքանակը, բարելավել նրանց սոցիալական մի շարք երաշխիքներ, այդ թվում՝ վարձատրությունը, խթանել նոր կադրերի ներգրավումը դատական համակարգ, որոնք բխում են նաև Կառավարության` 2022թ.-ի հուլիսի 21-ի «Հայաստանի Հանրապետության դատական և իրավական բարեփոխումների 2022-2026 թվականների ռազմավարությունը և դրանից բխող գործողությունների ծրագրերը հաստատելու մասին» թիվ 1133-Լ որոշմամբ (այսուհետ` Ռազմավարություն) սահմանված ռազմավարական նպատակներից:</w:t>
      </w:r>
    </w:p>
    <w:p w14:paraId="174710A8" w14:textId="77777777" w:rsidR="00892ECB" w:rsidRDefault="00892ECB" w:rsidP="00892ECB">
      <w:pPr>
        <w:spacing w:line="360" w:lineRule="auto"/>
        <w:ind w:right="4" w:firstLine="567"/>
        <w:jc w:val="both"/>
        <w:rPr>
          <w:rFonts w:ascii="GHEA Grapalat" w:hAnsi="GHEA Grapalat"/>
          <w:lang w:val="hy-AM"/>
        </w:rPr>
      </w:pPr>
    </w:p>
    <w:p w14:paraId="1C56BD52" w14:textId="77777777" w:rsidR="00892ECB" w:rsidRDefault="00892ECB" w:rsidP="00892ECB">
      <w:pPr>
        <w:pStyle w:val="NormalWeb"/>
        <w:shd w:val="clear" w:color="auto" w:fill="FFFFFF"/>
        <w:spacing w:before="0" w:beforeAutospacing="0" w:after="0" w:afterAutospacing="0" w:line="360" w:lineRule="auto"/>
        <w:ind w:firstLine="720"/>
        <w:jc w:val="both"/>
        <w:rPr>
          <w:rFonts w:ascii="GHEA Grapalat" w:hAnsi="GHEA Grapalat"/>
          <w:u w:val="single"/>
          <w:lang w:val="hy-AM"/>
        </w:rPr>
      </w:pPr>
      <w:r w:rsidRPr="00827E7F">
        <w:rPr>
          <w:rFonts w:ascii="GHEA Grapalat" w:hAnsi="GHEA Grapalat"/>
          <w:u w:val="single"/>
          <w:lang w:val="hy-AM"/>
        </w:rPr>
        <w:t>1.</w:t>
      </w:r>
      <w:r>
        <w:rPr>
          <w:rFonts w:ascii="GHEA Grapalat" w:hAnsi="GHEA Grapalat"/>
          <w:u w:val="single"/>
          <w:lang w:val="hy-AM"/>
        </w:rPr>
        <w:t>4</w:t>
      </w:r>
      <w:r w:rsidRPr="00827E7F">
        <w:rPr>
          <w:rFonts w:ascii="GHEA Grapalat" w:hAnsi="GHEA Grapalat"/>
          <w:u w:val="single"/>
          <w:lang w:val="hy-AM"/>
        </w:rPr>
        <w:t xml:space="preserve">. </w:t>
      </w:r>
      <w:r>
        <w:rPr>
          <w:rFonts w:ascii="GHEA Grapalat" w:hAnsi="GHEA Grapalat"/>
          <w:u w:val="single"/>
          <w:lang w:val="hy-AM"/>
        </w:rPr>
        <w:t>Դրամական պարտավորություն առաջադրող վարչական ակտերի վիճարկման համար Տուրքը.</w:t>
      </w:r>
    </w:p>
    <w:p w14:paraId="46A9C6C9" w14:textId="3F6DB742" w:rsidR="00892ECB" w:rsidRDefault="00892ECB" w:rsidP="00892ECB">
      <w:pPr>
        <w:pStyle w:val="NormalWeb"/>
        <w:shd w:val="clear" w:color="auto" w:fill="FFFFFF"/>
        <w:spacing w:after="0" w:afterAutospacing="0" w:line="360" w:lineRule="auto"/>
        <w:ind w:firstLine="720"/>
        <w:jc w:val="both"/>
        <w:rPr>
          <w:rFonts w:ascii="GHEA Grapalat" w:hAnsi="GHEA Grapalat"/>
          <w:lang w:val="hy-AM"/>
        </w:rPr>
      </w:pPr>
      <w:r>
        <w:rPr>
          <w:rFonts w:ascii="GHEA Grapalat" w:hAnsi="GHEA Grapalat"/>
          <w:lang w:val="hy-AM"/>
        </w:rPr>
        <w:t xml:space="preserve">19.04.2021թ.-ի թիվ ՀՕ-177-Ն օրենքով կատարված փոփոխություններով </w:t>
      </w:r>
      <w:r w:rsidRPr="007F058F">
        <w:rPr>
          <w:rFonts w:ascii="GHEA Grapalat" w:hAnsi="GHEA Grapalat"/>
          <w:lang w:val="hy-AM"/>
        </w:rPr>
        <w:t>վարչական դատավարության օրենսգրքով սահմանված կարգով դատարաններ տրվող հայցադիմումների</w:t>
      </w:r>
      <w:r w:rsidRPr="007F058F" w:rsidDel="003756AA">
        <w:rPr>
          <w:rFonts w:ascii="GHEA Grapalat" w:hAnsi="GHEA Grapalat"/>
          <w:lang w:val="hy-AM"/>
        </w:rPr>
        <w:t xml:space="preserve"> </w:t>
      </w:r>
      <w:r>
        <w:rPr>
          <w:rFonts w:ascii="GHEA Grapalat" w:hAnsi="GHEA Grapalat"/>
          <w:lang w:val="hy-AM"/>
        </w:rPr>
        <w:t xml:space="preserve">համար գանձվող տուրքերի մասով կատարվեցին էական փոփոխություններ՝ նպատակ ունենալով վերացնել </w:t>
      </w:r>
      <w:r w:rsidRPr="00037F56">
        <w:rPr>
          <w:rFonts w:ascii="GHEA Grapalat" w:hAnsi="GHEA Grapalat"/>
          <w:lang w:val="hy-AM"/>
        </w:rPr>
        <w:t>Տուրքի նկատմամբ բոլոր դեպքերում սահմանված է միատեսակ մոտեցում</w:t>
      </w:r>
      <w:r>
        <w:rPr>
          <w:rFonts w:ascii="GHEA Grapalat" w:hAnsi="GHEA Grapalat"/>
          <w:lang w:val="hy-AM"/>
        </w:rPr>
        <w:t>ը (հատկապես</w:t>
      </w:r>
      <w:r w:rsidRPr="00037F56">
        <w:rPr>
          <w:rFonts w:ascii="GHEA Grapalat" w:hAnsi="GHEA Grapalat"/>
          <w:lang w:val="hy-AM"/>
        </w:rPr>
        <w:t xml:space="preserve"> այնպիսի վարչական ակտերի վիճարկման ժամանակ, որոնցով սահմանված է դրամական արտահայտությամբ պատասխանատվության միջոց</w:t>
      </w:r>
      <w:r>
        <w:rPr>
          <w:rFonts w:ascii="GHEA Grapalat" w:hAnsi="GHEA Grapalat"/>
          <w:lang w:val="hy-AM"/>
        </w:rPr>
        <w:t xml:space="preserve">) և սահմանել </w:t>
      </w:r>
      <w:r w:rsidRPr="00037F56">
        <w:rPr>
          <w:rFonts w:ascii="GHEA Grapalat" w:hAnsi="GHEA Grapalat"/>
          <w:lang w:val="hy-AM"/>
        </w:rPr>
        <w:t>տուրքի հաշվարկման բանաձևային եղանակ</w:t>
      </w:r>
      <w:r>
        <w:rPr>
          <w:rFonts w:ascii="GHEA Grapalat" w:hAnsi="GHEA Grapalat"/>
          <w:lang w:val="hy-AM"/>
        </w:rPr>
        <w:t xml:space="preserve"> նման դեպքերի համար: Սակայն, նորմի կիրառման </w:t>
      </w:r>
      <w:r w:rsidR="00F97F37">
        <w:rPr>
          <w:rFonts w:ascii="GHEA Grapalat" w:hAnsi="GHEA Grapalat"/>
          <w:lang w:val="hy-AM"/>
        </w:rPr>
        <w:t>դատական</w:t>
      </w:r>
      <w:r>
        <w:rPr>
          <w:rFonts w:ascii="GHEA Grapalat" w:hAnsi="GHEA Grapalat"/>
          <w:lang w:val="hy-AM"/>
        </w:rPr>
        <w:t xml:space="preserve"> պրակտիկայում վեր հանված խնդիրները վկայում են, որ փոփոխված դրույթը ոչ միանշանակ է ընկալվում և կիրառվում:</w:t>
      </w:r>
      <w:r w:rsidDel="003756AA">
        <w:rPr>
          <w:rFonts w:ascii="GHEA Grapalat" w:hAnsi="GHEA Grapalat"/>
          <w:b/>
          <w:lang w:val="hy-AM" w:eastAsia="ru-RU"/>
        </w:rPr>
        <w:t xml:space="preserve"> </w:t>
      </w:r>
      <w:r>
        <w:rPr>
          <w:rFonts w:ascii="GHEA Grapalat" w:hAnsi="GHEA Grapalat"/>
          <w:lang w:val="hy-AM" w:eastAsia="ru-RU"/>
        </w:rPr>
        <w:t>Այսպես, օրինակ, դատական պրակտիկայում Պետական եկամուտների կոմիտեի</w:t>
      </w:r>
      <w:r w:rsidRPr="00E96113">
        <w:rPr>
          <w:rFonts w:ascii="GHEA Grapalat" w:hAnsi="GHEA Grapalat"/>
          <w:lang w:val="hy-AM" w:eastAsia="ru-RU"/>
        </w:rPr>
        <w:t xml:space="preserve"> </w:t>
      </w:r>
      <w:r>
        <w:rPr>
          <w:rFonts w:ascii="GHEA Grapalat" w:hAnsi="GHEA Grapalat"/>
          <w:lang w:val="hy-AM" w:eastAsia="ru-RU"/>
        </w:rPr>
        <w:t xml:space="preserve">կողմից կայացված </w:t>
      </w:r>
      <w:r>
        <w:rPr>
          <w:rFonts w:ascii="GHEA Grapalat" w:hAnsi="GHEA Grapalat"/>
          <w:lang w:val="hy-AM" w:eastAsia="ru-RU"/>
        </w:rPr>
        <w:lastRenderedPageBreak/>
        <w:t xml:space="preserve">դրամական պատասխանատվություն սահմանող վարչական ակտերը չեն դիտարկվում որպես </w:t>
      </w:r>
      <w:r w:rsidRPr="00545FC9">
        <w:rPr>
          <w:rFonts w:ascii="GHEA Grapalat" w:hAnsi="GHEA Grapalat"/>
          <w:lang w:val="hy-AM" w:eastAsia="ru-RU"/>
        </w:rPr>
        <w:t>վարչական պատասխանատվության միջոց</w:t>
      </w:r>
      <w:r>
        <w:rPr>
          <w:rFonts w:ascii="GHEA Grapalat" w:hAnsi="GHEA Grapalat"/>
          <w:lang w:val="hy-AM" w:eastAsia="ru-RU"/>
        </w:rPr>
        <w:t xml:space="preserve"> և հետևաբար չի կիրառվում «Պետական տուրքի մասին» ՀՀ օրենքի 9-րդ հոդվածի 2-րդ մասի 2-րդ կետը: </w:t>
      </w:r>
      <w:r w:rsidRPr="00E96113">
        <w:rPr>
          <w:rFonts w:ascii="GHEA Grapalat" w:hAnsi="GHEA Grapalat"/>
          <w:lang w:val="hy-AM" w:eastAsia="ru-RU"/>
        </w:rPr>
        <w:t xml:space="preserve">Այսպես, թիվ ՎԴ/5766/05/22 վարչական գործով </w:t>
      </w:r>
      <w:r>
        <w:rPr>
          <w:rFonts w:ascii="GHEA Grapalat" w:hAnsi="GHEA Grapalat"/>
          <w:lang w:val="hy-AM" w:eastAsia="ru-RU"/>
        </w:rPr>
        <w:t>Վ</w:t>
      </w:r>
      <w:r w:rsidRPr="00E96113">
        <w:rPr>
          <w:rFonts w:ascii="GHEA Grapalat" w:hAnsi="GHEA Grapalat"/>
          <w:lang w:val="hy-AM" w:eastAsia="ru-RU"/>
        </w:rPr>
        <w:t xml:space="preserve">երաքննիչ </w:t>
      </w:r>
      <w:r>
        <w:rPr>
          <w:rFonts w:ascii="GHEA Grapalat" w:hAnsi="GHEA Grapalat"/>
          <w:lang w:val="hy-AM" w:eastAsia="ru-RU"/>
        </w:rPr>
        <w:t xml:space="preserve">վարչական դատարանի 15.03.2023թ. </w:t>
      </w:r>
      <w:r w:rsidRPr="00E96113">
        <w:rPr>
          <w:rFonts w:ascii="GHEA Grapalat" w:hAnsi="GHEA Grapalat"/>
          <w:lang w:val="hy-AM" w:eastAsia="ru-RU"/>
        </w:rPr>
        <w:t xml:space="preserve">որոշմամբ Հայցվորի վերաքննիչ բողոքը բավարարվել է և վերացվել է </w:t>
      </w:r>
      <w:r>
        <w:rPr>
          <w:rFonts w:ascii="GHEA Grapalat" w:hAnsi="GHEA Grapalat"/>
          <w:lang w:val="hy-AM" w:eastAsia="ru-RU"/>
        </w:rPr>
        <w:t>Վ</w:t>
      </w:r>
      <w:r w:rsidRPr="00E96113">
        <w:rPr>
          <w:rFonts w:ascii="GHEA Grapalat" w:hAnsi="GHEA Grapalat"/>
          <w:lang w:val="hy-AM" w:eastAsia="ru-RU"/>
        </w:rPr>
        <w:t>արչական դատարանի 15.12.2022թ.</w:t>
      </w:r>
      <w:r>
        <w:rPr>
          <w:rFonts w:ascii="GHEA Grapalat" w:hAnsi="GHEA Grapalat"/>
          <w:lang w:val="hy-AM" w:eastAsia="ru-RU"/>
        </w:rPr>
        <w:t xml:space="preserve"> </w:t>
      </w:r>
      <w:r w:rsidRPr="00E96113">
        <w:rPr>
          <w:rFonts w:ascii="GHEA Grapalat" w:hAnsi="GHEA Grapalat"/>
          <w:lang w:val="hy-AM" w:eastAsia="ru-RU"/>
        </w:rPr>
        <w:t>«Հայցադիմումի ընդունումը մերժելու մասին» որոշումը: Վերաքննիչի որոշման համաձայն՝ «Վերաքննիչ դատարանն</w:t>
      </w:r>
      <w:r>
        <w:rPr>
          <w:rFonts w:ascii="GHEA Grapalat" w:hAnsi="GHEA Grapalat"/>
          <w:lang w:val="hy-AM" w:eastAsia="ru-RU"/>
        </w:rPr>
        <w:t xml:space="preserve"> </w:t>
      </w:r>
      <w:r w:rsidRPr="00E96113">
        <w:rPr>
          <w:rFonts w:ascii="GHEA Grapalat" w:hAnsi="GHEA Grapalat"/>
          <w:lang w:val="hy-AM" w:eastAsia="ru-RU"/>
        </w:rPr>
        <w:t>արձանագրում է, որ հայցադիմումին կից ներկայացված 10.000 դրամի չափով պետական տուրքի վճարման</w:t>
      </w:r>
      <w:r>
        <w:rPr>
          <w:rFonts w:ascii="GHEA Grapalat" w:hAnsi="GHEA Grapalat"/>
          <w:lang w:val="hy-AM" w:eastAsia="ru-RU"/>
        </w:rPr>
        <w:t xml:space="preserve"> </w:t>
      </w:r>
      <w:r w:rsidRPr="00E96113">
        <w:rPr>
          <w:rFonts w:ascii="GHEA Grapalat" w:hAnsi="GHEA Grapalat"/>
          <w:lang w:val="hy-AM" w:eastAsia="ru-RU"/>
        </w:rPr>
        <w:t>անդորրագիրը սույն գործով հայցադիմում ներկայացնելու համար պետք է դիտվի որպես պետական տուրքը վճարված</w:t>
      </w:r>
      <w:r>
        <w:rPr>
          <w:rFonts w:ascii="GHEA Grapalat" w:hAnsi="GHEA Grapalat"/>
          <w:lang w:val="hy-AM" w:eastAsia="ru-RU"/>
        </w:rPr>
        <w:t xml:space="preserve"> </w:t>
      </w:r>
      <w:r w:rsidRPr="00E96113">
        <w:rPr>
          <w:rFonts w:ascii="GHEA Grapalat" w:hAnsi="GHEA Grapalat"/>
          <w:lang w:val="hy-AM" w:eastAsia="ru-RU"/>
        </w:rPr>
        <w:t>լինելը հավաստող պատշաճ ապացույց, քանի որ վիճարկվող որոշմամբ հայցվորին առաջադրված տուգանքը,</w:t>
      </w:r>
      <w:r>
        <w:rPr>
          <w:rFonts w:ascii="GHEA Grapalat" w:hAnsi="GHEA Grapalat"/>
          <w:lang w:val="hy-AM" w:eastAsia="ru-RU"/>
        </w:rPr>
        <w:t xml:space="preserve"> </w:t>
      </w:r>
      <w:r w:rsidRPr="00E96113">
        <w:rPr>
          <w:rFonts w:ascii="GHEA Grapalat" w:hAnsi="GHEA Grapalat"/>
          <w:lang w:val="hy-AM" w:eastAsia="ru-RU"/>
        </w:rPr>
        <w:t>Վերաքննիչ դատարանի գնահատմամբ, չի կարող համարվել վարչական պատասխանատվության միջոց և, ըստ այդմ,</w:t>
      </w:r>
      <w:r>
        <w:rPr>
          <w:rFonts w:ascii="GHEA Grapalat" w:hAnsi="GHEA Grapalat"/>
          <w:lang w:val="hy-AM" w:eastAsia="ru-RU"/>
        </w:rPr>
        <w:t xml:space="preserve"> </w:t>
      </w:r>
      <w:r w:rsidRPr="00E96113">
        <w:rPr>
          <w:rFonts w:ascii="GHEA Grapalat" w:hAnsi="GHEA Grapalat"/>
          <w:lang w:val="hy-AM" w:eastAsia="ru-RU"/>
        </w:rPr>
        <w:t>հայցվորի դատական պաշտպանության իրավունքը սահմանափակելու հիմք հանդիսանալ»</w:t>
      </w:r>
      <w:r>
        <w:rPr>
          <w:rFonts w:ascii="GHEA Grapalat" w:hAnsi="GHEA Grapalat"/>
          <w:lang w:val="hy-AM" w:eastAsia="ru-RU"/>
        </w:rPr>
        <w:t>:</w:t>
      </w:r>
    </w:p>
    <w:p w14:paraId="7A3BD83F" w14:textId="1D656F86" w:rsidR="00892ECB" w:rsidRPr="002D6927" w:rsidRDefault="00892ECB" w:rsidP="00892ECB">
      <w:pPr>
        <w:pStyle w:val="NormalWeb"/>
        <w:shd w:val="clear" w:color="auto" w:fill="FFFFFF"/>
        <w:spacing w:after="0" w:afterAutospacing="0" w:line="360" w:lineRule="auto"/>
        <w:ind w:firstLine="720"/>
        <w:jc w:val="both"/>
        <w:rPr>
          <w:lang w:val="hy-AM"/>
        </w:rPr>
      </w:pPr>
      <w:r>
        <w:rPr>
          <w:rFonts w:ascii="GHEA Grapalat" w:hAnsi="GHEA Grapalat"/>
          <w:lang w:val="hy-AM" w:eastAsia="ru-RU"/>
        </w:rPr>
        <w:t xml:space="preserve">Տարաբնույթ </w:t>
      </w:r>
      <w:r w:rsidR="00F97F37">
        <w:rPr>
          <w:rFonts w:ascii="GHEA Grapalat" w:hAnsi="GHEA Grapalat"/>
          <w:lang w:val="hy-AM" w:eastAsia="ru-RU"/>
        </w:rPr>
        <w:t>մեկնաբանություններից</w:t>
      </w:r>
      <w:r>
        <w:rPr>
          <w:rFonts w:ascii="GHEA Grapalat" w:hAnsi="GHEA Grapalat"/>
          <w:lang w:val="hy-AM" w:eastAsia="ru-RU"/>
        </w:rPr>
        <w:t xml:space="preserve"> խուսափելու համար անհրաժեշտություն է առաջացել նախատեսել մեկ ընդհանրական կարգավորում, որը կներառի նաև նշված դեպքերը:</w:t>
      </w:r>
    </w:p>
    <w:p w14:paraId="64E3D0CF" w14:textId="77777777" w:rsidR="00892ECB" w:rsidRPr="002D6927" w:rsidRDefault="00892ECB" w:rsidP="00892ECB">
      <w:pPr>
        <w:pStyle w:val="1"/>
        <w:spacing w:line="360" w:lineRule="auto"/>
        <w:ind w:firstLine="708"/>
        <w:jc w:val="both"/>
        <w:rPr>
          <w:rFonts w:ascii="GHEA Grapalat" w:hAnsi="GHEA Grapalat"/>
          <w:lang w:eastAsia="ru-RU"/>
        </w:rPr>
      </w:pPr>
    </w:p>
    <w:p w14:paraId="12CE9302" w14:textId="77777777" w:rsidR="00892ECB" w:rsidRPr="00E23436" w:rsidRDefault="00892ECB" w:rsidP="00892ECB">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2. Առաջարկվող կարգավորման բնույթը.</w:t>
      </w:r>
    </w:p>
    <w:p w14:paraId="19EA663B" w14:textId="77777777" w:rsidR="00892ECB" w:rsidRPr="00E23436"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Նախագծով առաջարկվում է. </w:t>
      </w:r>
    </w:p>
    <w:p w14:paraId="5060A93E" w14:textId="6F679939" w:rsidR="00892ECB"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w:t>
      </w:r>
      <w:r w:rsidR="00CA0925">
        <w:rPr>
          <w:rFonts w:ascii="GHEA Grapalat" w:eastAsia="GHEA Grapalat" w:hAnsi="GHEA Grapalat" w:cs="GHEA Grapalat"/>
          <w:sz w:val="24"/>
          <w:szCs w:val="24"/>
          <w:lang w:val="hy-AM"/>
        </w:rPr>
        <w:t>ձեռնարկատիրական գործունեությունից կամ կորպորատիվ իրավահարաբերություններից բխող գործարքների (</w:t>
      </w:r>
      <w:r>
        <w:rPr>
          <w:rFonts w:ascii="GHEA Grapalat" w:eastAsia="GHEA Grapalat" w:hAnsi="GHEA Grapalat" w:cs="GHEA Grapalat"/>
          <w:sz w:val="24"/>
          <w:szCs w:val="24"/>
          <w:lang w:val="hy-AM"/>
        </w:rPr>
        <w:t>պայմանագրերի</w:t>
      </w:r>
      <w:r w:rsidR="00CA0925">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անվավերության պահանջ ներկայացնելու դեպքում Տուրքը գանձել պայմանագրի գնի հիման վրա հաշվարկվող դրույքաչափով՝ հիմք ընդունելով դրամական </w:t>
      </w:r>
      <w:r w:rsidR="00F97F37">
        <w:rPr>
          <w:rFonts w:ascii="GHEA Grapalat" w:eastAsia="GHEA Grapalat" w:hAnsi="GHEA Grapalat" w:cs="GHEA Grapalat"/>
          <w:sz w:val="24"/>
          <w:szCs w:val="24"/>
          <w:lang w:val="hy-AM"/>
        </w:rPr>
        <w:t>պահանջների</w:t>
      </w:r>
      <w:r>
        <w:rPr>
          <w:rFonts w:ascii="GHEA Grapalat" w:eastAsia="GHEA Grapalat" w:hAnsi="GHEA Grapalat" w:cs="GHEA Grapalat"/>
          <w:sz w:val="24"/>
          <w:szCs w:val="24"/>
          <w:lang w:val="hy-AM"/>
        </w:rPr>
        <w:t xml:space="preserve"> համար սահմանված տոկոսային, առավելագույն և նվազագույն չափերը</w:t>
      </w:r>
      <w:r w:rsidR="00587301">
        <w:rPr>
          <w:rFonts w:ascii="GHEA Grapalat" w:eastAsia="GHEA Grapalat" w:hAnsi="GHEA Grapalat" w:cs="GHEA Grapalat"/>
          <w:sz w:val="24"/>
          <w:szCs w:val="24"/>
          <w:lang w:val="hy-AM"/>
        </w:rPr>
        <w:t xml:space="preserve">: Ընդ որում, այս կարգավորումը կիրառելի է նաև այն դեպքում միայն առչոնչության հետևանքները կիրառելու պահանջների կամ այլ համանման </w:t>
      </w:r>
      <w:r w:rsidR="00587301">
        <w:rPr>
          <w:rFonts w:ascii="GHEA Grapalat" w:eastAsia="GHEA Grapalat" w:hAnsi="GHEA Grapalat" w:cs="GHEA Grapalat"/>
          <w:sz w:val="24"/>
          <w:szCs w:val="24"/>
          <w:lang w:val="hy-AM"/>
        </w:rPr>
        <w:lastRenderedPageBreak/>
        <w:t>պահանջների նկատմամբ, որոնք, ըստ էության, ենթադրում են պայմանագրի կամ դրա վերաբերելի մասի անվավերություն</w:t>
      </w:r>
      <w:r>
        <w:rPr>
          <w:rFonts w:ascii="GHEA Grapalat" w:eastAsia="GHEA Grapalat" w:hAnsi="GHEA Grapalat" w:cs="GHEA Grapalat"/>
          <w:sz w:val="24"/>
          <w:szCs w:val="24"/>
          <w:lang w:val="hy-AM"/>
        </w:rPr>
        <w:t>.</w:t>
      </w:r>
    </w:p>
    <w:p w14:paraId="27499820" w14:textId="465F064D" w:rsidR="00892ECB"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ակնհայտ անհիմն հայցադիմում ներկայացնելու</w:t>
      </w:r>
      <w:r w:rsidR="00941CF4">
        <w:rPr>
          <w:rFonts w:ascii="GHEA Grapalat" w:eastAsia="GHEA Grapalat" w:hAnsi="GHEA Grapalat" w:cs="GHEA Grapalat"/>
          <w:sz w:val="24"/>
          <w:szCs w:val="24"/>
          <w:lang w:val="hy-AM"/>
        </w:rPr>
        <w:t xml:space="preserve"> կամ ո</w:t>
      </w:r>
      <w:r w:rsidR="001A4EF5">
        <w:rPr>
          <w:rFonts w:ascii="GHEA Grapalat" w:eastAsia="GHEA Grapalat" w:hAnsi="GHEA Grapalat" w:cs="GHEA Grapalat"/>
          <w:sz w:val="24"/>
          <w:szCs w:val="24"/>
          <w:lang w:val="hy-AM"/>
        </w:rPr>
        <w:t>չ</w:t>
      </w:r>
      <w:r w:rsidR="00941CF4">
        <w:rPr>
          <w:rFonts w:ascii="GHEA Grapalat" w:eastAsia="GHEA Grapalat" w:hAnsi="GHEA Grapalat" w:cs="GHEA Grapalat"/>
          <w:sz w:val="24"/>
          <w:szCs w:val="24"/>
          <w:lang w:val="hy-AM"/>
        </w:rPr>
        <w:t xml:space="preserve"> պատշաճ հայցվորի կողմից ներկայացված հայցերը</w:t>
      </w:r>
      <w:r w:rsidR="001A4EF5">
        <w:rPr>
          <w:rFonts w:ascii="GHEA Grapalat" w:eastAsia="GHEA Grapalat" w:hAnsi="GHEA Grapalat" w:cs="GHEA Grapalat"/>
          <w:sz w:val="24"/>
          <w:szCs w:val="24"/>
          <w:lang w:val="hy-AM"/>
        </w:rPr>
        <w:t xml:space="preserve"> դիտարկել որպես հայցադիմումի ընդունումը մերժելու հիմք և նման դեպքում բացառել նախապես վճարված պետական տուրքի վերադարձնելը.</w:t>
      </w:r>
    </w:p>
    <w:p w14:paraId="228D8C5B" w14:textId="288832DC" w:rsidR="00892ECB" w:rsidRPr="00E23436"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քաղաքացիական դատավարության պարզեցված վարույթի կարգով քննվող դրամական պահանջի դեպքում Տուրքի </w:t>
      </w:r>
      <w:r w:rsidR="001A4EF5">
        <w:rPr>
          <w:rFonts w:ascii="GHEA Grapalat" w:eastAsia="GHEA Grapalat" w:hAnsi="GHEA Grapalat" w:cs="GHEA Grapalat"/>
          <w:sz w:val="24"/>
          <w:szCs w:val="24"/>
          <w:lang w:val="hy-AM"/>
        </w:rPr>
        <w:t>վճարման տարբերակումը ուժը կորցրած ճանաչել՝ դիտարկելով այն ընդհանուր համատեքստում</w:t>
      </w:r>
      <w:r w:rsidR="00F97F37">
        <w:rPr>
          <w:rFonts w:ascii="GHEA Grapalat" w:eastAsia="GHEA Grapalat" w:hAnsi="GHEA Grapalat" w:cs="GHEA Grapalat"/>
          <w:sz w:val="24"/>
          <w:szCs w:val="24"/>
          <w:lang w:val="hy-AM"/>
        </w:rPr>
        <w:t>, երբ</w:t>
      </w:r>
      <w:r w:rsidR="001A4EF5">
        <w:rPr>
          <w:rFonts w:ascii="GHEA Grapalat" w:eastAsia="GHEA Grapalat" w:hAnsi="GHEA Grapalat" w:cs="GHEA Grapalat"/>
          <w:sz w:val="24"/>
          <w:szCs w:val="24"/>
          <w:lang w:val="hy-AM"/>
        </w:rPr>
        <w:t xml:space="preserve"> ներկայացվում են դրամական կամ ոչ դրամական պահանջով հայցադիմումներ</w:t>
      </w:r>
      <w:r>
        <w:rPr>
          <w:rFonts w:ascii="GHEA Grapalat" w:eastAsia="GHEA Grapalat" w:hAnsi="GHEA Grapalat" w:cs="GHEA Grapalat"/>
          <w:sz w:val="24"/>
          <w:szCs w:val="24"/>
          <w:lang w:val="hy-AM"/>
        </w:rPr>
        <w:t>.</w:t>
      </w:r>
    </w:p>
    <w:p w14:paraId="2B4E4A5D" w14:textId="7707A6B7" w:rsidR="00892ECB"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 </w:t>
      </w:r>
      <w:r w:rsidRPr="002D74B8">
        <w:rPr>
          <w:rFonts w:ascii="GHEA Grapalat" w:eastAsia="GHEA Grapalat" w:hAnsi="GHEA Grapalat" w:cs="GHEA Grapalat"/>
          <w:sz w:val="24"/>
          <w:szCs w:val="24"/>
          <w:lang w:val="hy-AM"/>
        </w:rPr>
        <w:t>վարչական ակտերի վիճարկման պահանջով հայցադիմումների համար</w:t>
      </w:r>
      <w:r>
        <w:rPr>
          <w:rFonts w:ascii="GHEA Grapalat" w:eastAsia="GHEA Grapalat" w:hAnsi="GHEA Grapalat" w:cs="GHEA Grapalat"/>
          <w:sz w:val="24"/>
          <w:szCs w:val="24"/>
          <w:lang w:val="hy-AM"/>
        </w:rPr>
        <w:t xml:space="preserve"> սահմանված Տուրքի կանոնը նախատեսել այնպես, որ այն կիրառվի դրամական </w:t>
      </w:r>
      <w:r w:rsidR="00F97F37">
        <w:rPr>
          <w:rFonts w:ascii="GHEA Grapalat" w:eastAsia="GHEA Grapalat" w:hAnsi="GHEA Grapalat" w:cs="GHEA Grapalat"/>
          <w:sz w:val="24"/>
          <w:szCs w:val="24"/>
          <w:lang w:val="hy-AM"/>
        </w:rPr>
        <w:t>պարտավորություն</w:t>
      </w:r>
      <w:r>
        <w:rPr>
          <w:rFonts w:ascii="GHEA Grapalat" w:eastAsia="GHEA Grapalat" w:hAnsi="GHEA Grapalat" w:cs="GHEA Grapalat"/>
          <w:sz w:val="24"/>
          <w:szCs w:val="24"/>
          <w:lang w:val="hy-AM"/>
        </w:rPr>
        <w:t xml:space="preserve"> առաջադրող բոլոր վարչական ակտերի վիճարկման նկատմամբ:</w:t>
      </w:r>
    </w:p>
    <w:p w14:paraId="75879A50" w14:textId="77777777" w:rsidR="00892ECB" w:rsidRPr="00E23436" w:rsidRDefault="00892ECB" w:rsidP="00892ECB">
      <w:pPr>
        <w:pStyle w:val="Normal2"/>
        <w:spacing w:after="0" w:line="360" w:lineRule="auto"/>
        <w:ind w:firstLine="720"/>
        <w:jc w:val="both"/>
        <w:rPr>
          <w:rFonts w:ascii="GHEA Grapalat" w:eastAsia="GHEA Grapalat" w:hAnsi="GHEA Grapalat" w:cs="GHEA Grapalat"/>
          <w:sz w:val="24"/>
          <w:szCs w:val="24"/>
          <w:lang w:val="hy-AM"/>
        </w:rPr>
      </w:pPr>
    </w:p>
    <w:p w14:paraId="6E37E8AB" w14:textId="77777777" w:rsidR="00892ECB" w:rsidRPr="00E23436" w:rsidRDefault="00892ECB" w:rsidP="00892ECB">
      <w:pPr>
        <w:pStyle w:val="Normal2"/>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3. Նախագծի մշակման գործընթացում ներգրավված ինստիտուտները և անձինք.</w:t>
      </w:r>
    </w:p>
    <w:p w14:paraId="71E5E0D4" w14:textId="77777777" w:rsidR="00892ECB" w:rsidRPr="00E23436"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Նախագիծը մշակվել է Արդարադատության նախարարության կողմից:</w:t>
      </w:r>
    </w:p>
    <w:p w14:paraId="1AEF16D6" w14:textId="77777777" w:rsidR="00892ECB" w:rsidRPr="00B52558" w:rsidRDefault="00892ECB" w:rsidP="00892ECB">
      <w:pPr>
        <w:pStyle w:val="Normal2"/>
        <w:spacing w:after="0" w:line="360" w:lineRule="auto"/>
        <w:ind w:firstLine="720"/>
        <w:jc w:val="both"/>
        <w:rPr>
          <w:rFonts w:ascii="GHEA Grapalat" w:eastAsia="GHEA Grapalat" w:hAnsi="GHEA Grapalat" w:cs="GHEA Grapalat"/>
          <w:sz w:val="24"/>
          <w:szCs w:val="24"/>
          <w:lang w:val="hy-AM"/>
        </w:rPr>
      </w:pPr>
    </w:p>
    <w:p w14:paraId="614BBFEB" w14:textId="77777777" w:rsidR="00892ECB" w:rsidRPr="00E23436" w:rsidRDefault="00892ECB" w:rsidP="00892ECB">
      <w:pPr>
        <w:pStyle w:val="Normal2"/>
        <w:pBdr>
          <w:top w:val="nil"/>
          <w:left w:val="nil"/>
          <w:bottom w:val="nil"/>
          <w:right w:val="nil"/>
          <w:between w:val="nil"/>
        </w:pBdr>
        <w:spacing w:after="0" w:line="360" w:lineRule="auto"/>
        <w:ind w:firstLine="720"/>
        <w:jc w:val="both"/>
        <w:rPr>
          <w:rFonts w:ascii="GHEA Grapalat" w:eastAsia="GHEA Grapalat" w:hAnsi="GHEA Grapalat" w:cs="GHEA Grapalat"/>
          <w:b/>
          <w:sz w:val="24"/>
          <w:szCs w:val="24"/>
          <w:lang w:val="hy-AM"/>
        </w:rPr>
      </w:pPr>
      <w:r w:rsidRPr="00E23436">
        <w:rPr>
          <w:rFonts w:ascii="GHEA Grapalat" w:eastAsia="GHEA Grapalat" w:hAnsi="GHEA Grapalat" w:cs="GHEA Grapalat"/>
          <w:b/>
          <w:sz w:val="24"/>
          <w:szCs w:val="24"/>
          <w:lang w:val="hy-AM"/>
        </w:rPr>
        <w:t>4. Ակնկալվող արդյունքը.</w:t>
      </w:r>
    </w:p>
    <w:p w14:paraId="320E92B5" w14:textId="02D6DEB2" w:rsidR="00892ECB" w:rsidRPr="00BB68AC"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 xml:space="preserve">Նախագծի ընդունման արդյունքում ակնկալվում է </w:t>
      </w:r>
      <w:r>
        <w:rPr>
          <w:rFonts w:ascii="GHEA Grapalat" w:eastAsia="GHEA Grapalat" w:hAnsi="GHEA Grapalat" w:cs="GHEA Grapalat"/>
          <w:sz w:val="24"/>
          <w:szCs w:val="24"/>
          <w:lang w:val="hy-AM"/>
        </w:rPr>
        <w:t xml:space="preserve">ապահովել Հայաստանի Հանրապետության </w:t>
      </w:r>
      <w:r w:rsidR="00E05EBB">
        <w:rPr>
          <w:rFonts w:ascii="GHEA Grapalat" w:eastAsia="GHEA Grapalat" w:hAnsi="GHEA Grapalat" w:cs="GHEA Grapalat"/>
          <w:sz w:val="24"/>
          <w:szCs w:val="24"/>
          <w:lang w:val="hy-AM"/>
        </w:rPr>
        <w:t xml:space="preserve">իրավական և </w:t>
      </w:r>
      <w:r>
        <w:rPr>
          <w:rFonts w:ascii="GHEA Grapalat" w:eastAsia="GHEA Grapalat" w:hAnsi="GHEA Grapalat" w:cs="GHEA Grapalat"/>
          <w:sz w:val="24"/>
          <w:szCs w:val="24"/>
          <w:lang w:val="hy-AM"/>
        </w:rPr>
        <w:t xml:space="preserve">սոցիալ-տնտեսական իրավիճակին </w:t>
      </w:r>
      <w:r w:rsidR="00F97F37">
        <w:rPr>
          <w:rFonts w:ascii="GHEA Grapalat" w:eastAsia="GHEA Grapalat" w:hAnsi="GHEA Grapalat" w:cs="GHEA Grapalat"/>
          <w:sz w:val="24"/>
          <w:szCs w:val="24"/>
          <w:lang w:val="hy-AM"/>
        </w:rPr>
        <w:t>համապատասխան</w:t>
      </w:r>
      <w:r>
        <w:rPr>
          <w:rFonts w:ascii="GHEA Grapalat" w:eastAsia="GHEA Grapalat" w:hAnsi="GHEA Grapalat" w:cs="GHEA Grapalat"/>
          <w:sz w:val="24"/>
          <w:szCs w:val="24"/>
          <w:lang w:val="hy-AM"/>
        </w:rPr>
        <w:t xml:space="preserve"> պետական տուրքերի չափ՝ քաղաքացիական դատավարության պարզեցված վարույթի կարգով քննվող գործերի համար, կանխել ակնհայտ անհիմն հայցադիմումների ներկայացումը առաջին ատյանի ընդհանուր իրավասության դատարաններ, սահմանել պայմանագրերի անվավերության պահանջի դեպքում դատարանի կողմից մատուցված ծառայությանը՝ գործի քննությանը և լուծմանը համապատասխան պետական տուրքի գանձումը պայմանագրի գնի չափով պայմանավորված, ինչպես նաև </w:t>
      </w:r>
      <w:r>
        <w:rPr>
          <w:rFonts w:ascii="GHEA Grapalat" w:eastAsia="GHEA Grapalat" w:hAnsi="GHEA Grapalat" w:cs="GHEA Grapalat"/>
          <w:sz w:val="24"/>
          <w:szCs w:val="24"/>
          <w:lang w:val="hy-AM"/>
        </w:rPr>
        <w:lastRenderedPageBreak/>
        <w:t>ապահովել դրամական պարտավորություն առաջացնող վարչական ակտերի վիճարկման դեպքում կիրառվող Տուրքի միատեսակությունը</w:t>
      </w:r>
      <w:r w:rsidRPr="00BB68AC">
        <w:rPr>
          <w:rFonts w:ascii="GHEA Grapalat" w:eastAsia="GHEA Grapalat" w:hAnsi="GHEA Grapalat" w:cs="GHEA Grapalat"/>
          <w:sz w:val="24"/>
          <w:szCs w:val="24"/>
          <w:lang w:val="hy-AM"/>
        </w:rPr>
        <w:t>:</w:t>
      </w:r>
    </w:p>
    <w:p w14:paraId="741EF8A7" w14:textId="77777777" w:rsidR="00892ECB" w:rsidRPr="00BB68AC" w:rsidRDefault="00892ECB" w:rsidP="00892ECB">
      <w:pPr>
        <w:pStyle w:val="Normal2"/>
        <w:spacing w:after="0" w:line="360" w:lineRule="auto"/>
        <w:ind w:firstLine="720"/>
        <w:jc w:val="both"/>
        <w:rPr>
          <w:rFonts w:ascii="GHEA Grapalat" w:eastAsia="GHEA Grapalat" w:hAnsi="GHEA Grapalat" w:cs="GHEA Grapalat"/>
          <w:sz w:val="24"/>
          <w:szCs w:val="24"/>
          <w:lang w:val="hy-AM"/>
        </w:rPr>
      </w:pPr>
    </w:p>
    <w:p w14:paraId="633602C5" w14:textId="77777777" w:rsidR="00892ECB" w:rsidRPr="00E23436" w:rsidRDefault="00892ECB" w:rsidP="00892ECB">
      <w:pPr>
        <w:pStyle w:val="Normal2"/>
        <w:spacing w:after="0" w:line="360" w:lineRule="auto"/>
        <w:ind w:firstLine="720"/>
        <w:jc w:val="both"/>
        <w:rPr>
          <w:rFonts w:asciiTheme="minorHAnsi" w:eastAsia="GHEA Grapalat" w:hAnsiTheme="minorHAnsi" w:cs="GHEA Grapalat"/>
          <w:b/>
          <w:sz w:val="24"/>
          <w:szCs w:val="24"/>
          <w:lang w:val="hy-AM"/>
        </w:rPr>
      </w:pPr>
      <w:r w:rsidRPr="00E23436">
        <w:rPr>
          <w:rFonts w:ascii="GHEA Grapalat" w:eastAsia="GHEA Grapalat" w:hAnsi="GHEA Grapalat" w:cs="GHEA Grapalat"/>
          <w:b/>
          <w:sz w:val="24"/>
          <w:szCs w:val="24"/>
          <w:lang w:val="hy-AM"/>
        </w:rPr>
        <w:t>5. 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w:t>
      </w:r>
      <w:r w:rsidRPr="00E23436">
        <w:rPr>
          <w:rFonts w:asciiTheme="minorHAnsi" w:eastAsia="GHEA Grapalat" w:hAnsiTheme="minorHAnsi" w:cs="GHEA Grapalat"/>
          <w:b/>
          <w:sz w:val="24"/>
          <w:szCs w:val="24"/>
          <w:lang w:val="hy-AM"/>
        </w:rPr>
        <w:t>.</w:t>
      </w:r>
    </w:p>
    <w:p w14:paraId="2A15332F" w14:textId="77777777" w:rsidR="00892ECB" w:rsidRPr="00E23436" w:rsidRDefault="00892ECB" w:rsidP="00892ECB">
      <w:pPr>
        <w:pStyle w:val="Normal2"/>
        <w:spacing w:after="0" w:line="360" w:lineRule="auto"/>
        <w:ind w:firstLine="720"/>
        <w:jc w:val="both"/>
        <w:rPr>
          <w:rFonts w:ascii="GHEA Grapalat" w:eastAsia="GHEA Grapalat" w:hAnsi="GHEA Grapalat" w:cs="GHEA Grapalat"/>
          <w:sz w:val="24"/>
          <w:szCs w:val="24"/>
          <w:lang w:val="hy-AM"/>
        </w:rPr>
      </w:pPr>
      <w:r w:rsidRPr="00E23436">
        <w:rPr>
          <w:rFonts w:ascii="GHEA Grapalat" w:eastAsia="GHEA Grapalat" w:hAnsi="GHEA Grapalat" w:cs="GHEA Grapalat"/>
          <w:sz w:val="24"/>
          <w:szCs w:val="24"/>
          <w:lang w:val="hy-AM"/>
        </w:rPr>
        <w:t>Նախագծերի ընդունման կապակցությամբ լրացուցիչ ֆինանսական միջոցների անհրաժեշտություն առկա չէ</w:t>
      </w:r>
      <w:r>
        <w:rPr>
          <w:rFonts w:ascii="GHEA Grapalat" w:eastAsia="GHEA Grapalat" w:hAnsi="GHEA Grapalat" w:cs="GHEA Grapalat"/>
          <w:sz w:val="24"/>
          <w:szCs w:val="24"/>
          <w:lang w:val="hy-AM"/>
        </w:rPr>
        <w:t xml:space="preserve">, </w:t>
      </w:r>
      <w:r w:rsidRPr="00E23436">
        <w:rPr>
          <w:rFonts w:ascii="GHEA Grapalat" w:eastAsia="GHEA Grapalat" w:hAnsi="GHEA Grapalat" w:cs="GHEA Grapalat"/>
          <w:sz w:val="24"/>
          <w:szCs w:val="24"/>
          <w:lang w:val="hy-AM"/>
        </w:rPr>
        <w:t xml:space="preserve">պետական բյուջեի եկամուտներում </w:t>
      </w:r>
      <w:r>
        <w:rPr>
          <w:rFonts w:ascii="GHEA Grapalat" w:eastAsia="GHEA Grapalat" w:hAnsi="GHEA Grapalat" w:cs="GHEA Grapalat"/>
          <w:sz w:val="24"/>
          <w:szCs w:val="24"/>
          <w:lang w:val="hy-AM"/>
        </w:rPr>
        <w:t>ակնկալում են ավելացումներ պետական տուրքերի բարձրացման հետ կապված, իսկ</w:t>
      </w:r>
      <w:r w:rsidRPr="00E23436">
        <w:rPr>
          <w:rFonts w:ascii="GHEA Grapalat" w:eastAsia="GHEA Grapalat" w:hAnsi="GHEA Grapalat" w:cs="GHEA Grapalat"/>
          <w:sz w:val="24"/>
          <w:szCs w:val="24"/>
          <w:lang w:val="hy-AM"/>
        </w:rPr>
        <w:t xml:space="preserve"> ծախսերում փոփոխություններ չեն նախատեսվում:</w:t>
      </w:r>
    </w:p>
    <w:p w14:paraId="0A594FF8" w14:textId="77777777" w:rsidR="00892ECB" w:rsidRPr="00E23436" w:rsidRDefault="00892ECB" w:rsidP="00892ECB">
      <w:pPr>
        <w:pStyle w:val="Normal2"/>
        <w:spacing w:after="0" w:line="360" w:lineRule="auto"/>
        <w:ind w:firstLine="540"/>
        <w:jc w:val="both"/>
        <w:rPr>
          <w:rFonts w:ascii="GHEA Grapalat" w:eastAsia="GHEA Grapalat" w:hAnsi="GHEA Grapalat" w:cs="GHEA Grapalat"/>
          <w:sz w:val="24"/>
          <w:szCs w:val="24"/>
          <w:lang w:val="hy-AM"/>
        </w:rPr>
      </w:pPr>
    </w:p>
    <w:p w14:paraId="1F5D91EC" w14:textId="77777777" w:rsidR="00892ECB" w:rsidRPr="00E23436" w:rsidRDefault="00892ECB" w:rsidP="00892ECB">
      <w:pPr>
        <w:pStyle w:val="Normal2"/>
        <w:spacing w:after="0" w:line="360" w:lineRule="auto"/>
        <w:ind w:firstLine="720"/>
        <w:jc w:val="both"/>
        <w:rPr>
          <w:rFonts w:ascii="GHEA Grapalat" w:eastAsia="GHEA Grapalat" w:hAnsi="GHEA Grapalat" w:cs="GHEA Grapalat"/>
          <w:b/>
          <w:sz w:val="24"/>
          <w:szCs w:val="24"/>
          <w:lang w:val="hy-AM"/>
        </w:rPr>
      </w:pPr>
      <w:r w:rsidRPr="00E23436">
        <w:rPr>
          <w:rFonts w:ascii="GHEA Grapalat" w:hAnsi="GHEA Grapalat"/>
          <w:b/>
          <w:sz w:val="24"/>
          <w:szCs w:val="24"/>
          <w:lang w:val="hy-AM"/>
        </w:rPr>
        <w:t>6. Կապը ռազմավարական փաստաթղթերի հետ.</w:t>
      </w:r>
    </w:p>
    <w:p w14:paraId="364E7115" w14:textId="386AC0FB" w:rsidR="00860DCE" w:rsidRPr="00414E89" w:rsidRDefault="00892ECB" w:rsidP="00B76565">
      <w:pPr>
        <w:pStyle w:val="Normal2"/>
        <w:spacing w:after="0" w:line="360" w:lineRule="auto"/>
        <w:ind w:firstLine="720"/>
        <w:jc w:val="both"/>
        <w:rPr>
          <w:rFonts w:ascii="GHEA Grapalat" w:eastAsia="GHEA Grapalat" w:hAnsi="GHEA Grapalat" w:cs="GHEA Grapalat"/>
          <w:lang w:val="hy-AM"/>
        </w:rPr>
      </w:pPr>
      <w:r w:rsidRPr="00E23436">
        <w:rPr>
          <w:rFonts w:ascii="GHEA Grapalat" w:eastAsia="GHEA Grapalat" w:hAnsi="GHEA Grapalat" w:cs="GHEA Grapalat"/>
          <w:sz w:val="24"/>
          <w:szCs w:val="24"/>
          <w:lang w:val="hy-AM"/>
        </w:rPr>
        <w:t xml:space="preserve">Նախագիծը </w:t>
      </w:r>
      <w:r>
        <w:rPr>
          <w:rFonts w:ascii="GHEA Grapalat" w:eastAsia="GHEA Grapalat" w:hAnsi="GHEA Grapalat" w:cs="GHEA Grapalat"/>
          <w:sz w:val="24"/>
          <w:szCs w:val="24"/>
          <w:lang w:val="hy-AM"/>
        </w:rPr>
        <w:t>չի բխում ռազմավարական փաստաթղթերից:</w:t>
      </w:r>
      <w:r>
        <w:rPr>
          <w:rFonts w:ascii="GHEA Grapalat" w:hAnsi="GHEA Grapalat" w:cs="Sylfaen"/>
          <w:sz w:val="24"/>
          <w:szCs w:val="24"/>
          <w:lang w:val="hy-AM"/>
        </w:rPr>
        <w:t xml:space="preserve"> </w:t>
      </w:r>
    </w:p>
    <w:p w14:paraId="7A54F503" w14:textId="77777777" w:rsidR="00860DCE" w:rsidRPr="00414E89" w:rsidRDefault="00860DCE">
      <w:pPr>
        <w:rPr>
          <w:rFonts w:ascii="GHEA Grapalat" w:eastAsia="GHEA Grapalat" w:hAnsi="GHEA Grapalat" w:cs="GHEA Grapalat"/>
          <w:color w:val="000000"/>
          <w:lang w:val="hy-AM"/>
        </w:rPr>
      </w:pPr>
    </w:p>
    <w:sectPr w:rsidR="00860DCE" w:rsidRPr="00414E89" w:rsidSect="00FC3908">
      <w:headerReference w:type="default" r:id="rId9"/>
      <w:footerReference w:type="default" r:id="rId1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4700E" w14:textId="77777777" w:rsidR="007C4FC8" w:rsidRDefault="007C4FC8">
      <w:r>
        <w:separator/>
      </w:r>
    </w:p>
  </w:endnote>
  <w:endnote w:type="continuationSeparator" w:id="0">
    <w:p w14:paraId="2EC7A4E8" w14:textId="77777777" w:rsidR="007C4FC8" w:rsidRDefault="007C4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104FD" w14:textId="25EFA378" w:rsidR="00460D91" w:rsidRDefault="00E81DE0">
    <w:pPr>
      <w:pBdr>
        <w:top w:val="nil"/>
        <w:left w:val="nil"/>
        <w:bottom w:val="nil"/>
        <w:right w:val="nil"/>
        <w:between w:val="nil"/>
      </w:pBdr>
      <w:tabs>
        <w:tab w:val="center" w:pos="4680"/>
        <w:tab w:val="right" w:pos="9360"/>
      </w:tabs>
      <w:jc w:val="right"/>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fldChar w:fldCharType="begin"/>
    </w:r>
    <w:r w:rsidR="00460D91">
      <w:rPr>
        <w:rFonts w:ascii="GHEA Grapalat" w:eastAsia="GHEA Grapalat" w:hAnsi="GHEA Grapalat" w:cs="GHEA Grapalat"/>
        <w:color w:val="000000"/>
        <w:sz w:val="20"/>
        <w:szCs w:val="20"/>
      </w:rPr>
      <w:instrText>PAGE</w:instrText>
    </w:r>
    <w:r>
      <w:rPr>
        <w:rFonts w:ascii="GHEA Grapalat" w:eastAsia="GHEA Grapalat" w:hAnsi="GHEA Grapalat" w:cs="GHEA Grapalat"/>
        <w:color w:val="000000"/>
        <w:sz w:val="20"/>
        <w:szCs w:val="20"/>
      </w:rPr>
      <w:fldChar w:fldCharType="separate"/>
    </w:r>
    <w:r w:rsidR="007D2A81">
      <w:rPr>
        <w:rFonts w:ascii="GHEA Grapalat" w:eastAsia="GHEA Grapalat" w:hAnsi="GHEA Grapalat" w:cs="GHEA Grapalat"/>
        <w:noProof/>
        <w:color w:val="000000"/>
        <w:sz w:val="20"/>
        <w:szCs w:val="20"/>
      </w:rPr>
      <w:t>2</w:t>
    </w:r>
    <w:r>
      <w:rPr>
        <w:rFonts w:ascii="GHEA Grapalat" w:eastAsia="GHEA Grapalat" w:hAnsi="GHEA Grapalat" w:cs="GHEA Grapalat"/>
        <w:color w:val="000000"/>
        <w:sz w:val="20"/>
        <w:szCs w:val="20"/>
      </w:rPr>
      <w:fldChar w:fldCharType="end"/>
    </w:r>
  </w:p>
  <w:p w14:paraId="67D8FC07" w14:textId="77777777" w:rsidR="00460D91" w:rsidRDefault="00460D91">
    <w:pPr>
      <w:pBdr>
        <w:top w:val="nil"/>
        <w:left w:val="nil"/>
        <w:bottom w:val="nil"/>
        <w:right w:val="nil"/>
        <w:between w:val="nil"/>
      </w:pBdr>
      <w:tabs>
        <w:tab w:val="center" w:pos="4680"/>
        <w:tab w:val="right" w:pos="9360"/>
      </w:tabs>
      <w:rPr>
        <w:rFonts w:ascii="GHEA Grapalat" w:eastAsia="GHEA Grapalat" w:hAnsi="GHEA Grapalat" w:cs="GHEA Grapalat"/>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E0C85" w14:textId="77777777" w:rsidR="007C4FC8" w:rsidRDefault="007C4FC8">
      <w:r>
        <w:separator/>
      </w:r>
    </w:p>
  </w:footnote>
  <w:footnote w:type="continuationSeparator" w:id="0">
    <w:p w14:paraId="026B3557" w14:textId="77777777" w:rsidR="007C4FC8" w:rsidRDefault="007C4FC8">
      <w:r>
        <w:continuationSeparator/>
      </w:r>
    </w:p>
  </w:footnote>
  <w:footnote w:id="1">
    <w:p w14:paraId="01E84B8B" w14:textId="77777777" w:rsidR="00892ECB" w:rsidRPr="00EC4780" w:rsidRDefault="00892ECB" w:rsidP="00EC4780">
      <w:pPr>
        <w:pStyle w:val="FootnoteText"/>
        <w:jc w:val="both"/>
        <w:rPr>
          <w:rFonts w:ascii="GHEA Grapalat" w:hAnsi="GHEA Grapalat"/>
        </w:rPr>
      </w:pPr>
      <w:r w:rsidRPr="00EC4780">
        <w:rPr>
          <w:rStyle w:val="FootnoteReference"/>
          <w:rFonts w:ascii="GHEA Grapalat" w:hAnsi="GHEA Grapalat"/>
        </w:rPr>
        <w:footnoteRef/>
      </w:r>
      <w:r w:rsidRPr="00EC4780">
        <w:rPr>
          <w:rFonts w:ascii="GHEA Grapalat" w:hAnsi="GHEA Grapalat"/>
        </w:rPr>
        <w:t xml:space="preserve"> </w:t>
      </w:r>
      <w:hyperlink r:id="rId1" w:history="1">
        <w:r w:rsidRPr="00EC4780">
          <w:rPr>
            <w:rStyle w:val="Hyperlink"/>
            <w:rFonts w:ascii="GHEA Grapalat" w:hAnsi="GHEA Grapalat"/>
          </w:rPr>
          <w:t>https://www.riigiteataja.ee/en/eli/ee/Riigikogu/act/528072023007/consolide</w:t>
        </w:r>
      </w:hyperlink>
    </w:p>
  </w:footnote>
  <w:footnote w:id="2">
    <w:p w14:paraId="47A6C21A" w14:textId="77777777" w:rsidR="00892ECB" w:rsidRPr="00EC4780" w:rsidRDefault="00892ECB" w:rsidP="00EC4780">
      <w:pPr>
        <w:pStyle w:val="FootnoteText"/>
        <w:jc w:val="both"/>
        <w:rPr>
          <w:rFonts w:ascii="GHEA Grapalat" w:hAnsi="GHEA Grapalat"/>
        </w:rPr>
      </w:pPr>
      <w:r w:rsidRPr="00EC4780">
        <w:rPr>
          <w:rStyle w:val="FootnoteReference"/>
          <w:rFonts w:ascii="GHEA Grapalat" w:hAnsi="GHEA Grapalat"/>
        </w:rPr>
        <w:footnoteRef/>
      </w:r>
      <w:r w:rsidRPr="00EC4780">
        <w:rPr>
          <w:rFonts w:ascii="GHEA Grapalat" w:hAnsi="GHEA Grapalat"/>
        </w:rPr>
        <w:t xml:space="preserve"> </w:t>
      </w:r>
      <w:hyperlink r:id="rId2" w:history="1">
        <w:r w:rsidRPr="00EC4780">
          <w:rPr>
            <w:rStyle w:val="Hyperlink"/>
            <w:rFonts w:ascii="GHEA Grapalat" w:hAnsi="GHEA Grapalat"/>
          </w:rPr>
          <w:t>https://www.riigiteataja.ee/en/eli/ee/Riigikogu/act/501062023003/consolide</w:t>
        </w:r>
      </w:hyperlink>
    </w:p>
  </w:footnote>
  <w:footnote w:id="3">
    <w:p w14:paraId="63713889" w14:textId="77777777" w:rsidR="00892ECB" w:rsidRPr="00EC4780" w:rsidRDefault="00892ECB" w:rsidP="00EC4780">
      <w:pPr>
        <w:pStyle w:val="FootnoteText"/>
        <w:jc w:val="both"/>
        <w:rPr>
          <w:rFonts w:ascii="GHEA Grapalat" w:hAnsi="GHEA Grapalat"/>
        </w:rPr>
      </w:pPr>
      <w:r w:rsidRPr="00EC4780">
        <w:rPr>
          <w:rStyle w:val="FootnoteReference"/>
          <w:rFonts w:ascii="GHEA Grapalat" w:hAnsi="GHEA Grapalat"/>
        </w:rPr>
        <w:footnoteRef/>
      </w:r>
      <w:r w:rsidRPr="00EC4780">
        <w:rPr>
          <w:rFonts w:ascii="GHEA Grapalat" w:hAnsi="GHEA Grapalat"/>
        </w:rPr>
        <w:t xml:space="preserve"> </w:t>
      </w:r>
      <w:hyperlink r:id="rId3" w:history="1">
        <w:r w:rsidRPr="00EC4780">
          <w:rPr>
            <w:rStyle w:val="Hyperlink"/>
            <w:rFonts w:ascii="GHEA Grapalat" w:hAnsi="GHEA Grapalat"/>
          </w:rPr>
          <w:t>https://www.riigiteataja.ee/tolkelisa/5010/6202/3003/Annex1.pdf#</w:t>
        </w:r>
      </w:hyperlink>
    </w:p>
  </w:footnote>
  <w:footnote w:id="4">
    <w:p w14:paraId="0992CF7E"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rPr>
        <w:t xml:space="preserve"> </w:t>
      </w:r>
      <w:hyperlink r:id="rId4" w:history="1">
        <w:r w:rsidRPr="00EC4780">
          <w:rPr>
            <w:rStyle w:val="Hyperlink"/>
            <w:rFonts w:ascii="GHEA Grapalat" w:hAnsi="GHEA Grapalat"/>
          </w:rPr>
          <w:t>https://njt.hu/jogszabaly/1990-93-00-00.192</w:t>
        </w:r>
      </w:hyperlink>
      <w:r w:rsidRPr="00EC4780">
        <w:rPr>
          <w:rFonts w:ascii="GHEA Grapalat" w:hAnsi="GHEA Grapalat"/>
          <w:lang w:val="hy-AM"/>
        </w:rPr>
        <w:t xml:space="preserve"> </w:t>
      </w:r>
    </w:p>
  </w:footnote>
  <w:footnote w:id="5">
    <w:p w14:paraId="602EC194" w14:textId="77777777" w:rsidR="00892ECB" w:rsidRPr="00EC4780" w:rsidRDefault="00892ECB" w:rsidP="00EC4780">
      <w:pPr>
        <w:pStyle w:val="FootnoteText"/>
        <w:jc w:val="both"/>
        <w:rPr>
          <w:rFonts w:ascii="GHEA Grapalat" w:hAnsi="GHEA Grapalat"/>
        </w:rPr>
      </w:pPr>
      <w:r w:rsidRPr="00EC4780">
        <w:rPr>
          <w:rStyle w:val="FootnoteReference"/>
          <w:rFonts w:ascii="GHEA Grapalat" w:hAnsi="GHEA Grapalat"/>
        </w:rPr>
        <w:footnoteRef/>
      </w:r>
      <w:r w:rsidRPr="00EC4780">
        <w:rPr>
          <w:rFonts w:ascii="GHEA Grapalat" w:hAnsi="GHEA Grapalat"/>
        </w:rPr>
        <w:t xml:space="preserve"> </w:t>
      </w:r>
      <w:hyperlink r:id="rId5" w:history="1">
        <w:r w:rsidRPr="00EC4780">
          <w:rPr>
            <w:rStyle w:val="Hyperlink"/>
            <w:rFonts w:ascii="GHEA Grapalat" w:hAnsi="GHEA Grapalat"/>
          </w:rPr>
          <w:t>https://njt.hu/jogszabaly/2016-130-00-00</w:t>
        </w:r>
      </w:hyperlink>
    </w:p>
  </w:footnote>
  <w:footnote w:id="6">
    <w:p w14:paraId="7CC53C6E"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rPr>
        <w:t xml:space="preserve"> </w:t>
      </w:r>
      <w:hyperlink r:id="rId6" w:history="1">
        <w:r w:rsidRPr="00EC4780">
          <w:rPr>
            <w:rStyle w:val="Hyperlink"/>
            <w:rFonts w:ascii="GHEA Grapalat" w:hAnsi="GHEA Grapalat"/>
          </w:rPr>
          <w:t>https://www.slov-lex.sk/pravne-predpisy/SK/ZZ/1992/71/20230725</w:t>
        </w:r>
      </w:hyperlink>
      <w:r w:rsidRPr="00EC4780">
        <w:rPr>
          <w:rFonts w:ascii="GHEA Grapalat" w:hAnsi="GHEA Grapalat"/>
          <w:lang w:val="hy-AM"/>
        </w:rPr>
        <w:t xml:space="preserve"> </w:t>
      </w:r>
    </w:p>
  </w:footnote>
  <w:footnote w:id="7">
    <w:p w14:paraId="35AC36DB"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r w:rsidR="00B604B7">
        <w:fldChar w:fldCharType="begin"/>
      </w:r>
      <w:r w:rsidR="00B604B7" w:rsidRPr="002B3412">
        <w:rPr>
          <w:lang w:val="hy-AM"/>
        </w:rPr>
        <w:instrText>HYPERLINK "https://likumi.lv/ta/en/en/id/50500"</w:instrText>
      </w:r>
      <w:r w:rsidR="00B604B7">
        <w:fldChar w:fldCharType="separate"/>
      </w:r>
      <w:r w:rsidRPr="00EC4780">
        <w:rPr>
          <w:rStyle w:val="Hyperlink"/>
          <w:rFonts w:ascii="GHEA Grapalat" w:hAnsi="GHEA Grapalat"/>
          <w:lang w:val="hy-AM"/>
        </w:rPr>
        <w:t>https://likumi.lv/ta/en/en/id/50500</w:t>
      </w:r>
      <w:r w:rsidR="00B604B7">
        <w:rPr>
          <w:rStyle w:val="Hyperlink"/>
          <w:rFonts w:ascii="GHEA Grapalat" w:hAnsi="GHEA Grapalat"/>
          <w:lang w:val="hy-AM"/>
        </w:rPr>
        <w:fldChar w:fldCharType="end"/>
      </w:r>
      <w:r w:rsidRPr="00EC4780">
        <w:rPr>
          <w:rFonts w:ascii="GHEA Grapalat" w:hAnsi="GHEA Grapalat"/>
          <w:lang w:val="hy-AM"/>
        </w:rPr>
        <w:t xml:space="preserve"> </w:t>
      </w:r>
    </w:p>
  </w:footnote>
  <w:footnote w:id="8">
    <w:p w14:paraId="2AC142CE"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r w:rsidR="00B604B7">
        <w:fldChar w:fldCharType="begin"/>
      </w:r>
      <w:r w:rsidR="00B604B7" w:rsidRPr="002B3412">
        <w:rPr>
          <w:lang w:val="hy-AM"/>
        </w:rPr>
        <w:instrText>HYPERLINK "https://www.infolex.lt/ta/77554"</w:instrText>
      </w:r>
      <w:r w:rsidR="00B604B7">
        <w:fldChar w:fldCharType="separate"/>
      </w:r>
      <w:r w:rsidRPr="00EC4780">
        <w:rPr>
          <w:rStyle w:val="Hyperlink"/>
          <w:rFonts w:ascii="GHEA Grapalat" w:hAnsi="GHEA Grapalat"/>
          <w:lang w:val="hy-AM"/>
        </w:rPr>
        <w:t>https://www.infolex.lt/ta/77554</w:t>
      </w:r>
      <w:r w:rsidR="00B604B7">
        <w:rPr>
          <w:rStyle w:val="Hyperlink"/>
          <w:rFonts w:ascii="GHEA Grapalat" w:hAnsi="GHEA Grapalat"/>
          <w:lang w:val="hy-AM"/>
        </w:rPr>
        <w:fldChar w:fldCharType="end"/>
      </w:r>
      <w:r w:rsidRPr="00EC4780">
        <w:rPr>
          <w:rFonts w:ascii="GHEA Grapalat" w:hAnsi="GHEA Grapalat"/>
          <w:lang w:val="hy-AM"/>
        </w:rPr>
        <w:t xml:space="preserve"> </w:t>
      </w:r>
    </w:p>
  </w:footnote>
  <w:footnote w:id="9">
    <w:p w14:paraId="532CAB1B"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r w:rsidR="00B604B7">
        <w:fldChar w:fldCharType="begin"/>
      </w:r>
      <w:r w:rsidR="00B604B7" w:rsidRPr="002B3412">
        <w:rPr>
          <w:lang w:val="hy-AM"/>
        </w:rPr>
        <w:instrText>HYPERLINK "https://arhiva.mpravde.gov.rs/images/Civil%20Procedure%20Law_180411.pdf"</w:instrText>
      </w:r>
      <w:r w:rsidR="00B604B7">
        <w:fldChar w:fldCharType="separate"/>
      </w:r>
      <w:r w:rsidRPr="00EC4780">
        <w:rPr>
          <w:rStyle w:val="Hyperlink"/>
          <w:rFonts w:ascii="GHEA Grapalat" w:hAnsi="GHEA Grapalat"/>
          <w:lang w:val="hy-AM"/>
        </w:rPr>
        <w:t>https://arhiva.mpravde.gov.rs/images/Civil%20Procedure%20Law_180411.pdf</w:t>
      </w:r>
      <w:r w:rsidR="00B604B7">
        <w:rPr>
          <w:rStyle w:val="Hyperlink"/>
          <w:rFonts w:ascii="GHEA Grapalat" w:hAnsi="GHEA Grapalat"/>
          <w:lang w:val="hy-AM"/>
        </w:rPr>
        <w:fldChar w:fldCharType="end"/>
      </w:r>
      <w:r w:rsidRPr="00EC4780">
        <w:rPr>
          <w:rFonts w:ascii="GHEA Grapalat" w:hAnsi="GHEA Grapalat"/>
          <w:lang w:val="hy-AM"/>
        </w:rPr>
        <w:t xml:space="preserve"> </w:t>
      </w:r>
    </w:p>
  </w:footnote>
  <w:footnote w:id="10">
    <w:p w14:paraId="73AD1594" w14:textId="77777777" w:rsidR="00892ECB" w:rsidRPr="00EC4780" w:rsidRDefault="00892ECB" w:rsidP="00EC4780">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r w:rsidR="00B604B7">
        <w:fldChar w:fldCharType="begin"/>
      </w:r>
      <w:r w:rsidR="00B604B7" w:rsidRPr="002B3412">
        <w:rPr>
          <w:lang w:val="hy-AM"/>
        </w:rPr>
        <w:instrText>HYPERLINK "https://www.legal500.com/developments/thought-leadership/court-fees-in-civil-procedures-in-the-republic-of-serbia/"</w:instrText>
      </w:r>
      <w:r w:rsidR="00B604B7">
        <w:fldChar w:fldCharType="separate"/>
      </w:r>
      <w:r w:rsidRPr="00EC4780">
        <w:rPr>
          <w:rStyle w:val="Hyperlink"/>
          <w:rFonts w:ascii="GHEA Grapalat" w:hAnsi="GHEA Grapalat"/>
          <w:lang w:val="hy-AM"/>
        </w:rPr>
        <w:t>https://www.legal500.com/developments/thought-leadership/court-fees-in-civil-procedures-in-the-republic-of-serbia/</w:t>
      </w:r>
      <w:r w:rsidR="00B604B7">
        <w:rPr>
          <w:rStyle w:val="Hyperlink"/>
          <w:rFonts w:ascii="GHEA Grapalat" w:hAnsi="GHEA Grapalat"/>
          <w:lang w:val="hy-AM"/>
        </w:rPr>
        <w:fldChar w:fldCharType="end"/>
      </w:r>
      <w:r w:rsidRPr="00EC4780">
        <w:rPr>
          <w:rFonts w:ascii="GHEA Grapalat" w:hAnsi="GHEA Grapalat"/>
          <w:lang w:val="hy-AM"/>
        </w:rPr>
        <w:t xml:space="preserve"> </w:t>
      </w:r>
    </w:p>
  </w:footnote>
  <w:footnote w:id="11">
    <w:p w14:paraId="584A09F7"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Pr="00EC4780">
        <w:rPr>
          <w:rFonts w:ascii="GHEA Grapalat" w:eastAsia="GHEA Grapalat" w:hAnsi="GHEA Grapalat" w:cs="GHEA Grapalat"/>
          <w:color w:val="000000"/>
          <w:sz w:val="20"/>
          <w:szCs w:val="20"/>
          <w:lang w:val="hy-AM"/>
        </w:rPr>
        <w:t xml:space="preserve"> </w:t>
      </w:r>
      <w:r w:rsidR="00B604B7">
        <w:fldChar w:fldCharType="begin"/>
      </w:r>
      <w:r w:rsidR="00B604B7" w:rsidRPr="002B3412">
        <w:rPr>
          <w:lang w:val="hy-AM"/>
        </w:rPr>
        <w:instrText>HYPERLINK "https://data.worldbank.org/indicator/NY.GDP.PCAP.KN?locations=AM"</w:instrText>
      </w:r>
      <w:r w:rsidR="00B604B7">
        <w:fldChar w:fldCharType="separate"/>
      </w:r>
      <w:r w:rsidRPr="00EC4780">
        <w:rPr>
          <w:rStyle w:val="Hyperlink"/>
          <w:rFonts w:ascii="GHEA Grapalat" w:eastAsia="GHEA Grapalat" w:hAnsi="GHEA Grapalat" w:cs="GHEA Grapalat"/>
          <w:sz w:val="20"/>
          <w:szCs w:val="20"/>
          <w:lang w:val="hy-AM"/>
        </w:rPr>
        <w:t>https://data.worldbank.org/indicator/NY.GDP.PCAP.KN?locations=AM</w:t>
      </w:r>
      <w:r w:rsidR="00B604B7">
        <w:rPr>
          <w:rStyle w:val="Hyperlink"/>
          <w:rFonts w:ascii="GHEA Grapalat" w:eastAsia="GHEA Grapalat" w:hAnsi="GHEA Grapalat" w:cs="GHEA Grapalat"/>
          <w:sz w:val="20"/>
          <w:szCs w:val="20"/>
          <w:lang w:val="hy-AM"/>
        </w:rPr>
        <w:fldChar w:fldCharType="end"/>
      </w:r>
    </w:p>
  </w:footnote>
  <w:footnote w:id="12">
    <w:p w14:paraId="2B6D1AB4"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Pr="00EC4780">
        <w:rPr>
          <w:rFonts w:ascii="GHEA Grapalat" w:eastAsia="GHEA Grapalat" w:hAnsi="GHEA Grapalat" w:cs="GHEA Grapalat"/>
          <w:color w:val="000000"/>
          <w:sz w:val="20"/>
          <w:szCs w:val="20"/>
          <w:lang w:val="hy-AM"/>
        </w:rPr>
        <w:t xml:space="preserve"> </w:t>
      </w:r>
      <w:r w:rsidRPr="00EC4780">
        <w:rPr>
          <w:rFonts w:ascii="GHEA Grapalat" w:eastAsia="GHEA Grapalat" w:hAnsi="GHEA Grapalat" w:cs="GHEA Grapalat"/>
          <w:color w:val="000000"/>
          <w:sz w:val="20"/>
          <w:szCs w:val="20"/>
          <w:lang w:val="hy-AM"/>
        </w:rPr>
        <w:t>Միջին ամսական աշխատավարձը վարձու աշխատողի համախառն վարձատրությունն է` հաշվի առած ՀՀ օրենսդրությամբ սահմանված հարկերը և այլ պահումները + աշխատավարձին հավասարեցված այլ վճարումների հաշվարկված գումարները (դրամական և բնեղեն արտահայտությամբ) հարաբերելով աշխատավարձի հաշվարկման համար կիրառվող աշխատողների միջին թվաքանակին</w:t>
      </w:r>
    </w:p>
  </w:footnote>
  <w:footnote w:id="13">
    <w:p w14:paraId="13A63A4B"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00B604B7">
        <w:fldChar w:fldCharType="begin"/>
      </w:r>
      <w:r w:rsidR="00B604B7" w:rsidRPr="002B3412">
        <w:rPr>
          <w:lang w:val="hy-AM"/>
        </w:rPr>
        <w:instrText>HYPERLINK "https://www.armstat.am/file/article/sv_03_20a_142.pdf" \h</w:instrText>
      </w:r>
      <w:r w:rsidR="00B604B7">
        <w:fldChar w:fldCharType="separate"/>
      </w:r>
      <w:r w:rsidRPr="00EC4780">
        <w:rPr>
          <w:rFonts w:ascii="GHEA Grapalat" w:eastAsia="GHEA Grapalat" w:hAnsi="GHEA Grapalat" w:cs="GHEA Grapalat"/>
          <w:color w:val="000000"/>
          <w:sz w:val="20"/>
          <w:szCs w:val="20"/>
          <w:lang w:val="hy-AM"/>
        </w:rPr>
        <w:t>https://www.armstat.am/file/article/sv_03_20a_142.pdf</w:t>
      </w:r>
      <w:r w:rsidR="00B604B7">
        <w:rPr>
          <w:rFonts w:ascii="GHEA Grapalat" w:eastAsia="GHEA Grapalat" w:hAnsi="GHEA Grapalat" w:cs="GHEA Grapalat"/>
          <w:color w:val="000000"/>
          <w:sz w:val="20"/>
          <w:szCs w:val="20"/>
          <w:lang w:val="hy-AM"/>
        </w:rPr>
        <w:fldChar w:fldCharType="end"/>
      </w:r>
      <w:r w:rsidRPr="00EC4780">
        <w:rPr>
          <w:rFonts w:ascii="GHEA Grapalat" w:eastAsia="GHEA Grapalat" w:hAnsi="GHEA Grapalat" w:cs="GHEA Grapalat"/>
          <w:color w:val="000000"/>
          <w:sz w:val="20"/>
          <w:szCs w:val="20"/>
          <w:lang w:val="hy-AM"/>
        </w:rPr>
        <w:t>, էջ 119</w:t>
      </w:r>
    </w:p>
  </w:footnote>
  <w:footnote w:id="14">
    <w:p w14:paraId="6B170CFC"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Pr="00EC4780">
        <w:rPr>
          <w:rFonts w:ascii="GHEA Grapalat" w:eastAsia="GHEA Grapalat" w:hAnsi="GHEA Grapalat" w:cs="GHEA Grapalat"/>
          <w:color w:val="000000"/>
          <w:sz w:val="20"/>
          <w:szCs w:val="20"/>
          <w:lang w:val="hy-AM"/>
        </w:rPr>
        <w:t xml:space="preserve"> </w:t>
      </w:r>
      <w:r w:rsidR="00B604B7">
        <w:fldChar w:fldCharType="begin"/>
      </w:r>
      <w:r w:rsidR="00B604B7" w:rsidRPr="002B3412">
        <w:rPr>
          <w:lang w:val="hy-AM"/>
        </w:rPr>
        <w:instrText>HYPERLINK "https://www.armstat.am/file/doc/99534408.pdf"</w:instrText>
      </w:r>
      <w:r w:rsidR="00B604B7">
        <w:fldChar w:fldCharType="separate"/>
      </w:r>
      <w:r w:rsidRPr="00EC4780">
        <w:rPr>
          <w:rStyle w:val="Hyperlink"/>
          <w:rFonts w:ascii="GHEA Grapalat" w:eastAsia="GHEA Grapalat" w:hAnsi="GHEA Grapalat" w:cs="GHEA Grapalat"/>
          <w:sz w:val="20"/>
          <w:szCs w:val="20"/>
          <w:lang w:val="hy-AM"/>
        </w:rPr>
        <w:t>https://www.armstat.am/file/doc/99534408.pdf</w:t>
      </w:r>
      <w:r w:rsidR="00B604B7">
        <w:rPr>
          <w:rStyle w:val="Hyperlink"/>
          <w:rFonts w:ascii="GHEA Grapalat" w:eastAsia="GHEA Grapalat" w:hAnsi="GHEA Grapalat" w:cs="GHEA Grapalat"/>
          <w:sz w:val="20"/>
          <w:szCs w:val="20"/>
          <w:lang w:val="hy-AM"/>
        </w:rPr>
        <w:fldChar w:fldCharType="end"/>
      </w:r>
      <w:r w:rsidRPr="00EC4780">
        <w:rPr>
          <w:rFonts w:ascii="GHEA Grapalat" w:eastAsia="GHEA Grapalat" w:hAnsi="GHEA Grapalat" w:cs="GHEA Grapalat"/>
          <w:color w:val="000000"/>
          <w:sz w:val="20"/>
          <w:szCs w:val="20"/>
          <w:lang w:val="hy-AM"/>
        </w:rPr>
        <w:t>, էջ 121</w:t>
      </w:r>
    </w:p>
  </w:footnote>
  <w:footnote w:id="15">
    <w:p w14:paraId="6E5A1329"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00B604B7">
        <w:fldChar w:fldCharType="begin"/>
      </w:r>
      <w:r w:rsidR="00B604B7" w:rsidRPr="002B3412">
        <w:rPr>
          <w:lang w:val="hy-AM"/>
        </w:rPr>
        <w:instrText>HYPERLINK "https://www.armstat.am/file/article/sv_03_20a_6200.pdf" \h</w:instrText>
      </w:r>
      <w:r w:rsidR="00B604B7">
        <w:fldChar w:fldCharType="separate"/>
      </w:r>
      <w:r w:rsidRPr="00EC4780">
        <w:rPr>
          <w:rFonts w:ascii="GHEA Grapalat" w:eastAsia="GHEA Grapalat" w:hAnsi="GHEA Grapalat" w:cs="GHEA Grapalat"/>
          <w:color w:val="000000"/>
          <w:sz w:val="20"/>
          <w:szCs w:val="20"/>
          <w:lang w:val="hy-AM"/>
        </w:rPr>
        <w:t>https://www.armstat.am/file/article/sv_03_20a_6200.pdf</w:t>
      </w:r>
      <w:r w:rsidR="00B604B7">
        <w:rPr>
          <w:rFonts w:ascii="GHEA Grapalat" w:eastAsia="GHEA Grapalat" w:hAnsi="GHEA Grapalat" w:cs="GHEA Grapalat"/>
          <w:color w:val="000000"/>
          <w:sz w:val="20"/>
          <w:szCs w:val="20"/>
          <w:lang w:val="hy-AM"/>
        </w:rPr>
        <w:fldChar w:fldCharType="end"/>
      </w:r>
      <w:r w:rsidRPr="00EC4780">
        <w:rPr>
          <w:rFonts w:ascii="GHEA Grapalat" w:eastAsia="GHEA Grapalat" w:hAnsi="GHEA Grapalat" w:cs="GHEA Grapalat"/>
          <w:color w:val="000000"/>
          <w:sz w:val="20"/>
          <w:szCs w:val="20"/>
          <w:lang w:val="hy-AM"/>
        </w:rPr>
        <w:t>, էջ 345</w:t>
      </w:r>
    </w:p>
  </w:footnote>
  <w:footnote w:id="16">
    <w:p w14:paraId="109DF03A" w14:textId="77777777" w:rsidR="00FC37BC" w:rsidRPr="00EC4780" w:rsidRDefault="00FC37BC" w:rsidP="00FC37BC">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r w:rsidR="00B604B7">
        <w:fldChar w:fldCharType="begin"/>
      </w:r>
      <w:r w:rsidR="00B604B7" w:rsidRPr="002B3412">
        <w:rPr>
          <w:lang w:val="hy-AM"/>
        </w:rPr>
        <w:instrText>HYPERLINK "https://www.armstat.am/file/article/sv_06_23a_6200.pdf"</w:instrText>
      </w:r>
      <w:r w:rsidR="00B604B7">
        <w:fldChar w:fldCharType="separate"/>
      </w:r>
      <w:r w:rsidRPr="00EC4780">
        <w:rPr>
          <w:rStyle w:val="Hyperlink"/>
          <w:rFonts w:ascii="GHEA Grapalat" w:hAnsi="GHEA Grapalat"/>
          <w:lang w:val="hy-AM"/>
        </w:rPr>
        <w:t>https://www.armstat.am/file/article/sv_06_23a_6200.pdf</w:t>
      </w:r>
      <w:r w:rsidR="00B604B7">
        <w:rPr>
          <w:rStyle w:val="Hyperlink"/>
          <w:rFonts w:ascii="GHEA Grapalat" w:hAnsi="GHEA Grapalat"/>
          <w:lang w:val="hy-AM"/>
        </w:rPr>
        <w:fldChar w:fldCharType="end"/>
      </w:r>
      <w:r w:rsidRPr="00EC4780">
        <w:rPr>
          <w:rFonts w:ascii="GHEA Grapalat" w:hAnsi="GHEA Grapalat"/>
          <w:lang w:val="hy-AM"/>
        </w:rPr>
        <w:t>, էջ 389</w:t>
      </w:r>
    </w:p>
  </w:footnote>
  <w:footnote w:id="17">
    <w:p w14:paraId="16159CF1"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Pr="00EC4780">
        <w:rPr>
          <w:rFonts w:ascii="GHEA Grapalat" w:eastAsia="GHEA Grapalat" w:hAnsi="GHEA Grapalat" w:cs="GHEA Grapalat"/>
          <w:color w:val="000000"/>
          <w:sz w:val="20"/>
          <w:szCs w:val="20"/>
          <w:lang w:val="hy-AM"/>
        </w:rPr>
        <w:t xml:space="preserve"> </w:t>
      </w:r>
      <w:r w:rsidR="00B604B7">
        <w:fldChar w:fldCharType="begin"/>
      </w:r>
      <w:r w:rsidR="00B604B7" w:rsidRPr="002B3412">
        <w:rPr>
          <w:lang w:val="hy-AM"/>
        </w:rPr>
        <w:instrText>HYPERLINK "https://www.armstat.am/file/doc/99516748.pdf"</w:instrText>
      </w:r>
      <w:r w:rsidR="00B604B7">
        <w:fldChar w:fldCharType="separate"/>
      </w:r>
      <w:r w:rsidRPr="00EC4780">
        <w:rPr>
          <w:rStyle w:val="Hyperlink"/>
          <w:rFonts w:ascii="GHEA Grapalat" w:eastAsia="GHEA Grapalat" w:hAnsi="GHEA Grapalat" w:cs="GHEA Grapalat"/>
          <w:sz w:val="20"/>
          <w:szCs w:val="20"/>
          <w:lang w:val="hy-AM"/>
        </w:rPr>
        <w:t>https://www.armstat.am/file/doc/99516748.pdf</w:t>
      </w:r>
      <w:r w:rsidR="00B604B7">
        <w:rPr>
          <w:rStyle w:val="Hyperlink"/>
          <w:rFonts w:ascii="GHEA Grapalat" w:eastAsia="GHEA Grapalat" w:hAnsi="GHEA Grapalat" w:cs="GHEA Grapalat"/>
          <w:sz w:val="20"/>
          <w:szCs w:val="20"/>
          <w:lang w:val="hy-AM"/>
        </w:rPr>
        <w:fldChar w:fldCharType="end"/>
      </w:r>
      <w:r w:rsidRPr="00EC4780">
        <w:rPr>
          <w:rFonts w:ascii="GHEA Grapalat" w:eastAsia="GHEA Grapalat" w:hAnsi="GHEA Grapalat" w:cs="GHEA Grapalat"/>
          <w:color w:val="000000"/>
          <w:sz w:val="20"/>
          <w:szCs w:val="20"/>
          <w:lang w:val="hy-AM"/>
        </w:rPr>
        <w:t>, էջ 118</w:t>
      </w:r>
    </w:p>
  </w:footnote>
  <w:footnote w:id="18">
    <w:p w14:paraId="5632820C" w14:textId="77777777" w:rsidR="00FC37BC" w:rsidRPr="00EC4780" w:rsidRDefault="00FC37BC" w:rsidP="00FC37BC">
      <w:pPr>
        <w:pStyle w:val="FootnoteText"/>
        <w:jc w:val="both"/>
        <w:rPr>
          <w:rFonts w:ascii="GHEA Grapalat" w:hAnsi="GHEA Grapalat"/>
          <w:lang w:val="hy-AM"/>
        </w:rPr>
      </w:pPr>
      <w:r w:rsidRPr="00EC4780">
        <w:rPr>
          <w:rStyle w:val="FootnoteReference"/>
          <w:rFonts w:ascii="GHEA Grapalat" w:hAnsi="GHEA Grapalat"/>
        </w:rPr>
        <w:footnoteRef/>
      </w:r>
      <w:r w:rsidRPr="00EC4780">
        <w:rPr>
          <w:rFonts w:ascii="GHEA Grapalat" w:hAnsi="GHEA Grapalat"/>
          <w:lang w:val="hy-AM"/>
        </w:rPr>
        <w:t xml:space="preserve"> </w:t>
      </w:r>
      <w:hyperlink r:id="rId7" w:history="1">
        <w:r w:rsidRPr="00EC4780">
          <w:rPr>
            <w:rStyle w:val="Hyperlink"/>
            <w:rFonts w:ascii="GHEA Grapalat" w:hAnsi="GHEA Grapalat"/>
            <w:lang w:val="hy-AM"/>
          </w:rPr>
          <w:t>https://www.armstat.am/file/doc/99534408.pdf</w:t>
        </w:r>
      </w:hyperlink>
      <w:r w:rsidRPr="00EC4780">
        <w:rPr>
          <w:rFonts w:ascii="GHEA Grapalat" w:hAnsi="GHEA Grapalat"/>
          <w:lang w:val="hy-AM"/>
        </w:rPr>
        <w:fldChar w:fldCharType="begin"/>
      </w:r>
      <w:r w:rsidRPr="00EC4780">
        <w:rPr>
          <w:rFonts w:ascii="GHEA Grapalat" w:hAnsi="GHEA Grapalat"/>
          <w:lang w:val="hy-AM"/>
        </w:rPr>
        <w:instrText xml:space="preserve">https://www.armstat.am/file/doc/99534408.pdf" </w:instrText>
      </w:r>
      <w:r w:rsidRPr="00EC4780">
        <w:rPr>
          <w:rFonts w:ascii="GHEA Grapalat" w:hAnsi="GHEA Grapalat"/>
          <w:lang w:val="hy-AM"/>
        </w:rPr>
        <w:fldChar w:fldCharType="separate"/>
      </w:r>
      <w:r w:rsidRPr="00EC4780">
        <w:rPr>
          <w:rStyle w:val="Hyperlink"/>
          <w:rFonts w:ascii="GHEA Grapalat" w:hAnsi="GHEA Grapalat"/>
          <w:lang w:val="hy-AM"/>
        </w:rPr>
        <w:t>https://www.armstat.am/file/doc/99534408.pdf</w:t>
      </w:r>
      <w:r w:rsidRPr="00EC4780">
        <w:rPr>
          <w:rFonts w:ascii="GHEA Grapalat" w:hAnsi="GHEA Grapalat"/>
          <w:lang w:val="hy-AM"/>
        </w:rPr>
        <w:fldChar w:fldCharType="end"/>
      </w:r>
      <w:r w:rsidRPr="00EC4780">
        <w:rPr>
          <w:rFonts w:ascii="GHEA Grapalat" w:hAnsi="GHEA Grapalat"/>
          <w:lang w:val="hy-AM"/>
        </w:rPr>
        <w:t>, էջ 147</w:t>
      </w:r>
    </w:p>
  </w:footnote>
  <w:footnote w:id="19">
    <w:p w14:paraId="6AB3DE8C" w14:textId="77777777" w:rsidR="00FC37BC" w:rsidRPr="00EC4780" w:rsidRDefault="00FC37BC" w:rsidP="00FC37BC">
      <w:pPr>
        <w:pBdr>
          <w:top w:val="nil"/>
          <w:left w:val="nil"/>
          <w:bottom w:val="nil"/>
          <w:right w:val="nil"/>
          <w:between w:val="nil"/>
        </w:pBdr>
        <w:jc w:val="both"/>
        <w:rPr>
          <w:rFonts w:ascii="GHEA Grapalat" w:eastAsia="GHEA Grapalat" w:hAnsi="GHEA Grapalat" w:cs="GHEA Grapalat"/>
          <w:color w:val="000000"/>
          <w:sz w:val="20"/>
          <w:szCs w:val="20"/>
          <w:lang w:val="hy-AM"/>
        </w:rPr>
      </w:pPr>
      <w:r w:rsidRPr="00EC4780">
        <w:rPr>
          <w:rStyle w:val="FootnoteReference"/>
          <w:rFonts w:ascii="GHEA Grapalat" w:eastAsiaTheme="minorEastAsia" w:hAnsi="GHEA Grapalat"/>
          <w:sz w:val="20"/>
          <w:szCs w:val="20"/>
        </w:rPr>
        <w:footnoteRef/>
      </w:r>
      <w:r w:rsidRPr="00EC4780">
        <w:rPr>
          <w:rFonts w:ascii="GHEA Grapalat" w:eastAsia="GHEA Grapalat" w:hAnsi="GHEA Grapalat" w:cs="GHEA Grapalat"/>
          <w:color w:val="000000"/>
          <w:sz w:val="20"/>
          <w:szCs w:val="20"/>
          <w:lang w:val="hy-AM"/>
        </w:rPr>
        <w:t xml:space="preserve"> </w:t>
      </w:r>
      <w:hyperlink r:id="rId8" w:history="1">
        <w:r w:rsidRPr="00EC4780">
          <w:rPr>
            <w:rStyle w:val="Hyperlink"/>
            <w:rFonts w:ascii="GHEA Grapalat" w:eastAsia="GHEA Grapalat" w:hAnsi="GHEA Grapalat" w:cs="GHEA Grapalat"/>
            <w:sz w:val="20"/>
            <w:szCs w:val="20"/>
            <w:lang w:val="hy-AM"/>
          </w:rPr>
          <w:t>https://armstat.am/am/?nid=714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8BF30" w14:textId="77777777" w:rsidR="00460D91" w:rsidRDefault="00460D91">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424E"/>
    <w:multiLevelType w:val="hybridMultilevel"/>
    <w:tmpl w:val="D75EF45E"/>
    <w:lvl w:ilvl="0" w:tplc="361C3DA8">
      <w:start w:val="1"/>
      <w:numFmt w:val="decimal"/>
      <w:lvlText w:val="%1)"/>
      <w:lvlJc w:val="left"/>
      <w:pPr>
        <w:ind w:left="1725" w:hanging="360"/>
      </w:pPr>
      <w:rPr>
        <w:rFonts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1" w15:restartNumberingAfterBreak="0">
    <w:nsid w:val="07130277"/>
    <w:multiLevelType w:val="hybridMultilevel"/>
    <w:tmpl w:val="D86419B2"/>
    <w:lvl w:ilvl="0" w:tplc="AB98681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D1E7672"/>
    <w:multiLevelType w:val="hybridMultilevel"/>
    <w:tmpl w:val="B5F27894"/>
    <w:lvl w:ilvl="0" w:tplc="D72AE9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003DA3"/>
    <w:multiLevelType w:val="multilevel"/>
    <w:tmpl w:val="95A44EE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135977B6"/>
    <w:multiLevelType w:val="hybridMultilevel"/>
    <w:tmpl w:val="780AB850"/>
    <w:lvl w:ilvl="0" w:tplc="C6C89F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A539E7"/>
    <w:multiLevelType w:val="hybridMultilevel"/>
    <w:tmpl w:val="2976FAC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0BC26E7"/>
    <w:multiLevelType w:val="hybridMultilevel"/>
    <w:tmpl w:val="A9FCD5DA"/>
    <w:lvl w:ilvl="0" w:tplc="560C7986">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15:restartNumberingAfterBreak="0">
    <w:nsid w:val="49237F31"/>
    <w:multiLevelType w:val="multilevel"/>
    <w:tmpl w:val="BD60A9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A3770D"/>
    <w:multiLevelType w:val="hybridMultilevel"/>
    <w:tmpl w:val="A8FA09E6"/>
    <w:lvl w:ilvl="0" w:tplc="737A6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7ED363D"/>
    <w:multiLevelType w:val="hybridMultilevel"/>
    <w:tmpl w:val="4F3E613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16cid:durableId="1115757440">
    <w:abstractNumId w:val="3"/>
  </w:num>
  <w:num w:numId="2" w16cid:durableId="1354303726">
    <w:abstractNumId w:val="7"/>
  </w:num>
  <w:num w:numId="3" w16cid:durableId="1559589997">
    <w:abstractNumId w:val="5"/>
  </w:num>
  <w:num w:numId="4" w16cid:durableId="1419520367">
    <w:abstractNumId w:val="8"/>
  </w:num>
  <w:num w:numId="5" w16cid:durableId="333607450">
    <w:abstractNumId w:val="6"/>
  </w:num>
  <w:num w:numId="6" w16cid:durableId="2075200068">
    <w:abstractNumId w:val="2"/>
  </w:num>
  <w:num w:numId="7" w16cid:durableId="256907295">
    <w:abstractNumId w:val="4"/>
  </w:num>
  <w:num w:numId="8" w16cid:durableId="73744565">
    <w:abstractNumId w:val="9"/>
  </w:num>
  <w:num w:numId="9" w16cid:durableId="1409961530">
    <w:abstractNumId w:val="0"/>
  </w:num>
  <w:num w:numId="10" w16cid:durableId="1448159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1D9"/>
    <w:rsid w:val="00005701"/>
    <w:rsid w:val="00014638"/>
    <w:rsid w:val="000155C2"/>
    <w:rsid w:val="00022B9D"/>
    <w:rsid w:val="000236B3"/>
    <w:rsid w:val="00025311"/>
    <w:rsid w:val="00034CA2"/>
    <w:rsid w:val="000367A4"/>
    <w:rsid w:val="00041727"/>
    <w:rsid w:val="00064859"/>
    <w:rsid w:val="00070445"/>
    <w:rsid w:val="000850CA"/>
    <w:rsid w:val="00092FFF"/>
    <w:rsid w:val="00097241"/>
    <w:rsid w:val="000A0172"/>
    <w:rsid w:val="000A1DCD"/>
    <w:rsid w:val="000C15EA"/>
    <w:rsid w:val="000C3E8B"/>
    <w:rsid w:val="000D1588"/>
    <w:rsid w:val="000D4A9B"/>
    <w:rsid w:val="000E1505"/>
    <w:rsid w:val="000E5BD2"/>
    <w:rsid w:val="000E6242"/>
    <w:rsid w:val="000E6243"/>
    <w:rsid w:val="000F6BDE"/>
    <w:rsid w:val="000F7264"/>
    <w:rsid w:val="00100788"/>
    <w:rsid w:val="00101860"/>
    <w:rsid w:val="00102FDB"/>
    <w:rsid w:val="001076DD"/>
    <w:rsid w:val="0011013F"/>
    <w:rsid w:val="00115570"/>
    <w:rsid w:val="0013072F"/>
    <w:rsid w:val="00132507"/>
    <w:rsid w:val="00140ACD"/>
    <w:rsid w:val="00145A56"/>
    <w:rsid w:val="0014728B"/>
    <w:rsid w:val="00150BB3"/>
    <w:rsid w:val="0015236C"/>
    <w:rsid w:val="001550F5"/>
    <w:rsid w:val="001666FA"/>
    <w:rsid w:val="0017422D"/>
    <w:rsid w:val="00177346"/>
    <w:rsid w:val="00193C5E"/>
    <w:rsid w:val="001A1290"/>
    <w:rsid w:val="001A16C1"/>
    <w:rsid w:val="001A2B63"/>
    <w:rsid w:val="001A4EF5"/>
    <w:rsid w:val="001A709B"/>
    <w:rsid w:val="001B48A8"/>
    <w:rsid w:val="001C5DA9"/>
    <w:rsid w:val="001D2308"/>
    <w:rsid w:val="001D2338"/>
    <w:rsid w:val="001D3C04"/>
    <w:rsid w:val="001D6B56"/>
    <w:rsid w:val="001F01F2"/>
    <w:rsid w:val="001F0BBF"/>
    <w:rsid w:val="001F1B19"/>
    <w:rsid w:val="001F6791"/>
    <w:rsid w:val="0020014E"/>
    <w:rsid w:val="00201F77"/>
    <w:rsid w:val="00206487"/>
    <w:rsid w:val="002111D0"/>
    <w:rsid w:val="00212A57"/>
    <w:rsid w:val="002133B2"/>
    <w:rsid w:val="00214449"/>
    <w:rsid w:val="00216B66"/>
    <w:rsid w:val="00217DD5"/>
    <w:rsid w:val="002226A0"/>
    <w:rsid w:val="00224EA1"/>
    <w:rsid w:val="00226B4F"/>
    <w:rsid w:val="00230613"/>
    <w:rsid w:val="00230FFC"/>
    <w:rsid w:val="002438E1"/>
    <w:rsid w:val="00244BB9"/>
    <w:rsid w:val="002546FE"/>
    <w:rsid w:val="002603D0"/>
    <w:rsid w:val="0027049E"/>
    <w:rsid w:val="0028685D"/>
    <w:rsid w:val="00286D02"/>
    <w:rsid w:val="00287649"/>
    <w:rsid w:val="00294487"/>
    <w:rsid w:val="002972CB"/>
    <w:rsid w:val="002A1949"/>
    <w:rsid w:val="002A2AED"/>
    <w:rsid w:val="002A3A14"/>
    <w:rsid w:val="002A67F6"/>
    <w:rsid w:val="002B3412"/>
    <w:rsid w:val="002B56F7"/>
    <w:rsid w:val="002C031C"/>
    <w:rsid w:val="002C4817"/>
    <w:rsid w:val="002C7051"/>
    <w:rsid w:val="002D7985"/>
    <w:rsid w:val="002E02DA"/>
    <w:rsid w:val="002E7C47"/>
    <w:rsid w:val="002F31A3"/>
    <w:rsid w:val="002F3F45"/>
    <w:rsid w:val="002F4795"/>
    <w:rsid w:val="002F6319"/>
    <w:rsid w:val="00302957"/>
    <w:rsid w:val="00312323"/>
    <w:rsid w:val="00317D4C"/>
    <w:rsid w:val="003214A0"/>
    <w:rsid w:val="003221F6"/>
    <w:rsid w:val="00323DA0"/>
    <w:rsid w:val="003251C5"/>
    <w:rsid w:val="003251E1"/>
    <w:rsid w:val="0032795F"/>
    <w:rsid w:val="00340332"/>
    <w:rsid w:val="00346628"/>
    <w:rsid w:val="00346F5A"/>
    <w:rsid w:val="0035267E"/>
    <w:rsid w:val="00353C88"/>
    <w:rsid w:val="00362DE5"/>
    <w:rsid w:val="0036751C"/>
    <w:rsid w:val="00385BF2"/>
    <w:rsid w:val="0039360E"/>
    <w:rsid w:val="00394493"/>
    <w:rsid w:val="003A09B9"/>
    <w:rsid w:val="003A4540"/>
    <w:rsid w:val="003B4CFF"/>
    <w:rsid w:val="003C16FF"/>
    <w:rsid w:val="003C4ABA"/>
    <w:rsid w:val="003D3198"/>
    <w:rsid w:val="003E0A28"/>
    <w:rsid w:val="003E2785"/>
    <w:rsid w:val="003E43B0"/>
    <w:rsid w:val="003E4804"/>
    <w:rsid w:val="003E5711"/>
    <w:rsid w:val="003E737B"/>
    <w:rsid w:val="004014C2"/>
    <w:rsid w:val="00402BF1"/>
    <w:rsid w:val="0041257E"/>
    <w:rsid w:val="00414E89"/>
    <w:rsid w:val="00415977"/>
    <w:rsid w:val="004200F1"/>
    <w:rsid w:val="00422AC1"/>
    <w:rsid w:val="004327E0"/>
    <w:rsid w:val="004401CD"/>
    <w:rsid w:val="00443A2B"/>
    <w:rsid w:val="00451EEF"/>
    <w:rsid w:val="00455ACA"/>
    <w:rsid w:val="00460D91"/>
    <w:rsid w:val="00467955"/>
    <w:rsid w:val="0047046B"/>
    <w:rsid w:val="004732F3"/>
    <w:rsid w:val="00473F69"/>
    <w:rsid w:val="004777AC"/>
    <w:rsid w:val="004808CF"/>
    <w:rsid w:val="00484EF0"/>
    <w:rsid w:val="00485978"/>
    <w:rsid w:val="00486BF4"/>
    <w:rsid w:val="00491263"/>
    <w:rsid w:val="00492B87"/>
    <w:rsid w:val="004A138F"/>
    <w:rsid w:val="004A20E2"/>
    <w:rsid w:val="004B23DC"/>
    <w:rsid w:val="004B36F6"/>
    <w:rsid w:val="004B3893"/>
    <w:rsid w:val="004C1324"/>
    <w:rsid w:val="004C1C4F"/>
    <w:rsid w:val="004C1CB2"/>
    <w:rsid w:val="004C1D4F"/>
    <w:rsid w:val="004C7FC5"/>
    <w:rsid w:val="004D094F"/>
    <w:rsid w:val="004D623E"/>
    <w:rsid w:val="004E3067"/>
    <w:rsid w:val="004E703F"/>
    <w:rsid w:val="004F2339"/>
    <w:rsid w:val="004F39E5"/>
    <w:rsid w:val="004F6A6E"/>
    <w:rsid w:val="0050117D"/>
    <w:rsid w:val="005042B0"/>
    <w:rsid w:val="00511E7A"/>
    <w:rsid w:val="0051317B"/>
    <w:rsid w:val="005167A4"/>
    <w:rsid w:val="00516860"/>
    <w:rsid w:val="00522896"/>
    <w:rsid w:val="005236F8"/>
    <w:rsid w:val="0052713D"/>
    <w:rsid w:val="0053277E"/>
    <w:rsid w:val="00544D36"/>
    <w:rsid w:val="00546E4B"/>
    <w:rsid w:val="0055018D"/>
    <w:rsid w:val="00557CDA"/>
    <w:rsid w:val="00587301"/>
    <w:rsid w:val="005925BE"/>
    <w:rsid w:val="0059429C"/>
    <w:rsid w:val="005A6AD9"/>
    <w:rsid w:val="005A6C5A"/>
    <w:rsid w:val="005B205E"/>
    <w:rsid w:val="005B669A"/>
    <w:rsid w:val="005C5624"/>
    <w:rsid w:val="005C6CAE"/>
    <w:rsid w:val="005C73E0"/>
    <w:rsid w:val="005D1973"/>
    <w:rsid w:val="005D25FF"/>
    <w:rsid w:val="005D48DA"/>
    <w:rsid w:val="005D619E"/>
    <w:rsid w:val="005D6496"/>
    <w:rsid w:val="005D7D59"/>
    <w:rsid w:val="005E3EEF"/>
    <w:rsid w:val="005F091E"/>
    <w:rsid w:val="005F2111"/>
    <w:rsid w:val="005F2636"/>
    <w:rsid w:val="005F29AD"/>
    <w:rsid w:val="005F4922"/>
    <w:rsid w:val="005F550E"/>
    <w:rsid w:val="00601584"/>
    <w:rsid w:val="00602B53"/>
    <w:rsid w:val="00614091"/>
    <w:rsid w:val="00621450"/>
    <w:rsid w:val="00623B4D"/>
    <w:rsid w:val="00624ED6"/>
    <w:rsid w:val="00635F7F"/>
    <w:rsid w:val="00637768"/>
    <w:rsid w:val="006442BA"/>
    <w:rsid w:val="006465AD"/>
    <w:rsid w:val="00647D46"/>
    <w:rsid w:val="006508C0"/>
    <w:rsid w:val="00653236"/>
    <w:rsid w:val="00654550"/>
    <w:rsid w:val="0065557F"/>
    <w:rsid w:val="00664C0A"/>
    <w:rsid w:val="00670F0B"/>
    <w:rsid w:val="006839E9"/>
    <w:rsid w:val="00690A2B"/>
    <w:rsid w:val="006A27F8"/>
    <w:rsid w:val="006A7835"/>
    <w:rsid w:val="006B5285"/>
    <w:rsid w:val="006B5A1F"/>
    <w:rsid w:val="006E1882"/>
    <w:rsid w:val="006E2CEF"/>
    <w:rsid w:val="006E7409"/>
    <w:rsid w:val="006E7E4A"/>
    <w:rsid w:val="006F3139"/>
    <w:rsid w:val="006F3149"/>
    <w:rsid w:val="006F41D8"/>
    <w:rsid w:val="006F5084"/>
    <w:rsid w:val="006F71B9"/>
    <w:rsid w:val="007046F1"/>
    <w:rsid w:val="00706202"/>
    <w:rsid w:val="00707A4C"/>
    <w:rsid w:val="0071168A"/>
    <w:rsid w:val="00715728"/>
    <w:rsid w:val="007173E5"/>
    <w:rsid w:val="00725B6C"/>
    <w:rsid w:val="00727DCD"/>
    <w:rsid w:val="0073092C"/>
    <w:rsid w:val="00732E79"/>
    <w:rsid w:val="00741CEC"/>
    <w:rsid w:val="00747972"/>
    <w:rsid w:val="00753070"/>
    <w:rsid w:val="0075355E"/>
    <w:rsid w:val="00761978"/>
    <w:rsid w:val="007647C8"/>
    <w:rsid w:val="007664B0"/>
    <w:rsid w:val="00770BE6"/>
    <w:rsid w:val="00771465"/>
    <w:rsid w:val="007718A7"/>
    <w:rsid w:val="00777CAC"/>
    <w:rsid w:val="007826E6"/>
    <w:rsid w:val="00795AEA"/>
    <w:rsid w:val="007A32B9"/>
    <w:rsid w:val="007A3D9A"/>
    <w:rsid w:val="007A7B6E"/>
    <w:rsid w:val="007A7BEF"/>
    <w:rsid w:val="007C2A0B"/>
    <w:rsid w:val="007C32D8"/>
    <w:rsid w:val="007C4FC8"/>
    <w:rsid w:val="007D2A81"/>
    <w:rsid w:val="007D331B"/>
    <w:rsid w:val="007E4B49"/>
    <w:rsid w:val="007E5390"/>
    <w:rsid w:val="007E626C"/>
    <w:rsid w:val="007F16D1"/>
    <w:rsid w:val="007F35FB"/>
    <w:rsid w:val="007F72A2"/>
    <w:rsid w:val="007F7773"/>
    <w:rsid w:val="00803325"/>
    <w:rsid w:val="00804A84"/>
    <w:rsid w:val="0081758D"/>
    <w:rsid w:val="0082330F"/>
    <w:rsid w:val="00824B50"/>
    <w:rsid w:val="0083140B"/>
    <w:rsid w:val="008344D9"/>
    <w:rsid w:val="00834E69"/>
    <w:rsid w:val="0083716F"/>
    <w:rsid w:val="00837FE9"/>
    <w:rsid w:val="008401D9"/>
    <w:rsid w:val="00847C10"/>
    <w:rsid w:val="008563E2"/>
    <w:rsid w:val="008572F4"/>
    <w:rsid w:val="00857A5B"/>
    <w:rsid w:val="00860DCE"/>
    <w:rsid w:val="0086284E"/>
    <w:rsid w:val="008721A3"/>
    <w:rsid w:val="00874AFE"/>
    <w:rsid w:val="008809CA"/>
    <w:rsid w:val="00887D2F"/>
    <w:rsid w:val="00891BE2"/>
    <w:rsid w:val="00892ECB"/>
    <w:rsid w:val="00892FC8"/>
    <w:rsid w:val="00896C79"/>
    <w:rsid w:val="008A1D13"/>
    <w:rsid w:val="008A3C49"/>
    <w:rsid w:val="008A5966"/>
    <w:rsid w:val="008A5C1A"/>
    <w:rsid w:val="008A5F38"/>
    <w:rsid w:val="008A79A2"/>
    <w:rsid w:val="008B1C40"/>
    <w:rsid w:val="008B61F5"/>
    <w:rsid w:val="008C6B33"/>
    <w:rsid w:val="008D4413"/>
    <w:rsid w:val="008D7A9B"/>
    <w:rsid w:val="008E35C2"/>
    <w:rsid w:val="008E79ED"/>
    <w:rsid w:val="008F3D7E"/>
    <w:rsid w:val="008F3DEF"/>
    <w:rsid w:val="0090763F"/>
    <w:rsid w:val="00934956"/>
    <w:rsid w:val="0093556A"/>
    <w:rsid w:val="009358FF"/>
    <w:rsid w:val="00940FE8"/>
    <w:rsid w:val="00941CF4"/>
    <w:rsid w:val="00951B06"/>
    <w:rsid w:val="009528E3"/>
    <w:rsid w:val="00952C70"/>
    <w:rsid w:val="00962A9F"/>
    <w:rsid w:val="00964162"/>
    <w:rsid w:val="00971725"/>
    <w:rsid w:val="00977598"/>
    <w:rsid w:val="00981AD8"/>
    <w:rsid w:val="00987238"/>
    <w:rsid w:val="009962AC"/>
    <w:rsid w:val="009A2D43"/>
    <w:rsid w:val="009A46F6"/>
    <w:rsid w:val="009A4EF0"/>
    <w:rsid w:val="009B2F08"/>
    <w:rsid w:val="009B6299"/>
    <w:rsid w:val="009B62B1"/>
    <w:rsid w:val="009B6B17"/>
    <w:rsid w:val="009B7263"/>
    <w:rsid w:val="009C2BAD"/>
    <w:rsid w:val="009C55B6"/>
    <w:rsid w:val="009D1CFF"/>
    <w:rsid w:val="009E287E"/>
    <w:rsid w:val="009E4E2F"/>
    <w:rsid w:val="009E7FAB"/>
    <w:rsid w:val="009F2D7A"/>
    <w:rsid w:val="00A00FC2"/>
    <w:rsid w:val="00A02C56"/>
    <w:rsid w:val="00A07970"/>
    <w:rsid w:val="00A20F1E"/>
    <w:rsid w:val="00A27F39"/>
    <w:rsid w:val="00A30D72"/>
    <w:rsid w:val="00A420FF"/>
    <w:rsid w:val="00A51DD6"/>
    <w:rsid w:val="00A57134"/>
    <w:rsid w:val="00A57DF0"/>
    <w:rsid w:val="00A736E4"/>
    <w:rsid w:val="00A80FE4"/>
    <w:rsid w:val="00A84B9A"/>
    <w:rsid w:val="00A8682D"/>
    <w:rsid w:val="00A910F1"/>
    <w:rsid w:val="00A916E4"/>
    <w:rsid w:val="00A9264C"/>
    <w:rsid w:val="00A93F9D"/>
    <w:rsid w:val="00AA24A9"/>
    <w:rsid w:val="00AA4074"/>
    <w:rsid w:val="00AA46EF"/>
    <w:rsid w:val="00AB0AD7"/>
    <w:rsid w:val="00AC2468"/>
    <w:rsid w:val="00AD01E1"/>
    <w:rsid w:val="00AD1981"/>
    <w:rsid w:val="00AD1E15"/>
    <w:rsid w:val="00AD2229"/>
    <w:rsid w:val="00AD37E4"/>
    <w:rsid w:val="00AE6007"/>
    <w:rsid w:val="00AF10FE"/>
    <w:rsid w:val="00AF19BC"/>
    <w:rsid w:val="00AF698E"/>
    <w:rsid w:val="00B0434F"/>
    <w:rsid w:val="00B0530A"/>
    <w:rsid w:val="00B06DBE"/>
    <w:rsid w:val="00B1092B"/>
    <w:rsid w:val="00B211D7"/>
    <w:rsid w:val="00B22105"/>
    <w:rsid w:val="00B25E34"/>
    <w:rsid w:val="00B26BD2"/>
    <w:rsid w:val="00B31183"/>
    <w:rsid w:val="00B3678D"/>
    <w:rsid w:val="00B374A0"/>
    <w:rsid w:val="00B422CF"/>
    <w:rsid w:val="00B465F9"/>
    <w:rsid w:val="00B60D75"/>
    <w:rsid w:val="00B63D8C"/>
    <w:rsid w:val="00B702A2"/>
    <w:rsid w:val="00B73F9B"/>
    <w:rsid w:val="00B74BEE"/>
    <w:rsid w:val="00B76565"/>
    <w:rsid w:val="00B80585"/>
    <w:rsid w:val="00B86492"/>
    <w:rsid w:val="00B91888"/>
    <w:rsid w:val="00BB0307"/>
    <w:rsid w:val="00BB48CF"/>
    <w:rsid w:val="00BC75BA"/>
    <w:rsid w:val="00BD149F"/>
    <w:rsid w:val="00BE1D48"/>
    <w:rsid w:val="00BE44E1"/>
    <w:rsid w:val="00BF4726"/>
    <w:rsid w:val="00BF59F3"/>
    <w:rsid w:val="00C10779"/>
    <w:rsid w:val="00C131C6"/>
    <w:rsid w:val="00C308AA"/>
    <w:rsid w:val="00C35220"/>
    <w:rsid w:val="00C3654F"/>
    <w:rsid w:val="00C36AAB"/>
    <w:rsid w:val="00C45AAA"/>
    <w:rsid w:val="00C45BB2"/>
    <w:rsid w:val="00C52A5A"/>
    <w:rsid w:val="00C564A1"/>
    <w:rsid w:val="00C61160"/>
    <w:rsid w:val="00C638BC"/>
    <w:rsid w:val="00C64CD1"/>
    <w:rsid w:val="00C71148"/>
    <w:rsid w:val="00C839B1"/>
    <w:rsid w:val="00C84B8C"/>
    <w:rsid w:val="00C90958"/>
    <w:rsid w:val="00C951D4"/>
    <w:rsid w:val="00CA0925"/>
    <w:rsid w:val="00CA1911"/>
    <w:rsid w:val="00CB347C"/>
    <w:rsid w:val="00CB434D"/>
    <w:rsid w:val="00CB7DF8"/>
    <w:rsid w:val="00CC0349"/>
    <w:rsid w:val="00CC249B"/>
    <w:rsid w:val="00CD2DAD"/>
    <w:rsid w:val="00CD338C"/>
    <w:rsid w:val="00CE40DF"/>
    <w:rsid w:val="00CE44D9"/>
    <w:rsid w:val="00CF0C0C"/>
    <w:rsid w:val="00CF0E13"/>
    <w:rsid w:val="00CF1675"/>
    <w:rsid w:val="00CF6528"/>
    <w:rsid w:val="00D01BD6"/>
    <w:rsid w:val="00D05B8A"/>
    <w:rsid w:val="00D05C63"/>
    <w:rsid w:val="00D14906"/>
    <w:rsid w:val="00D23216"/>
    <w:rsid w:val="00D26642"/>
    <w:rsid w:val="00D26EE8"/>
    <w:rsid w:val="00D351F5"/>
    <w:rsid w:val="00D40944"/>
    <w:rsid w:val="00D427C5"/>
    <w:rsid w:val="00D42B39"/>
    <w:rsid w:val="00D44F38"/>
    <w:rsid w:val="00D5448A"/>
    <w:rsid w:val="00D556A2"/>
    <w:rsid w:val="00D56DA1"/>
    <w:rsid w:val="00D62942"/>
    <w:rsid w:val="00D62DE8"/>
    <w:rsid w:val="00D653ED"/>
    <w:rsid w:val="00D67C25"/>
    <w:rsid w:val="00D741F3"/>
    <w:rsid w:val="00D87190"/>
    <w:rsid w:val="00D87E86"/>
    <w:rsid w:val="00DA2B39"/>
    <w:rsid w:val="00DA467D"/>
    <w:rsid w:val="00DD2EE5"/>
    <w:rsid w:val="00DD6305"/>
    <w:rsid w:val="00DD69AF"/>
    <w:rsid w:val="00DE0965"/>
    <w:rsid w:val="00DE0FDC"/>
    <w:rsid w:val="00DE208D"/>
    <w:rsid w:val="00DF1284"/>
    <w:rsid w:val="00DF465D"/>
    <w:rsid w:val="00DF6B2E"/>
    <w:rsid w:val="00E01E8B"/>
    <w:rsid w:val="00E05EBB"/>
    <w:rsid w:val="00E076A0"/>
    <w:rsid w:val="00E10895"/>
    <w:rsid w:val="00E11695"/>
    <w:rsid w:val="00E223F9"/>
    <w:rsid w:val="00E3035B"/>
    <w:rsid w:val="00E32C6D"/>
    <w:rsid w:val="00E330A0"/>
    <w:rsid w:val="00E3696A"/>
    <w:rsid w:val="00E36D64"/>
    <w:rsid w:val="00E42D7E"/>
    <w:rsid w:val="00E507E5"/>
    <w:rsid w:val="00E541F6"/>
    <w:rsid w:val="00E54515"/>
    <w:rsid w:val="00E55E61"/>
    <w:rsid w:val="00E56368"/>
    <w:rsid w:val="00E567FA"/>
    <w:rsid w:val="00E56C37"/>
    <w:rsid w:val="00E56C56"/>
    <w:rsid w:val="00E5784B"/>
    <w:rsid w:val="00E611F6"/>
    <w:rsid w:val="00E64CF0"/>
    <w:rsid w:val="00E666E6"/>
    <w:rsid w:val="00E70186"/>
    <w:rsid w:val="00E707E7"/>
    <w:rsid w:val="00E71339"/>
    <w:rsid w:val="00E77AC6"/>
    <w:rsid w:val="00E81DE0"/>
    <w:rsid w:val="00E8654A"/>
    <w:rsid w:val="00E91418"/>
    <w:rsid w:val="00E95EF3"/>
    <w:rsid w:val="00E971D7"/>
    <w:rsid w:val="00EB2CF8"/>
    <w:rsid w:val="00EB435D"/>
    <w:rsid w:val="00EB67F0"/>
    <w:rsid w:val="00EB7C2E"/>
    <w:rsid w:val="00EC29E6"/>
    <w:rsid w:val="00EC4780"/>
    <w:rsid w:val="00ED443F"/>
    <w:rsid w:val="00EE4AED"/>
    <w:rsid w:val="00EF0930"/>
    <w:rsid w:val="00EF1BB9"/>
    <w:rsid w:val="00EF2F4D"/>
    <w:rsid w:val="00EF3B19"/>
    <w:rsid w:val="00F01429"/>
    <w:rsid w:val="00F05821"/>
    <w:rsid w:val="00F0705F"/>
    <w:rsid w:val="00F144DA"/>
    <w:rsid w:val="00F2216E"/>
    <w:rsid w:val="00F26483"/>
    <w:rsid w:val="00F34395"/>
    <w:rsid w:val="00F36DEE"/>
    <w:rsid w:val="00F36E93"/>
    <w:rsid w:val="00F43D6E"/>
    <w:rsid w:val="00F518D9"/>
    <w:rsid w:val="00F54AE9"/>
    <w:rsid w:val="00F5559C"/>
    <w:rsid w:val="00F70CA2"/>
    <w:rsid w:val="00F86586"/>
    <w:rsid w:val="00F90357"/>
    <w:rsid w:val="00F904C8"/>
    <w:rsid w:val="00F96918"/>
    <w:rsid w:val="00F97F37"/>
    <w:rsid w:val="00FA59AF"/>
    <w:rsid w:val="00FC37BC"/>
    <w:rsid w:val="00FC3908"/>
    <w:rsid w:val="00FC4CB4"/>
    <w:rsid w:val="00FD24AC"/>
    <w:rsid w:val="00FD2F89"/>
    <w:rsid w:val="00FD599C"/>
    <w:rsid w:val="00FD6413"/>
    <w:rsid w:val="00FD6580"/>
    <w:rsid w:val="00FE4155"/>
    <w:rsid w:val="00FF397D"/>
    <w:rsid w:val="00FF5556"/>
    <w:rsid w:val="00FF6D7A"/>
    <w:rsid w:val="00FF7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FDAA1"/>
  <w15:docId w15:val="{3E91A2DF-3548-4A0A-8FCE-36F0124F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F08"/>
  </w:style>
  <w:style w:type="paragraph" w:styleId="Heading1">
    <w:name w:val="heading 1"/>
    <w:basedOn w:val="Normal1"/>
    <w:next w:val="Normal1"/>
    <w:uiPriority w:val="9"/>
    <w:qFormat/>
    <w:rsid w:val="00DC714A"/>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Normal1"/>
    <w:next w:val="Normal1"/>
    <w:uiPriority w:val="9"/>
    <w:semiHidden/>
    <w:unhideWhenUsed/>
    <w:qFormat/>
    <w:rsid w:val="00DC714A"/>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Normal1"/>
    <w:next w:val="Normal1"/>
    <w:uiPriority w:val="9"/>
    <w:semiHidden/>
    <w:unhideWhenUsed/>
    <w:qFormat/>
    <w:rsid w:val="00DC714A"/>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uiPriority w:val="9"/>
    <w:semiHidden/>
    <w:unhideWhenUsed/>
    <w:qFormat/>
    <w:rsid w:val="00DC714A"/>
    <w:pPr>
      <w:keepNext/>
      <w:keepLines/>
      <w:pBdr>
        <w:top w:val="nil"/>
        <w:left w:val="nil"/>
        <w:bottom w:val="nil"/>
        <w:right w:val="nil"/>
        <w:between w:val="nil"/>
      </w:pBdr>
      <w:spacing w:before="240" w:after="40"/>
      <w:outlineLvl w:val="3"/>
    </w:pPr>
    <w:rPr>
      <w:b/>
      <w:color w:val="000000"/>
    </w:rPr>
  </w:style>
  <w:style w:type="paragraph" w:styleId="Heading5">
    <w:name w:val="heading 5"/>
    <w:basedOn w:val="Normal1"/>
    <w:next w:val="Normal1"/>
    <w:uiPriority w:val="9"/>
    <w:semiHidden/>
    <w:unhideWhenUsed/>
    <w:qFormat/>
    <w:rsid w:val="00DC714A"/>
    <w:pPr>
      <w:keepNext/>
      <w:keepLines/>
      <w:pBdr>
        <w:top w:val="nil"/>
        <w:left w:val="nil"/>
        <w:bottom w:val="nil"/>
        <w:right w:val="nil"/>
        <w:between w:val="nil"/>
      </w:pBdr>
      <w:spacing w:before="220" w:after="40"/>
      <w:outlineLvl w:val="4"/>
    </w:pPr>
    <w:rPr>
      <w:b/>
      <w:color w:val="000000"/>
    </w:rPr>
  </w:style>
  <w:style w:type="paragraph" w:styleId="Heading6">
    <w:name w:val="heading 6"/>
    <w:basedOn w:val="Normal1"/>
    <w:next w:val="Normal1"/>
    <w:uiPriority w:val="9"/>
    <w:semiHidden/>
    <w:unhideWhenUsed/>
    <w:qFormat/>
    <w:rsid w:val="00DC714A"/>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DC714A"/>
    <w:pPr>
      <w:keepNext/>
      <w:keepLines/>
      <w:pBdr>
        <w:top w:val="nil"/>
        <w:left w:val="nil"/>
        <w:bottom w:val="nil"/>
        <w:right w:val="nil"/>
        <w:between w:val="nil"/>
      </w:pBdr>
      <w:spacing w:before="480" w:after="120"/>
    </w:pPr>
    <w:rPr>
      <w:b/>
      <w:color w:val="000000"/>
      <w:sz w:val="72"/>
      <w:szCs w:val="72"/>
    </w:rPr>
  </w:style>
  <w:style w:type="paragraph" w:customStyle="1" w:styleId="Normal1">
    <w:name w:val="Normal1"/>
    <w:qFormat/>
    <w:rsid w:val="00DC714A"/>
  </w:style>
  <w:style w:type="paragraph" w:styleId="Subtitle">
    <w:name w:val="Subtitle"/>
    <w:basedOn w:val="Normal"/>
    <w:next w:val="Normal"/>
    <w:uiPriority w:val="11"/>
    <w:qFormat/>
    <w:rsid w:val="00102FDB"/>
    <w:pPr>
      <w:keepNext/>
      <w:keepLines/>
      <w:pBdr>
        <w:top w:val="nil"/>
        <w:left w:val="nil"/>
        <w:bottom w:val="nil"/>
        <w:right w:val="nil"/>
        <w:between w:val="nil"/>
      </w:pBdr>
      <w:spacing w:before="360" w:after="80" w:line="276" w:lineRule="auto"/>
    </w:pPr>
    <w:rPr>
      <w:rFonts w:ascii="Georgia" w:eastAsia="Georgia" w:hAnsi="Georgia" w:cs="Georgia"/>
      <w:i/>
      <w:color w:val="666666"/>
      <w:sz w:val="48"/>
      <w:szCs w:val="48"/>
    </w:rPr>
  </w:style>
  <w:style w:type="table" w:customStyle="1" w:styleId="a">
    <w:basedOn w:val="TableNormal"/>
    <w:rsid w:val="00DC714A"/>
    <w:tblPr>
      <w:tblStyleRowBandSize w:val="1"/>
      <w:tblStyleColBandSize w:val="1"/>
    </w:tblPr>
  </w:style>
  <w:style w:type="table" w:customStyle="1" w:styleId="a0">
    <w:basedOn w:val="TableNormal"/>
    <w:rsid w:val="00DC714A"/>
    <w:tblPr>
      <w:tblStyleRowBandSize w:val="1"/>
      <w:tblStyleColBandSize w:val="1"/>
    </w:tblPr>
  </w:style>
  <w:style w:type="table" w:customStyle="1" w:styleId="a1">
    <w:basedOn w:val="TableNormal"/>
    <w:rsid w:val="00DC714A"/>
    <w:tblPr>
      <w:tblStyleRowBandSize w:val="1"/>
      <w:tblStyleColBandSize w:val="1"/>
    </w:tblPr>
  </w:style>
  <w:style w:type="table" w:customStyle="1" w:styleId="a2">
    <w:basedOn w:val="TableNormal"/>
    <w:rsid w:val="00DC714A"/>
    <w:tblPr>
      <w:tblStyleRowBandSize w:val="1"/>
      <w:tblStyleColBandSize w:val="1"/>
    </w:tblPr>
  </w:style>
  <w:style w:type="paragraph" w:styleId="CommentText">
    <w:name w:val="annotation text"/>
    <w:basedOn w:val="Normal"/>
    <w:link w:val="CommentTextChar"/>
    <w:uiPriority w:val="99"/>
    <w:unhideWhenUsed/>
    <w:rsid w:val="00DC714A"/>
    <w:pPr>
      <w:spacing w:after="20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C714A"/>
    <w:rPr>
      <w:sz w:val="20"/>
      <w:szCs w:val="20"/>
    </w:rPr>
  </w:style>
  <w:style w:type="character" w:styleId="CommentReference">
    <w:name w:val="annotation reference"/>
    <w:basedOn w:val="DefaultParagraphFont"/>
    <w:uiPriority w:val="99"/>
    <w:semiHidden/>
    <w:unhideWhenUsed/>
    <w:rsid w:val="00DC714A"/>
    <w:rPr>
      <w:sz w:val="16"/>
      <w:szCs w:val="16"/>
    </w:rPr>
  </w:style>
  <w:style w:type="paragraph" w:styleId="BalloonText">
    <w:name w:val="Balloon Text"/>
    <w:basedOn w:val="Normal"/>
    <w:link w:val="BalloonTextChar"/>
    <w:uiPriority w:val="99"/>
    <w:semiHidden/>
    <w:unhideWhenUsed/>
    <w:rsid w:val="002D6FBD"/>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D6FB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2D6FBD"/>
    <w:rPr>
      <w:b/>
      <w:bCs/>
    </w:rPr>
  </w:style>
  <w:style w:type="character" w:customStyle="1" w:styleId="CommentSubjectChar">
    <w:name w:val="Comment Subject Char"/>
    <w:basedOn w:val="CommentTextChar"/>
    <w:link w:val="CommentSubject"/>
    <w:uiPriority w:val="99"/>
    <w:semiHidden/>
    <w:rsid w:val="002D6FBD"/>
    <w:rPr>
      <w:b/>
      <w:bCs/>
      <w:sz w:val="20"/>
      <w:szCs w:val="20"/>
    </w:rPr>
  </w:style>
  <w:style w:type="character" w:styleId="Strong">
    <w:name w:val="Strong"/>
    <w:basedOn w:val="DefaultParagraphFont"/>
    <w:uiPriority w:val="22"/>
    <w:qFormat/>
    <w:rsid w:val="00317525"/>
    <w:rPr>
      <w:b/>
      <w:bCs/>
    </w:rPr>
  </w:style>
  <w:style w:type="table" w:styleId="TableGrid">
    <w:name w:val="Table Grid"/>
    <w:basedOn w:val="TableNormal"/>
    <w:uiPriority w:val="59"/>
    <w:rsid w:val="00806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8D2C5E"/>
    <w:rPr>
      <w:sz w:val="20"/>
      <w:szCs w:val="20"/>
    </w:rPr>
  </w:style>
  <w:style w:type="character" w:customStyle="1" w:styleId="FootnoteTextChar">
    <w:name w:val="Footnote Text Char"/>
    <w:basedOn w:val="DefaultParagraphFont"/>
    <w:link w:val="FootnoteText"/>
    <w:uiPriority w:val="99"/>
    <w:rsid w:val="008D2C5E"/>
    <w:rPr>
      <w:rFonts w:ascii="Times New Roman" w:eastAsia="Times New Roman" w:hAnsi="Times New Roman" w:cs="Times New Roman"/>
      <w:sz w:val="20"/>
      <w:szCs w:val="20"/>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link w:val="BVIfnr"/>
    <w:uiPriority w:val="99"/>
    <w:unhideWhenUsed/>
    <w:qFormat/>
    <w:rsid w:val="008D2C5E"/>
    <w:rPr>
      <w:vertAlign w:val="superscript"/>
    </w:rPr>
  </w:style>
  <w:style w:type="table" w:customStyle="1" w:styleId="a3">
    <w:basedOn w:val="TableNormal"/>
    <w:rsid w:val="00102FDB"/>
    <w:tblPr>
      <w:tblStyleRowBandSize w:val="1"/>
      <w:tblStyleColBandSize w:val="1"/>
    </w:tblPr>
  </w:style>
  <w:style w:type="table" w:customStyle="1" w:styleId="a4">
    <w:basedOn w:val="TableNormal"/>
    <w:rsid w:val="00102FDB"/>
    <w:tblPr>
      <w:tblStyleRowBandSize w:val="1"/>
      <w:tblStyleColBandSize w:val="1"/>
    </w:tblPr>
  </w:style>
  <w:style w:type="table" w:customStyle="1" w:styleId="a5">
    <w:basedOn w:val="TableNormal"/>
    <w:rsid w:val="00102FDB"/>
    <w:tblPr>
      <w:tblStyleRowBandSize w:val="1"/>
      <w:tblStyleColBandSize w:val="1"/>
    </w:tblPr>
  </w:style>
  <w:style w:type="table" w:customStyle="1" w:styleId="a6">
    <w:basedOn w:val="TableNormal"/>
    <w:rsid w:val="00102FDB"/>
    <w:tblPr>
      <w:tblStyleRowBandSize w:val="1"/>
      <w:tblStyleColBandSize w:val="1"/>
    </w:tblPr>
  </w:style>
  <w:style w:type="paragraph" w:styleId="ListParagraph">
    <w:name w:val="List Paragraph"/>
    <w:basedOn w:val="Normal"/>
    <w:uiPriority w:val="34"/>
    <w:qFormat/>
    <w:rsid w:val="004F6A6E"/>
    <w:pPr>
      <w:ind w:left="720"/>
      <w:contextualSpacing/>
    </w:pPr>
  </w:style>
  <w:style w:type="paragraph" w:styleId="Header">
    <w:name w:val="header"/>
    <w:basedOn w:val="Normal"/>
    <w:link w:val="HeaderChar"/>
    <w:uiPriority w:val="99"/>
    <w:unhideWhenUsed/>
    <w:rsid w:val="008B1C40"/>
    <w:pPr>
      <w:tabs>
        <w:tab w:val="center" w:pos="4680"/>
        <w:tab w:val="right" w:pos="9360"/>
      </w:tabs>
    </w:pPr>
  </w:style>
  <w:style w:type="character" w:customStyle="1" w:styleId="HeaderChar">
    <w:name w:val="Header Char"/>
    <w:basedOn w:val="DefaultParagraphFont"/>
    <w:link w:val="Header"/>
    <w:uiPriority w:val="99"/>
    <w:rsid w:val="008B1C40"/>
  </w:style>
  <w:style w:type="paragraph" w:styleId="Footer">
    <w:name w:val="footer"/>
    <w:basedOn w:val="Normal"/>
    <w:link w:val="FooterChar"/>
    <w:uiPriority w:val="99"/>
    <w:unhideWhenUsed/>
    <w:rsid w:val="008B1C40"/>
    <w:pPr>
      <w:tabs>
        <w:tab w:val="center" w:pos="4680"/>
        <w:tab w:val="right" w:pos="9360"/>
      </w:tabs>
    </w:pPr>
  </w:style>
  <w:style w:type="character" w:customStyle="1" w:styleId="FooterChar">
    <w:name w:val="Footer Char"/>
    <w:basedOn w:val="DefaultParagraphFont"/>
    <w:link w:val="Footer"/>
    <w:uiPriority w:val="99"/>
    <w:rsid w:val="008B1C40"/>
  </w:style>
  <w:style w:type="character" w:styleId="Hyperlink">
    <w:name w:val="Hyperlink"/>
    <w:basedOn w:val="DefaultParagraphFont"/>
    <w:uiPriority w:val="99"/>
    <w:semiHidden/>
    <w:unhideWhenUsed/>
    <w:rsid w:val="00B06DBE"/>
    <w:rPr>
      <w:color w:val="0000FF"/>
      <w:u w:val="single"/>
    </w:rPr>
  </w:style>
  <w:style w:type="paragraph" w:styleId="Revision">
    <w:name w:val="Revision"/>
    <w:hidden/>
    <w:uiPriority w:val="99"/>
    <w:semiHidden/>
    <w:rsid w:val="00415977"/>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892ECB"/>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892ECB"/>
  </w:style>
  <w:style w:type="paragraph" w:customStyle="1" w:styleId="Normal2">
    <w:name w:val="Normal2"/>
    <w:qFormat/>
    <w:rsid w:val="00892ECB"/>
    <w:pPr>
      <w:spacing w:after="200" w:line="276" w:lineRule="auto"/>
    </w:pPr>
    <w:rPr>
      <w:rFonts w:ascii="Calibri" w:hAnsi="Calibri" w:cs="Calibri"/>
      <w:color w:val="000000"/>
      <w:sz w:val="22"/>
      <w:szCs w:val="22"/>
      <w:lang w:val="ru-RU" w:eastAsia="ru-RU"/>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892ECB"/>
    <w:pPr>
      <w:spacing w:after="160" w:line="240" w:lineRule="exact"/>
      <w:jc w:val="both"/>
    </w:pPr>
    <w:rPr>
      <w:vertAlign w:val="superscript"/>
    </w:rPr>
  </w:style>
  <w:style w:type="paragraph" w:customStyle="1" w:styleId="1">
    <w:name w:val="Обычный1"/>
    <w:rsid w:val="00892ECB"/>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658">
      <w:bodyDiv w:val="1"/>
      <w:marLeft w:val="0"/>
      <w:marRight w:val="0"/>
      <w:marTop w:val="0"/>
      <w:marBottom w:val="0"/>
      <w:divBdr>
        <w:top w:val="none" w:sz="0" w:space="0" w:color="auto"/>
        <w:left w:val="none" w:sz="0" w:space="0" w:color="auto"/>
        <w:bottom w:val="none" w:sz="0" w:space="0" w:color="auto"/>
        <w:right w:val="none" w:sz="0" w:space="0" w:color="auto"/>
      </w:divBdr>
    </w:div>
    <w:div w:id="474181935">
      <w:bodyDiv w:val="1"/>
      <w:marLeft w:val="0"/>
      <w:marRight w:val="0"/>
      <w:marTop w:val="0"/>
      <w:marBottom w:val="0"/>
      <w:divBdr>
        <w:top w:val="none" w:sz="0" w:space="0" w:color="auto"/>
        <w:left w:val="none" w:sz="0" w:space="0" w:color="auto"/>
        <w:bottom w:val="none" w:sz="0" w:space="0" w:color="auto"/>
        <w:right w:val="none" w:sz="0" w:space="0" w:color="auto"/>
      </w:divBdr>
    </w:div>
    <w:div w:id="484323169">
      <w:bodyDiv w:val="1"/>
      <w:marLeft w:val="0"/>
      <w:marRight w:val="0"/>
      <w:marTop w:val="0"/>
      <w:marBottom w:val="0"/>
      <w:divBdr>
        <w:top w:val="none" w:sz="0" w:space="0" w:color="auto"/>
        <w:left w:val="none" w:sz="0" w:space="0" w:color="auto"/>
        <w:bottom w:val="none" w:sz="0" w:space="0" w:color="auto"/>
        <w:right w:val="none" w:sz="0" w:space="0" w:color="auto"/>
      </w:divBdr>
    </w:div>
    <w:div w:id="561335424">
      <w:bodyDiv w:val="1"/>
      <w:marLeft w:val="0"/>
      <w:marRight w:val="0"/>
      <w:marTop w:val="0"/>
      <w:marBottom w:val="0"/>
      <w:divBdr>
        <w:top w:val="none" w:sz="0" w:space="0" w:color="auto"/>
        <w:left w:val="none" w:sz="0" w:space="0" w:color="auto"/>
        <w:bottom w:val="none" w:sz="0" w:space="0" w:color="auto"/>
        <w:right w:val="none" w:sz="0" w:space="0" w:color="auto"/>
      </w:divBdr>
    </w:div>
    <w:div w:id="956566043">
      <w:bodyDiv w:val="1"/>
      <w:marLeft w:val="0"/>
      <w:marRight w:val="0"/>
      <w:marTop w:val="0"/>
      <w:marBottom w:val="0"/>
      <w:divBdr>
        <w:top w:val="none" w:sz="0" w:space="0" w:color="auto"/>
        <w:left w:val="none" w:sz="0" w:space="0" w:color="auto"/>
        <w:bottom w:val="none" w:sz="0" w:space="0" w:color="auto"/>
        <w:right w:val="none" w:sz="0" w:space="0" w:color="auto"/>
      </w:divBdr>
    </w:div>
    <w:div w:id="1544714986">
      <w:bodyDiv w:val="1"/>
      <w:marLeft w:val="0"/>
      <w:marRight w:val="0"/>
      <w:marTop w:val="0"/>
      <w:marBottom w:val="0"/>
      <w:divBdr>
        <w:top w:val="none" w:sz="0" w:space="0" w:color="auto"/>
        <w:left w:val="none" w:sz="0" w:space="0" w:color="auto"/>
        <w:bottom w:val="none" w:sz="0" w:space="0" w:color="auto"/>
        <w:right w:val="none" w:sz="0" w:space="0" w:color="auto"/>
      </w:divBdr>
    </w:div>
    <w:div w:id="1615552524">
      <w:bodyDiv w:val="1"/>
      <w:marLeft w:val="0"/>
      <w:marRight w:val="0"/>
      <w:marTop w:val="0"/>
      <w:marBottom w:val="0"/>
      <w:divBdr>
        <w:top w:val="none" w:sz="0" w:space="0" w:color="auto"/>
        <w:left w:val="none" w:sz="0" w:space="0" w:color="auto"/>
        <w:bottom w:val="none" w:sz="0" w:space="0" w:color="auto"/>
        <w:right w:val="none" w:sz="0" w:space="0" w:color="auto"/>
      </w:divBdr>
    </w:div>
    <w:div w:id="1846702065">
      <w:bodyDiv w:val="1"/>
      <w:marLeft w:val="0"/>
      <w:marRight w:val="0"/>
      <w:marTop w:val="0"/>
      <w:marBottom w:val="0"/>
      <w:divBdr>
        <w:top w:val="none" w:sz="0" w:space="0" w:color="auto"/>
        <w:left w:val="none" w:sz="0" w:space="0" w:color="auto"/>
        <w:bottom w:val="none" w:sz="0" w:space="0" w:color="auto"/>
        <w:right w:val="none" w:sz="0" w:space="0" w:color="auto"/>
      </w:divBdr>
    </w:div>
    <w:div w:id="2136828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armstat.am/am/?nid=714" TargetMode="External"/><Relationship Id="rId3" Type="http://schemas.openxmlformats.org/officeDocument/2006/relationships/hyperlink" Target="https://www.riigiteataja.ee/tolkelisa/5010/6202/3003/Annex1.pdf" TargetMode="External"/><Relationship Id="rId7" Type="http://schemas.openxmlformats.org/officeDocument/2006/relationships/hyperlink" Target="https://www.armstat.am/file/doc/99534408.pdf" TargetMode="External"/><Relationship Id="rId2" Type="http://schemas.openxmlformats.org/officeDocument/2006/relationships/hyperlink" Target="https://www.riigiteataja.ee/en/eli/ee/Riigikogu/act/501062023003/consolide" TargetMode="External"/><Relationship Id="rId1" Type="http://schemas.openxmlformats.org/officeDocument/2006/relationships/hyperlink" Target="https://www.riigiteataja.ee/en/eli/ee/Riigikogu/act/528072023007/consolide" TargetMode="External"/><Relationship Id="rId6" Type="http://schemas.openxmlformats.org/officeDocument/2006/relationships/hyperlink" Target="https://www.slov-lex.sk/pravne-predpisy/SK/ZZ/1992/71/20230725" TargetMode="External"/><Relationship Id="rId5" Type="http://schemas.openxmlformats.org/officeDocument/2006/relationships/hyperlink" Target="https://njt.hu/jogszabaly/2016-130-00-00" TargetMode="External"/><Relationship Id="rId4" Type="http://schemas.openxmlformats.org/officeDocument/2006/relationships/hyperlink" Target="https://njt.hu/jogszabaly/1990-93-00-00.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gKJUn7/TIZEpoqoxmgpCl67COQzA==">AMUW2mW6Qc1GHb4PNejwgrkc2fhpXOluA3iVAtZjapnvC/d7uyMkTB9l+tkPCnW0YIUq2jHQozOvzm3vF/FWaKmezfnrh/oc29nYkFRLIEpSryI7VxLd4tI=</go:docsCustomData>
</go:gDocsCustomXmlDataStorage>
</file>

<file path=customXml/itemProps1.xml><?xml version="1.0" encoding="utf-8"?>
<ds:datastoreItem xmlns:ds="http://schemas.openxmlformats.org/officeDocument/2006/customXml" ds:itemID="{0EFC3332-8EE1-48B8-B27F-01B5EA91A3F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18</Pages>
  <Words>3426</Words>
  <Characters>24514</Characters>
  <Application>Microsoft Office Word</Application>
  <DocSecurity>0</DocSecurity>
  <Lines>478</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https://mul2.gov.am/tasks/959036/oneclick/09042024_petturq-himnavorumner.docx?token=afb98ab77c8851489a776239afc4e9c6</cp:keywords>
  <cp:lastModifiedBy>Tigran Dadunc</cp:lastModifiedBy>
  <cp:revision>10</cp:revision>
  <cp:lastPrinted>2023-09-14T10:39:00Z</cp:lastPrinted>
  <dcterms:created xsi:type="dcterms:W3CDTF">2024-04-08T11:33:00Z</dcterms:created>
  <dcterms:modified xsi:type="dcterms:W3CDTF">2024-04-09T11:26:00Z</dcterms:modified>
</cp:coreProperties>
</file>