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FFE" w:rsidRPr="00A76FFE" w:rsidRDefault="00A76FFE" w:rsidP="00A76FF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GHEA Grapalat"/>
          <w:b/>
          <w:color w:val="000000"/>
          <w:sz w:val="24"/>
          <w:szCs w:val="24"/>
        </w:rPr>
      </w:pPr>
      <w:r w:rsidRPr="00A76FFE">
        <w:rPr>
          <w:rFonts w:ascii="GHEA Grapalat" w:eastAsia="Calibri" w:hAnsi="GHEA Grapalat" w:cs="GHEA Grapalat"/>
          <w:b/>
          <w:color w:val="000000"/>
          <w:sz w:val="24"/>
          <w:szCs w:val="24"/>
        </w:rPr>
        <w:t>ԱՄՓՈՓԱԹԵՐԹ</w:t>
      </w:r>
    </w:p>
    <w:p w:rsidR="00A76FFE" w:rsidRPr="00A76FFE" w:rsidRDefault="00A76FFE" w:rsidP="00A76FFE">
      <w:pPr>
        <w:tabs>
          <w:tab w:val="left" w:pos="993"/>
        </w:tabs>
        <w:spacing w:after="0" w:line="276" w:lineRule="auto"/>
        <w:ind w:firstLine="426"/>
        <w:jc w:val="center"/>
        <w:rPr>
          <w:rFonts w:ascii="GHEA Grapalat" w:eastAsia="Calibri" w:hAnsi="GHEA Grapalat" w:cs="Calibri"/>
          <w:b/>
          <w:sz w:val="24"/>
          <w:szCs w:val="24"/>
        </w:rPr>
      </w:pPr>
      <w:r w:rsidRPr="00A76FFE">
        <w:rPr>
          <w:rFonts w:ascii="GHEA Grapalat" w:eastAsia="Calibri" w:hAnsi="GHEA Grapalat" w:cs="Calibri"/>
          <w:b/>
          <w:sz w:val="24"/>
          <w:szCs w:val="24"/>
        </w:rPr>
        <w:br/>
      </w:r>
      <w:r w:rsidRPr="00A76FFE">
        <w:rPr>
          <w:rFonts w:ascii="GHEA Grapalat" w:eastAsia="Calibri" w:hAnsi="GHEA Grapalat" w:cs="Calibri"/>
          <w:b/>
          <w:sz w:val="24"/>
          <w:szCs w:val="24"/>
          <w:lang w:val="hy-AM"/>
        </w:rPr>
        <w:t>«</w:t>
      </w:r>
      <w:proofErr w:type="spellStart"/>
      <w:r w:rsidRPr="00A76FFE">
        <w:rPr>
          <w:rFonts w:ascii="GHEA Grapalat" w:eastAsia="Calibri" w:hAnsi="GHEA Grapalat" w:cs="Calibri"/>
          <w:b/>
          <w:sz w:val="24"/>
          <w:szCs w:val="24"/>
        </w:rPr>
        <w:t>Գնման</w:t>
      </w:r>
      <w:proofErr w:type="spellEnd"/>
      <w:r w:rsidRPr="00A76FFE">
        <w:rPr>
          <w:rFonts w:ascii="GHEA Grapalat" w:eastAsia="Calibri" w:hAnsi="GHEA Grapalat" w:cs="Calibri"/>
          <w:b/>
          <w:sz w:val="24"/>
          <w:szCs w:val="24"/>
        </w:rPr>
        <w:t xml:space="preserve"> </w:t>
      </w:r>
      <w:proofErr w:type="spellStart"/>
      <w:r w:rsidRPr="00A76FFE">
        <w:rPr>
          <w:rFonts w:ascii="GHEA Grapalat" w:eastAsia="Calibri" w:hAnsi="GHEA Grapalat" w:cs="Calibri"/>
          <w:b/>
          <w:sz w:val="24"/>
          <w:szCs w:val="24"/>
        </w:rPr>
        <w:t>գործընթացի</w:t>
      </w:r>
      <w:proofErr w:type="spellEnd"/>
      <w:r w:rsidRPr="00A76FFE">
        <w:rPr>
          <w:rFonts w:ascii="GHEA Grapalat" w:eastAsia="Calibri" w:hAnsi="GHEA Grapalat" w:cs="Calibri"/>
          <w:b/>
          <w:sz w:val="24"/>
          <w:szCs w:val="24"/>
        </w:rPr>
        <w:t xml:space="preserve"> </w:t>
      </w:r>
      <w:proofErr w:type="spellStart"/>
      <w:r w:rsidRPr="00A76FFE">
        <w:rPr>
          <w:rFonts w:ascii="GHEA Grapalat" w:eastAsia="Calibri" w:hAnsi="GHEA Grapalat" w:cs="Calibri"/>
          <w:b/>
          <w:sz w:val="24"/>
          <w:szCs w:val="24"/>
        </w:rPr>
        <w:t>կազմակերպման</w:t>
      </w:r>
      <w:proofErr w:type="spellEnd"/>
      <w:r w:rsidRPr="00A76FFE">
        <w:rPr>
          <w:rFonts w:ascii="GHEA Grapalat" w:eastAsia="Calibri" w:hAnsi="GHEA Grapalat" w:cs="Calibri"/>
          <w:b/>
          <w:sz w:val="24"/>
          <w:szCs w:val="24"/>
        </w:rPr>
        <w:t xml:space="preserve"> </w:t>
      </w:r>
      <w:proofErr w:type="spellStart"/>
      <w:r w:rsidRPr="00A76FFE">
        <w:rPr>
          <w:rFonts w:ascii="GHEA Grapalat" w:eastAsia="Calibri" w:hAnsi="GHEA Grapalat" w:cs="Calibri"/>
          <w:b/>
          <w:sz w:val="24"/>
          <w:szCs w:val="24"/>
        </w:rPr>
        <w:t>առանձնահատկությունները</w:t>
      </w:r>
      <w:proofErr w:type="spellEnd"/>
      <w:r w:rsidRPr="00A76FFE">
        <w:rPr>
          <w:rFonts w:ascii="GHEA Grapalat" w:eastAsia="Calibri" w:hAnsi="GHEA Grapalat" w:cs="Calibri"/>
          <w:b/>
          <w:sz w:val="24"/>
          <w:szCs w:val="24"/>
        </w:rPr>
        <w:t xml:space="preserve"> </w:t>
      </w:r>
      <w:proofErr w:type="spellStart"/>
      <w:r w:rsidRPr="00A76FFE">
        <w:rPr>
          <w:rFonts w:ascii="GHEA Grapalat" w:eastAsia="Calibri" w:hAnsi="GHEA Grapalat" w:cs="Calibri"/>
          <w:b/>
          <w:sz w:val="24"/>
          <w:szCs w:val="24"/>
        </w:rPr>
        <w:t>սահմանելու</w:t>
      </w:r>
      <w:proofErr w:type="spellEnd"/>
      <w:r w:rsidRPr="00A76FFE">
        <w:rPr>
          <w:rFonts w:ascii="GHEA Grapalat" w:eastAsia="Calibri" w:hAnsi="GHEA Grapalat" w:cs="Calibri"/>
          <w:b/>
          <w:sz w:val="24"/>
          <w:szCs w:val="24"/>
        </w:rPr>
        <w:t xml:space="preserve"> </w:t>
      </w:r>
      <w:proofErr w:type="spellStart"/>
      <w:r w:rsidRPr="00A76FFE">
        <w:rPr>
          <w:rFonts w:ascii="GHEA Grapalat" w:eastAsia="Calibri" w:hAnsi="GHEA Grapalat" w:cs="Calibri"/>
          <w:b/>
          <w:sz w:val="24"/>
          <w:szCs w:val="24"/>
        </w:rPr>
        <w:t>մասին</w:t>
      </w:r>
      <w:proofErr w:type="spellEnd"/>
      <w:r w:rsidRPr="00A76FFE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76FFE">
        <w:rPr>
          <w:rFonts w:ascii="GHEA Grapalat" w:eastAsia="Calibri" w:hAnsi="GHEA Grapalat" w:cs="Calibri"/>
          <w:b/>
          <w:sz w:val="24"/>
          <w:szCs w:val="24"/>
        </w:rPr>
        <w:t xml:space="preserve">ՀՀ </w:t>
      </w:r>
      <w:proofErr w:type="spellStart"/>
      <w:r w:rsidRPr="00A76FFE">
        <w:rPr>
          <w:rFonts w:ascii="GHEA Grapalat" w:eastAsia="Calibri" w:hAnsi="GHEA Grapalat" w:cs="Calibri"/>
          <w:b/>
          <w:sz w:val="24"/>
          <w:szCs w:val="24"/>
        </w:rPr>
        <w:t>կառավարության</w:t>
      </w:r>
      <w:proofErr w:type="spellEnd"/>
      <w:r w:rsidRPr="00A76FFE">
        <w:rPr>
          <w:rFonts w:ascii="GHEA Grapalat" w:eastAsia="Calibri" w:hAnsi="GHEA Grapalat" w:cs="Calibri"/>
          <w:b/>
          <w:sz w:val="24"/>
          <w:szCs w:val="24"/>
        </w:rPr>
        <w:t xml:space="preserve"> </w:t>
      </w:r>
      <w:proofErr w:type="spellStart"/>
      <w:r w:rsidRPr="00A76FFE">
        <w:rPr>
          <w:rFonts w:ascii="GHEA Grapalat" w:eastAsia="Calibri" w:hAnsi="GHEA Grapalat" w:cs="Calibri"/>
          <w:b/>
          <w:sz w:val="24"/>
          <w:szCs w:val="24"/>
        </w:rPr>
        <w:t>որոշման</w:t>
      </w:r>
      <w:proofErr w:type="spellEnd"/>
      <w:r w:rsidRPr="00A76FFE">
        <w:rPr>
          <w:rFonts w:ascii="GHEA Grapalat" w:eastAsia="Calibri" w:hAnsi="GHEA Grapalat" w:cs="Calibri"/>
          <w:b/>
          <w:sz w:val="24"/>
          <w:szCs w:val="24"/>
        </w:rPr>
        <w:t xml:space="preserve"> </w:t>
      </w:r>
      <w:proofErr w:type="spellStart"/>
      <w:r w:rsidRPr="00A76FFE">
        <w:rPr>
          <w:rFonts w:ascii="GHEA Grapalat" w:eastAsia="Calibri" w:hAnsi="GHEA Grapalat" w:cs="Calibri"/>
          <w:b/>
          <w:sz w:val="24"/>
          <w:szCs w:val="24"/>
        </w:rPr>
        <w:t>նախագծի</w:t>
      </w:r>
      <w:proofErr w:type="spellEnd"/>
      <w:r w:rsidRPr="00A76FFE">
        <w:rPr>
          <w:rFonts w:ascii="GHEA Grapalat" w:eastAsia="Calibri" w:hAnsi="GHEA Grapalat" w:cs="Calibri"/>
          <w:b/>
          <w:sz w:val="24"/>
          <w:szCs w:val="24"/>
        </w:rPr>
        <w:t xml:space="preserve"> </w:t>
      </w:r>
    </w:p>
    <w:p w:rsidR="00A76FFE" w:rsidRPr="00A76FFE" w:rsidRDefault="00A76FFE" w:rsidP="00A76FF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GHEA Grapalat"/>
          <w:color w:val="000000"/>
          <w:sz w:val="24"/>
          <w:szCs w:val="24"/>
        </w:rPr>
      </w:pPr>
      <w:r w:rsidRPr="00A76FFE">
        <w:rPr>
          <w:rFonts w:ascii="Calibri" w:eastAsia="Calibri" w:hAnsi="Calibri" w:cs="Calibri"/>
          <w:color w:val="000000"/>
          <w:sz w:val="24"/>
          <w:szCs w:val="24"/>
        </w:rPr>
        <w:t>  </w:t>
      </w:r>
    </w:p>
    <w:p w:rsidR="00A76FFE" w:rsidRPr="00A76FFE" w:rsidRDefault="00A76FFE" w:rsidP="00A76FF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GHEA Grapalat"/>
          <w:color w:val="000000"/>
          <w:sz w:val="24"/>
          <w:szCs w:val="24"/>
        </w:rPr>
      </w:pPr>
    </w:p>
    <w:tbl>
      <w:tblPr>
        <w:tblW w:w="111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99"/>
        <w:gridCol w:w="6053"/>
      </w:tblGrid>
      <w:tr w:rsidR="00A76FFE" w:rsidRPr="00A76FFE" w:rsidTr="00042647">
        <w:trPr>
          <w:tblCellSpacing w:w="0" w:type="dxa"/>
          <w:jc w:val="center"/>
        </w:trPr>
        <w:tc>
          <w:tcPr>
            <w:tcW w:w="5099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76FFE" w:rsidRPr="00A76FFE" w:rsidRDefault="00A76FFE" w:rsidP="00A76FFE">
            <w:pPr>
              <w:spacing w:line="360" w:lineRule="auto"/>
              <w:ind w:left="161"/>
              <w:rPr>
                <w:rFonts w:ascii="GHEA Grapalat" w:eastAsia="Calibri" w:hAnsi="GHEA Grapalat" w:cs="GHEA Grapalat"/>
                <w:sz w:val="24"/>
                <w:szCs w:val="24"/>
              </w:rPr>
            </w:pPr>
            <w:r w:rsidRPr="00A76FF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1.</w:t>
            </w:r>
            <w:proofErr w:type="spellStart"/>
            <w:r w:rsidRPr="00A76FFE">
              <w:rPr>
                <w:rFonts w:ascii="GHEA Grapalat" w:eastAsia="Calibri" w:hAnsi="GHEA Grapalat" w:cs="GHEA Grapalat"/>
                <w:sz w:val="24"/>
                <w:szCs w:val="24"/>
              </w:rPr>
              <w:t>Արդարադատության</w:t>
            </w:r>
            <w:proofErr w:type="spellEnd"/>
            <w:r w:rsidRPr="00A76FFE">
              <w:rPr>
                <w:rFonts w:ascii="GHEA Grapalat" w:eastAsia="Calibri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A76FFE">
              <w:rPr>
                <w:rFonts w:ascii="GHEA Grapalat" w:eastAsia="Calibri" w:hAnsi="GHEA Grapalat" w:cs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A76FFE" w:rsidRPr="00A76FFE" w:rsidRDefault="00A76FFE" w:rsidP="00A76F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305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</w:t>
            </w:r>
            <w:r w:rsidRPr="00A76F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.03.202</w:t>
            </w:r>
            <w:r w:rsidRPr="00A76F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A76F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76FFE" w:rsidRPr="00A76FFE" w:rsidTr="00042647">
        <w:trPr>
          <w:tblCellSpacing w:w="0" w:type="dxa"/>
          <w:jc w:val="center"/>
        </w:trPr>
        <w:tc>
          <w:tcPr>
            <w:tcW w:w="5099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6FFE" w:rsidRPr="00A76FFE" w:rsidRDefault="00A76FFE" w:rsidP="00A76FFE">
            <w:pPr>
              <w:spacing w:after="0" w:line="360" w:lineRule="auto"/>
              <w:ind w:left="161"/>
              <w:rPr>
                <w:rFonts w:ascii="GHEA Grapalat" w:eastAsia="Calibri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A76FFE" w:rsidRPr="00A76FFE" w:rsidRDefault="00A76FFE" w:rsidP="00A76F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76F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0305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/27.3/9685-2024</w:t>
            </w:r>
          </w:p>
        </w:tc>
      </w:tr>
      <w:tr w:rsidR="00A76FFE" w:rsidRPr="00FA7AEB" w:rsidTr="00042647">
        <w:trPr>
          <w:tblCellSpacing w:w="0" w:type="dxa"/>
          <w:jc w:val="center"/>
        </w:trPr>
        <w:tc>
          <w:tcPr>
            <w:tcW w:w="50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6FFE" w:rsidRPr="00A76FFE" w:rsidRDefault="00A76FFE" w:rsidP="00FA7AEB">
            <w:pPr>
              <w:tabs>
                <w:tab w:val="left" w:pos="9360"/>
              </w:tabs>
              <w:spacing w:after="0" w:line="240" w:lineRule="auto"/>
              <w:ind w:left="150" w:right="135" w:firstLine="9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76FF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«Գնման գործընթացի կազմակերպման առանձնահատկությունները սահմանելու մասին»</w:t>
            </w:r>
            <w:r w:rsidRPr="00A76FF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1-ին կետի 1-ին ենթակետում անհրաժեշտ է </w:t>
            </w:r>
            <w:r w:rsidRPr="00A76FF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«օրենքի 44-րդ հոդվածով» ձևակերպումը</w:t>
            </w:r>
            <w:r w:rsidRPr="00A76FF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 հստակեցնել՝ նկատի ունենալով </w:t>
            </w:r>
            <w:r w:rsidRPr="00A76FF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17-րդ հոդվածի 6-րդ մասը, համաձայն որի՝ </w:t>
            </w:r>
            <w:r w:rsidRPr="00A76FFE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օրենսդրական ակտերի մասերին հղում կատարելիս նշվում են օրենսդրական ակտի կրճատ անվանումը, ակտի հոդվածի հերթական համարը,</w:t>
            </w:r>
            <w:r w:rsidRPr="00A76FF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իսկ անհրաժեշտության դեպքում` նաև հոդվածի մասի համարը, հոդվածի մասի կետի կամ ենթակետի համարը: </w:t>
            </w: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5D3D41" w:rsidRDefault="00A76FFE" w:rsidP="00FA7AEB">
            <w:pPr>
              <w:tabs>
                <w:tab w:val="left" w:pos="9360"/>
              </w:tabs>
              <w:spacing w:after="0" w:line="240" w:lineRule="auto"/>
              <w:ind w:left="105" w:right="165" w:firstLine="9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A76FFE">
              <w:rPr>
                <w:rFonts w:ascii="Calibri" w:eastAsia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5D3D41" w:rsidRPr="005D3D4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Ընդունվել է</w:t>
            </w:r>
            <w:r w:rsidR="005D3D4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:</w:t>
            </w:r>
          </w:p>
          <w:p w:rsidR="00A76FFE" w:rsidRPr="00A76FFE" w:rsidRDefault="005D3D41" w:rsidP="00FA7AEB">
            <w:pPr>
              <w:tabs>
                <w:tab w:val="left" w:pos="9360"/>
              </w:tabs>
              <w:spacing w:after="0" w:line="240" w:lineRule="auto"/>
              <w:ind w:left="105" w:right="165" w:firstLine="90"/>
              <w:jc w:val="both"/>
              <w:rPr>
                <w:rFonts w:ascii="Arial" w:eastAsia="Calibri" w:hAnsi="Arial" w:cs="Arial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</w:t>
            </w:r>
            <w:r w:rsidRPr="005D3D4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ախագծում կատարվել է համապատասխան փոփոխություն: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BC620E" w:rsidRPr="00A76FFE" w:rsidTr="00B6520B">
        <w:trPr>
          <w:tblCellSpacing w:w="0" w:type="dxa"/>
          <w:jc w:val="center"/>
        </w:trPr>
        <w:tc>
          <w:tcPr>
            <w:tcW w:w="5099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C620E" w:rsidRPr="00A76FFE" w:rsidRDefault="00BC620E" w:rsidP="00BC620E">
            <w:pPr>
              <w:spacing w:line="360" w:lineRule="auto"/>
              <w:ind w:left="161"/>
              <w:rPr>
                <w:rFonts w:ascii="GHEA Grapalat" w:eastAsia="Calibri" w:hAnsi="GHEA Grapalat" w:cs="GHEA Grapalat"/>
                <w:sz w:val="24"/>
                <w:szCs w:val="24"/>
              </w:rPr>
            </w:pP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2</w:t>
            </w:r>
            <w:r w:rsidRPr="00A76FF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Ֆինանսների</w:t>
            </w:r>
            <w:r w:rsidRPr="00A76FFE">
              <w:rPr>
                <w:rFonts w:ascii="GHEA Grapalat" w:eastAsia="Calibri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A76FFE">
              <w:rPr>
                <w:rFonts w:ascii="GHEA Grapalat" w:eastAsia="Calibri" w:hAnsi="GHEA Grapalat" w:cs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BC620E" w:rsidRPr="00A76FFE" w:rsidRDefault="00BC620E" w:rsidP="00B652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305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Pr="00A76F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.03.202</w:t>
            </w:r>
            <w:r w:rsidRPr="00A76F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A76F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C620E" w:rsidRPr="00A76FFE" w:rsidTr="00B6520B">
        <w:trPr>
          <w:tblCellSpacing w:w="0" w:type="dxa"/>
          <w:jc w:val="center"/>
        </w:trPr>
        <w:tc>
          <w:tcPr>
            <w:tcW w:w="5099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C620E" w:rsidRPr="00A76FFE" w:rsidRDefault="00BC620E" w:rsidP="00B6520B">
            <w:pPr>
              <w:spacing w:after="0" w:line="360" w:lineRule="auto"/>
              <w:ind w:left="161"/>
              <w:rPr>
                <w:rFonts w:ascii="GHEA Grapalat" w:eastAsia="Calibri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BC620E" w:rsidRPr="00A76FFE" w:rsidRDefault="00BC620E" w:rsidP="00B652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76F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C62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01/26/5456-2024</w:t>
            </w:r>
          </w:p>
        </w:tc>
      </w:tr>
      <w:tr w:rsidR="00BC620E" w:rsidRPr="00FA7AEB" w:rsidTr="00042647">
        <w:trPr>
          <w:tblCellSpacing w:w="0" w:type="dxa"/>
          <w:jc w:val="center"/>
        </w:trPr>
        <w:tc>
          <w:tcPr>
            <w:tcW w:w="50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620E" w:rsidRPr="00BC620E" w:rsidRDefault="00BC620E" w:rsidP="00FA7AEB">
            <w:pPr>
              <w:tabs>
                <w:tab w:val="left" w:pos="9360"/>
              </w:tabs>
              <w:spacing w:after="0" w:line="240" w:lineRule="auto"/>
              <w:ind w:left="150" w:right="135" w:firstLine="18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C620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ընդունումը հիմնավորող փաստաթղթով բացահայտված չէ նախագծում նշված գնման գործընթացում նախաորակավորման ընթացակարգ չկիրառելու անհրաժեշտության հանգամանքը: Եթե հանգամանքը պայմանավորված է ժամանակի սղությամբ, ապա առաջարկում ենք այդ մասին նշել: </w:t>
            </w:r>
          </w:p>
          <w:p w:rsidR="00BC620E" w:rsidRPr="00BC620E" w:rsidRDefault="00BC620E" w:rsidP="00FA7AEB">
            <w:pPr>
              <w:tabs>
                <w:tab w:val="left" w:pos="9360"/>
              </w:tabs>
              <w:spacing w:after="0" w:line="240" w:lineRule="auto"/>
              <w:ind w:left="150" w:right="135" w:firstLine="18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C620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Միաժամանակ, վերոնշյալ փաստաթղթով նշվում է, որ գնման ընթացակարգի նպատակն է ընտրել բարձորակ կազմակերպիչ, ով լավագույնս </w:t>
            </w:r>
            <w:r w:rsidRPr="00BC620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կիրականացնի միջոցառման կազմակերպումը՝ միջազգային ամենաբարձր չափանիշներին համապատասխան: Այս տեսանկյունից նախաորակավորման պահանջի վերացնելը չի բխում հիմնավորումից: </w:t>
            </w:r>
          </w:p>
          <w:p w:rsidR="00BC620E" w:rsidRPr="00A76FFE" w:rsidRDefault="00BC620E" w:rsidP="00FA7AEB">
            <w:pPr>
              <w:tabs>
                <w:tab w:val="left" w:pos="567"/>
                <w:tab w:val="left" w:pos="9360"/>
                <w:tab w:val="right" w:pos="10490"/>
              </w:tabs>
              <w:spacing w:after="0" w:line="240" w:lineRule="auto"/>
              <w:ind w:left="150" w:right="135" w:firstLine="18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C620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BC620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Ելնելով վերոգրյալից՝ եթե նախաորակավորման ընթացակարգի չկիրառելը բխում է ժամանակային սահմանափակումներից, ապա դիտողություն չունենք: Միաժամանակ եթե նախաորակորվման ընթացակարգի հանելը պայմանավորված է որակի հրամայականով ապա առաջարկում ենք նախագիծը հանել շրջանառությունից և վերոնշյալ ծառայությունների ձեռք բերումն իրականացնել երկփուլ մրցույթի ձևով, որի կիրառման պարագայում հնարավոր է ապահովել ինչպես այլընտրանքային առաջարկների ստացումը, այնպես էլ մասնակիցների նկատմամբ որակավորման պայմանների կիրառումը: Ընդ որում՝ գնման տվյալ ձևի կիրառման ժամանակ հայտերի գնահատումն իրականացվում է գին/որակ հարաբերակցության սկզբունքով:</w:t>
            </w: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BC620E" w:rsidRDefault="00BC620E" w:rsidP="00FA7AEB">
            <w:pPr>
              <w:tabs>
                <w:tab w:val="left" w:pos="9360"/>
              </w:tabs>
              <w:spacing w:after="0" w:line="240" w:lineRule="auto"/>
              <w:ind w:left="195" w:firstLine="180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  <w:lang w:val="hy-AM"/>
              </w:rPr>
            </w:pPr>
          </w:p>
          <w:p w:rsidR="00FA7AEB" w:rsidRPr="00FA7AEB" w:rsidRDefault="00FA7AEB" w:rsidP="00FA7AEB">
            <w:pPr>
              <w:spacing w:line="240" w:lineRule="auto"/>
              <w:ind w:left="195" w:right="255" w:firstLine="270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FA7AEB">
              <w:rPr>
                <w:rFonts w:ascii="GHEA Grapalat" w:hAnsi="GHEA Grapalat" w:cs="Sylfaen"/>
                <w:sz w:val="24"/>
                <w:lang w:val="hy-AM"/>
              </w:rPr>
              <w:t>Քանի որ «Մեր ժամանակների հերոսը» մրցանակաբաշխության կազմակերպման ծառայությունների բնութագիրը ճշգրիտ սահմանվել է պատվիրատուի կողմից, և պատվիրատուն նպատակ չի հետապնդում ապահովելու ծառայության բնութագրի այլընտրանքային առաջարկների ստացումը, հետևաբար, գնումը երկփուլ մրցույթի ձևով կազմակերպելու անհրաժեշտությունը բացակայում է:</w:t>
            </w:r>
          </w:p>
          <w:p w:rsidR="00FA7AEB" w:rsidRPr="00FA7AEB" w:rsidRDefault="00FA7AEB" w:rsidP="00FA7AEB">
            <w:pPr>
              <w:spacing w:line="240" w:lineRule="auto"/>
              <w:ind w:left="195" w:right="255" w:firstLine="270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FA7AEB">
              <w:rPr>
                <w:rFonts w:ascii="GHEA Grapalat" w:hAnsi="GHEA Grapalat" w:cs="Sylfaen"/>
                <w:sz w:val="24"/>
                <w:lang w:val="hy-AM"/>
              </w:rPr>
              <w:lastRenderedPageBreak/>
              <w:t>Միաժամանակ, քանի որ նախաորակավորման ընթացակարգի կազմակերպման ժամանակ նախաորակավորման հայտարարությամբ չի հրապարակվում ձեռք բերվող ծառայությունների բնութագիրը և գնման գինը, ուստի այդ հանգամանքը կարող է սահմանափակել հնարավոր մասնակիցների շրջանակը: Հաշվի առնելով վերոգրյալ</w:t>
            </w:r>
            <w:bookmarkStart w:id="0" w:name="_GoBack"/>
            <w:bookmarkEnd w:id="0"/>
            <w:r w:rsidRPr="00FA7AEB">
              <w:rPr>
                <w:rFonts w:ascii="GHEA Grapalat" w:hAnsi="GHEA Grapalat" w:cs="Sylfaen"/>
                <w:sz w:val="24"/>
                <w:lang w:val="hy-AM"/>
              </w:rPr>
              <w:t>ը՝  պատվիրատուն Նախագծով առաջարկում է նախաորակավորման ընթացակարգ չկիրառել:</w:t>
            </w:r>
          </w:p>
          <w:p w:rsidR="00FA7AEB" w:rsidRPr="00A76FFE" w:rsidRDefault="00FA7AEB" w:rsidP="005D3D41">
            <w:pPr>
              <w:tabs>
                <w:tab w:val="left" w:pos="9360"/>
              </w:tabs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9D68F6" w:rsidRPr="000F7F6B" w:rsidRDefault="009D68F6">
      <w:pPr>
        <w:rPr>
          <w:lang w:val="hy-AM"/>
        </w:rPr>
      </w:pPr>
    </w:p>
    <w:sectPr w:rsidR="009D68F6" w:rsidRPr="000F7F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1C8"/>
    <w:rsid w:val="000241C8"/>
    <w:rsid w:val="000305F4"/>
    <w:rsid w:val="000F7F6B"/>
    <w:rsid w:val="001C4209"/>
    <w:rsid w:val="003C0727"/>
    <w:rsid w:val="005D3D41"/>
    <w:rsid w:val="00836C35"/>
    <w:rsid w:val="00961A7F"/>
    <w:rsid w:val="009D68F6"/>
    <w:rsid w:val="00A163A1"/>
    <w:rsid w:val="00A76FFE"/>
    <w:rsid w:val="00AD67D0"/>
    <w:rsid w:val="00BC620E"/>
    <w:rsid w:val="00EA07A4"/>
    <w:rsid w:val="00FA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E6CB8"/>
  <w15:chartTrackingRefBased/>
  <w15:docId w15:val="{DE213FBD-EB51-4FDB-A55D-120AB4D2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F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3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Arzumanyan</dc:creator>
  <cp:keywords/>
  <dc:description/>
  <cp:lastModifiedBy>Samvel Musheghyan</cp:lastModifiedBy>
  <cp:revision>18</cp:revision>
  <dcterms:created xsi:type="dcterms:W3CDTF">2024-03-13T07:13:00Z</dcterms:created>
  <dcterms:modified xsi:type="dcterms:W3CDTF">2024-03-19T12:46:00Z</dcterms:modified>
</cp:coreProperties>
</file>