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3E56" w:rsidRDefault="00E83E56" w:rsidP="00E83E56">
      <w:pPr>
        <w:shd w:val="clear" w:color="auto" w:fill="FFFFFF"/>
        <w:spacing w:after="0" w:line="240" w:lineRule="auto"/>
        <w:ind w:firstLine="375"/>
        <w:jc w:val="center"/>
        <w:rPr>
          <w:rFonts w:eastAsia="Times New Roman" w:cs="Calibri"/>
          <w:caps/>
          <w:color w:val="000000"/>
          <w:sz w:val="24"/>
          <w:szCs w:val="24"/>
          <w:lang w:val="hy-AM"/>
        </w:rPr>
      </w:pPr>
      <w:r>
        <w:rPr>
          <w:rFonts w:ascii="GHEA Grapalat" w:eastAsia="Times New Roman" w:hAnsi="GHEA Grapalat"/>
          <w:b/>
          <w:bCs/>
          <w:color w:val="000000"/>
          <w:sz w:val="24"/>
          <w:szCs w:val="24"/>
          <w:lang w:val="hy-AM"/>
        </w:rPr>
        <w:t>ԱՄՓՈՓԱԹԵՐԹ</w:t>
      </w:r>
      <w:r>
        <w:rPr>
          <w:rFonts w:eastAsia="Times New Roman" w:cs="Calibri"/>
          <w:caps/>
          <w:color w:val="000000"/>
          <w:sz w:val="24"/>
          <w:szCs w:val="24"/>
          <w:lang w:val="hy-AM"/>
        </w:rPr>
        <w:t>  </w:t>
      </w:r>
    </w:p>
    <w:p w:rsidR="00E83E56" w:rsidRDefault="00E83E56" w:rsidP="00E83E56">
      <w:pPr>
        <w:shd w:val="clear" w:color="auto" w:fill="FFFFFF"/>
        <w:spacing w:after="0" w:line="240" w:lineRule="auto"/>
        <w:jc w:val="center"/>
        <w:rPr>
          <w:rFonts w:ascii="GHEA Grapalat" w:eastAsia="Times New Roman" w:hAnsi="GHEA Grapalat" w:cs="Courier New"/>
          <w:b/>
          <w:color w:val="000000"/>
          <w:sz w:val="24"/>
          <w:szCs w:val="24"/>
          <w:lang w:val="hy-AM"/>
        </w:rPr>
      </w:pPr>
      <w:r>
        <w:rPr>
          <w:rFonts w:ascii="GHEA Grapalat" w:eastAsia="Times New Roman" w:hAnsi="GHEA Grapalat" w:cs="Courier New"/>
          <w:b/>
          <w:color w:val="000000"/>
          <w:sz w:val="24"/>
          <w:szCs w:val="24"/>
          <w:lang w:val="hy-AM"/>
        </w:rPr>
        <w:t xml:space="preserve"> «ՎԵՐԱԿԱՌՈՒՑՄԱՆ ԵՎ ԶԱՐԳԱՑՄԱՆ ԵՎՐՈՊԱԿԱՆ ԲԱՆԿԻ ՀԻՄՆԱԴՐՄԱՆ ՀԱՄԱՁԱՅՆԱԳՐԻ ԹԻՎ 1 ՀՈԴՎԱԾԻ ՓՈՓՈԽՈՒԹՅՈՒՆ՝ ԲԱՆԿԻ ԳՈՐԾՈՒՆԵՈՒԹՅԱՆ ԱՇԽԱՐՀԱԳՐԱԿԱՆ ՇՐՋԱՆԱԿԻ ՍԱՀՄԱՆԱՓԱԿ ԵՎ ԱՍՏԻՃԱՆԱԿԱՆ ԸՆԴԼԱՅՆՄԱՆ ՀՆԱՐԱՎՈՐՈՒԹՅՈՒՆ ԸՆՁԵՌԵԼՈՒ ԴԵՊԻ ԵՆԹԱՍԱՀԱՐԱԿԱՆ ԱՖՐԻԿԱ ԵՎ ԻՐԱՔ» ԹԻՎ 259 ԲԱՆԱՁԵՎԸ ՎԱՎԵՐԱՑՆԵԼՈՒ ՄԱՍԻՆ» ՀԱՅԱՍՏԱՆԻ ՀԱՆՐԱՊԵՏՈՒԹՅԱՆ ՕՐԵՆՔԻ ՆԱԽԱԳԾԻ ՄԱՍԻՆ» ՀՀ ԿԱՌԱՎԱՐՈՒԹՅԱՆ ՈՐՈՇՄԱՆ ՆԱԽԱԳԾԻ</w:t>
      </w:r>
    </w:p>
    <w:p w:rsidR="00E83E56" w:rsidRDefault="00E83E56" w:rsidP="00E83E56">
      <w:pPr>
        <w:shd w:val="clear" w:color="auto" w:fill="FFFFFF"/>
        <w:spacing w:after="0" w:line="240" w:lineRule="auto"/>
        <w:jc w:val="center"/>
        <w:rPr>
          <w:rFonts w:ascii="GHEA Grapalat" w:eastAsia="Times New Roman" w:hAnsi="GHEA Grapalat"/>
          <w:color w:val="000000"/>
          <w:sz w:val="24"/>
          <w:szCs w:val="24"/>
          <w:lang w:val="hy-AM"/>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72"/>
        <w:gridCol w:w="2708"/>
      </w:tblGrid>
      <w:tr w:rsidR="00E83E56" w:rsidTr="00E83E56">
        <w:trPr>
          <w:trHeight w:val="20"/>
          <w:jc w:val="center"/>
        </w:trPr>
        <w:tc>
          <w:tcPr>
            <w:tcW w:w="3789" w:type="pct"/>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rsidR="00E83E56" w:rsidRDefault="00E83E56">
            <w:pPr>
              <w:pStyle w:val="ListParagraph"/>
              <w:spacing w:after="0"/>
              <w:ind w:left="0"/>
              <w:jc w:val="center"/>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1. Արտաքին գործերի նախարարություն</w:t>
            </w:r>
          </w:p>
        </w:tc>
        <w:tc>
          <w:tcPr>
            <w:tcW w:w="1211"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E83E56" w:rsidRDefault="00E83E56">
            <w:pPr>
              <w:spacing w:after="0"/>
              <w:jc w:val="center"/>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21.12.202</w:t>
            </w:r>
            <w:r>
              <w:rPr>
                <w:rFonts w:ascii="GHEA Grapalat" w:eastAsia="Times New Roman" w:hAnsi="GHEA Grapalat"/>
                <w:color w:val="000000"/>
                <w:sz w:val="24"/>
                <w:szCs w:val="24"/>
                <w:lang w:val="en-US"/>
              </w:rPr>
              <w:t>3</w:t>
            </w:r>
            <w:r>
              <w:rPr>
                <w:rFonts w:ascii="GHEA Grapalat" w:eastAsia="Times New Roman" w:hAnsi="GHEA Grapalat"/>
                <w:color w:val="000000"/>
                <w:sz w:val="24"/>
                <w:szCs w:val="24"/>
                <w:lang w:val="hy-AM"/>
              </w:rPr>
              <w:t>թ.</w:t>
            </w:r>
          </w:p>
        </w:tc>
      </w:tr>
      <w:tr w:rsidR="00E83E56" w:rsidTr="00E83E56">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83E56" w:rsidRDefault="00E83E56">
            <w:pPr>
              <w:spacing w:after="0" w:line="256" w:lineRule="auto"/>
              <w:rPr>
                <w:rFonts w:ascii="GHEA Grapalat" w:eastAsia="Times New Roman" w:hAnsi="GHEA Grapalat"/>
                <w:color w:val="000000"/>
                <w:sz w:val="24"/>
                <w:szCs w:val="24"/>
                <w:lang w:val="hy-AM"/>
              </w:rPr>
            </w:pPr>
          </w:p>
        </w:tc>
        <w:tc>
          <w:tcPr>
            <w:tcW w:w="1211"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E83E56" w:rsidRDefault="00E83E56">
            <w:pPr>
              <w:spacing w:after="0"/>
              <w:jc w:val="center"/>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N1111/67082-23</w:t>
            </w:r>
          </w:p>
        </w:tc>
      </w:tr>
      <w:tr w:rsidR="00E83E56" w:rsidTr="00E83E56">
        <w:trPr>
          <w:trHeight w:val="20"/>
          <w:jc w:val="center"/>
        </w:trPr>
        <w:tc>
          <w:tcPr>
            <w:tcW w:w="3789" w:type="pct"/>
            <w:tcBorders>
              <w:top w:val="single" w:sz="4" w:space="0" w:color="auto"/>
              <w:left w:val="single" w:sz="4" w:space="0" w:color="auto"/>
              <w:bottom w:val="single" w:sz="4" w:space="0" w:color="auto"/>
              <w:right w:val="single" w:sz="4" w:space="0" w:color="auto"/>
            </w:tcBorders>
            <w:hideMark/>
          </w:tcPr>
          <w:p w:rsidR="00E83E56" w:rsidRDefault="00E83E56">
            <w:pPr>
              <w:spacing w:after="0"/>
              <w:ind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Վերակառուցման և զարգացման եվրոպական բանկի հիմնադրման համաձայնագրի թիվ 1 հոդվածի փոփոխություն. բանկի գործունեության աշխարհագրական շրջանակի սահմանափակ և աստիճանական ընդլայնման հնարավորություն ընձեռելու դեպի Ենթասահարական Աֆրիկա և Իրաք թիվ 259 բանաձևը բանկի կառավարիչների խորհրդի կողմից առաջին փուկով քվեարկվել և ընդունվել է 2023 թվականի մայիսի 18-ին:</w:t>
            </w:r>
          </w:p>
          <w:p w:rsidR="00E83E56" w:rsidRDefault="00E83E56">
            <w:pPr>
              <w:spacing w:after="0"/>
              <w:ind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Համաձայն թիվ 259 բանաձևի՝ Բանկի գործառնությունների աշխարհագրությունը ընդլայնվում է Աֆրիկայի Անդրսահարայի տարածաշրջանի՝ սահմանափակ թվով երկրների և Իրաքի վրա: </w:t>
            </w:r>
          </w:p>
          <w:p w:rsidR="00E83E56" w:rsidRDefault="00E83E56">
            <w:pPr>
              <w:spacing w:after="0"/>
              <w:ind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Այս կապակցությամբ կարևոր է նշել, որ աֆրիկյան երկրների հետ հարաբերությունների զարգացումը, որպես կարևոր ուղղություն, ներառված է ՀՀ կառավարության 2021-2026թթ. գործունեության արտաքին քաղաքականության ծրագրում:</w:t>
            </w:r>
          </w:p>
          <w:p w:rsidR="00E83E56" w:rsidRDefault="00E83E56">
            <w:pPr>
              <w:spacing w:after="0"/>
              <w:ind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Հատկապես կարևորվում է այդ երկրների հետ քաղաքական երկխոսության ծավալումը, կանոնավոր քաղաքական խորհրդակցությունների անցկացումը, բազմակողմ ձևաչափերում, հատկապես այն միջազգային կազմակերպություններում, որոնց Հայաստանը չի անդամակցում, Անդրսահարյան Աֆրիկայի երկրների հայանպաստ (կամ գոնե չեզոք) դիրքորոշումների ապահովումը, տնտեսական և տարբեր ոլորտներում հարաբերությունների զարգացումը, գործարար շփումների ակտիվացումը, այդ երկրներում տնտեսական կամ այլ գործունեություն ծավալող ՀՀ քաղաքացիների շահերի պաշտպանությունը:</w:t>
            </w:r>
          </w:p>
          <w:p w:rsidR="00E83E56" w:rsidRDefault="00E83E56">
            <w:pPr>
              <w:spacing w:after="0"/>
              <w:ind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Հայաստանը մեծապես կարևորում է Իրաքի հետ բազմոլորտ հարաբերությունների զարգացումը:</w:t>
            </w:r>
          </w:p>
          <w:p w:rsidR="00E83E56" w:rsidRDefault="00E83E56">
            <w:pPr>
              <w:spacing w:after="0"/>
              <w:ind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Իրաքը հանդիսանում է մերձավորարևելյան տարածաշրջանում ՀՀ հիմնական առևտրային գործընկերներից մեկը, որի հետ </w:t>
            </w:r>
            <w:r>
              <w:rPr>
                <w:rFonts w:ascii="GHEA Grapalat" w:hAnsi="GHEA Grapalat"/>
                <w:color w:val="000000"/>
                <w:sz w:val="24"/>
                <w:szCs w:val="24"/>
                <w:shd w:val="clear" w:color="auto" w:fill="FFFFFF"/>
                <w:lang w:val="hy-AM"/>
              </w:rPr>
              <w:lastRenderedPageBreak/>
              <w:t>ապրանքաշրջանառությունը հատկապես վերջին տարիներին կայուն աճ է արձանագրում:</w:t>
            </w:r>
          </w:p>
          <w:p w:rsidR="00E83E56" w:rsidRDefault="00E83E56">
            <w:pPr>
              <w:spacing w:after="0"/>
              <w:ind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Առկա է քաղաքական երկխոսության բարձր մակարդակ, ակտիվ են տարբեր մակարդակների փոխայցելությունները: Հայաստանը շահագրգռված է էլ ավելի զարգացնել ու խորացնել հարաբերությունները Իրաքի հետ:</w:t>
            </w:r>
          </w:p>
          <w:p w:rsidR="00E83E56" w:rsidRDefault="00E83E56">
            <w:pPr>
              <w:spacing w:after="0"/>
              <w:ind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Թիվ 259 բանաձևը ուժի մեջ է մտնում երեք (3) ամիս հետո այն օրվանից, երբ Բանկը պաշտոնապես հաստատել է իր անդամներին, որ նշված փոփոխության ընդունման համար անհրաժեշտ պահանջները, ինչպես նախատեսված է Համաձայնագրի 56-րդ հոդվածով, բավարարվել են:           </w:t>
            </w:r>
          </w:p>
          <w:p w:rsidR="00E83E56" w:rsidRDefault="00E83E56">
            <w:pPr>
              <w:spacing w:after="0"/>
              <w:ind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Բանկին անդամակցում են և հանդիսանում են բաժնետեր 72 պետություն և 2 կազմակերպություն՝ Եվրոպական միությունը և Եվրոպական ներդրումային բանկը:</w:t>
            </w:r>
          </w:p>
          <w:p w:rsidR="00E83E56" w:rsidRDefault="00E83E56">
            <w:pPr>
              <w:spacing w:after="0"/>
              <w:ind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Թիվ 259 բանաձևին կողմ են քվեարկել բանկի 72 անդամ, ձեռնպահ՝ 2 անդամ պետություն (ցանկերը կից ներկայացվում են):  </w:t>
            </w:r>
          </w:p>
          <w:p w:rsidR="00E83E56" w:rsidRDefault="00E83E56">
            <w:pPr>
              <w:spacing w:after="0"/>
              <w:ind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Հաշվի առնելով վերոգրյալը Վերակառուցման և զարգացման եվրոպական բանկի հիմնադրման համաձայնագրի թիվ 1 հոդվածի փոփոխություն. բանկի գործունեության աշխարհագրական շրջանակի սահմանափակ և աստիճանական ընդլայնման հնարավորություն ընձեռելու դեպի Ենթասահարական Աֆրիկա և Իրաք թիվ 259 բանաձևի վավերացումը կամ հաստատումը Հայաստանի Հանրապետության վարած արտաքին քաղաքականության առումով նպատակահարմար է։</w:t>
            </w:r>
          </w:p>
        </w:tc>
        <w:tc>
          <w:tcPr>
            <w:tcW w:w="1211" w:type="pct"/>
            <w:tcBorders>
              <w:top w:val="single" w:sz="4" w:space="0" w:color="auto"/>
              <w:left w:val="single" w:sz="4" w:space="0" w:color="auto"/>
              <w:bottom w:val="single" w:sz="4" w:space="0" w:color="auto"/>
              <w:right w:val="single" w:sz="4" w:space="0" w:color="auto"/>
            </w:tcBorders>
            <w:vAlign w:val="center"/>
            <w:hideMark/>
          </w:tcPr>
          <w:p w:rsidR="00E83E56" w:rsidRDefault="00E83E56">
            <w:pPr>
              <w:spacing w:after="0"/>
              <w:jc w:val="center"/>
              <w:rPr>
                <w:rFonts w:ascii="GHEA Grapalat" w:eastAsia="Times New Roman" w:hAnsi="GHEA Grapalat"/>
                <w:color w:val="000000"/>
                <w:sz w:val="24"/>
                <w:szCs w:val="24"/>
                <w:lang w:val="en-US"/>
              </w:rPr>
            </w:pPr>
            <w:r>
              <w:rPr>
                <w:rFonts w:ascii="GHEA Grapalat" w:eastAsia="Times New Roman" w:hAnsi="GHEA Grapalat"/>
                <w:color w:val="000000"/>
                <w:sz w:val="24"/>
                <w:szCs w:val="24"/>
                <w:lang w:val="hy-AM"/>
              </w:rPr>
              <w:lastRenderedPageBreak/>
              <w:t>Ընդունվել է ի գիտություն</w:t>
            </w:r>
            <w:r>
              <w:rPr>
                <w:rFonts w:ascii="GHEA Grapalat" w:eastAsia="Times New Roman" w:hAnsi="GHEA Grapalat"/>
                <w:color w:val="000000"/>
                <w:sz w:val="24"/>
                <w:szCs w:val="24"/>
                <w:lang w:val="en-US"/>
              </w:rPr>
              <w:t>:</w:t>
            </w:r>
          </w:p>
        </w:tc>
      </w:tr>
      <w:tr w:rsidR="00E83E56" w:rsidTr="00E83E56">
        <w:trPr>
          <w:trHeight w:val="20"/>
          <w:jc w:val="center"/>
        </w:trPr>
        <w:tc>
          <w:tcPr>
            <w:tcW w:w="3789" w:type="pct"/>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rsidR="00E83E56" w:rsidRDefault="00E83E56">
            <w:pPr>
              <w:spacing w:after="0"/>
              <w:jc w:val="center"/>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lastRenderedPageBreak/>
              <w:t>2. Արդարադատության նախարարություն</w:t>
            </w:r>
          </w:p>
        </w:tc>
        <w:tc>
          <w:tcPr>
            <w:tcW w:w="1211"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E83E56" w:rsidRDefault="00E83E56">
            <w:pPr>
              <w:spacing w:after="0"/>
              <w:jc w:val="center"/>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18.12.202</w:t>
            </w:r>
            <w:r>
              <w:rPr>
                <w:rFonts w:ascii="GHEA Grapalat" w:eastAsia="Times New Roman" w:hAnsi="GHEA Grapalat"/>
                <w:color w:val="000000"/>
                <w:sz w:val="24"/>
                <w:szCs w:val="24"/>
                <w:lang w:val="en-US"/>
              </w:rPr>
              <w:t>3</w:t>
            </w:r>
            <w:r>
              <w:rPr>
                <w:rFonts w:ascii="GHEA Grapalat" w:eastAsia="Times New Roman" w:hAnsi="GHEA Grapalat"/>
                <w:color w:val="000000"/>
                <w:sz w:val="24"/>
                <w:szCs w:val="24"/>
                <w:lang w:val="hy-AM"/>
              </w:rPr>
              <w:t>թ.</w:t>
            </w:r>
          </w:p>
        </w:tc>
      </w:tr>
      <w:tr w:rsidR="00E83E56" w:rsidTr="00E83E56">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83E56" w:rsidRDefault="00E83E56">
            <w:pPr>
              <w:spacing w:after="0" w:line="256" w:lineRule="auto"/>
              <w:rPr>
                <w:rFonts w:ascii="GHEA Grapalat" w:eastAsia="Times New Roman" w:hAnsi="GHEA Grapalat"/>
                <w:color w:val="000000"/>
                <w:sz w:val="24"/>
                <w:szCs w:val="24"/>
                <w:lang w:val="hy-AM"/>
              </w:rPr>
            </w:pPr>
          </w:p>
        </w:tc>
        <w:tc>
          <w:tcPr>
            <w:tcW w:w="1211"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E83E56" w:rsidRDefault="00E83E56">
            <w:pPr>
              <w:spacing w:after="0"/>
              <w:jc w:val="center"/>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N/14.2.1/53344-2023</w:t>
            </w:r>
          </w:p>
        </w:tc>
      </w:tr>
      <w:tr w:rsidR="00E83E56" w:rsidTr="00E83E56">
        <w:trPr>
          <w:trHeight w:val="20"/>
          <w:jc w:val="center"/>
        </w:trPr>
        <w:tc>
          <w:tcPr>
            <w:tcW w:w="3789" w:type="pct"/>
            <w:tcBorders>
              <w:top w:val="single" w:sz="4" w:space="0" w:color="auto"/>
              <w:left w:val="single" w:sz="4" w:space="0" w:color="auto"/>
              <w:bottom w:val="single" w:sz="4" w:space="0" w:color="auto"/>
              <w:right w:val="single" w:sz="4" w:space="0" w:color="auto"/>
            </w:tcBorders>
            <w:hideMark/>
          </w:tcPr>
          <w:p w:rsidR="00E83E56" w:rsidRDefault="00E83E56">
            <w:pPr>
              <w:spacing w:after="0"/>
              <w:ind w:firstLine="720"/>
              <w:jc w:val="both"/>
              <w:rPr>
                <w:rFonts w:ascii="GHEA Grapalat" w:eastAsia="Times New Roman" w:hAnsi="GHEA Grapalat"/>
                <w:sz w:val="24"/>
                <w:szCs w:val="24"/>
                <w:lang w:val="hy-AM"/>
              </w:rPr>
            </w:pPr>
            <w:r>
              <w:rPr>
                <w:rFonts w:ascii="GHEA Grapalat" w:eastAsia="Times New Roman" w:hAnsi="GHEA Grapalat"/>
                <w:sz w:val="24"/>
                <w:szCs w:val="24"/>
                <w:lang w:val="hy-AM"/>
              </w:rPr>
              <w:t>Բանաձևը չի պարունակում Հայաստանի Հանրապետության օրենքին հակասող, օրենքի փոփոխություն կամ նոր օրենքի ընդունում նախատեսող նորմեր:</w:t>
            </w:r>
          </w:p>
          <w:p w:rsidR="00E83E56" w:rsidRDefault="00E83E56">
            <w:pPr>
              <w:widowControl w:val="0"/>
              <w:spacing w:after="0"/>
              <w:ind w:firstLine="720"/>
              <w:jc w:val="both"/>
              <w:textAlignment w:val="baseline"/>
              <w:rPr>
                <w:rFonts w:ascii="GHEA Grapalat" w:hAnsi="GHEA Grapalat" w:cs="Sylfaen"/>
                <w:sz w:val="24"/>
                <w:szCs w:val="24"/>
                <w:lang w:val="hy-AM"/>
              </w:rPr>
            </w:pPr>
            <w:r>
              <w:rPr>
                <w:rFonts w:ascii="GHEA Grapalat" w:eastAsia="Times New Roman" w:hAnsi="GHEA Grapalat"/>
                <w:sz w:val="24"/>
                <w:szCs w:val="24"/>
                <w:lang w:val="hy-AM"/>
              </w:rPr>
              <w:t>Միաժամանակ, Բանաձևը ենթակա է վավերացման ՀՀ Սահմանադրության 116-րդ հոդվածի 1-ին մասի 2-րդ և «Միջազգային պայմանագրերի մասին» օրենքի 10-րդ հոդվ</w:t>
            </w:r>
            <w:bookmarkStart w:id="0" w:name="_GoBack"/>
            <w:bookmarkEnd w:id="0"/>
            <w:r>
              <w:rPr>
                <w:rFonts w:ascii="GHEA Grapalat" w:eastAsia="Times New Roman" w:hAnsi="GHEA Grapalat"/>
                <w:sz w:val="24"/>
                <w:szCs w:val="24"/>
                <w:lang w:val="hy-AM"/>
              </w:rPr>
              <w:t xml:space="preserve">ածի 2-րդ մասի 2-րդ կետերի դրույթներով, իսկ Հայաստանի Հանրապետության համար ֆինանսական կամ գույքային պարտավորություններ նախատեսելու դեպքում Բանաձևը ենթակա կլինի վավերացման նաև ՀՀ Սահմանադրության 116-րդ հոդվածի 1-ին մասի 4-րդ և «Միջազգային պայմանագրերի մասին» օրենքի 10-րդ հոդվածի 2-րդ մասի 4-րդ կետերի դրույթներով:  </w:t>
            </w:r>
          </w:p>
        </w:tc>
        <w:tc>
          <w:tcPr>
            <w:tcW w:w="1211" w:type="pct"/>
            <w:tcBorders>
              <w:top w:val="single" w:sz="4" w:space="0" w:color="auto"/>
              <w:left w:val="single" w:sz="4" w:space="0" w:color="auto"/>
              <w:bottom w:val="single" w:sz="4" w:space="0" w:color="auto"/>
              <w:right w:val="single" w:sz="4" w:space="0" w:color="auto"/>
            </w:tcBorders>
            <w:vAlign w:val="center"/>
            <w:hideMark/>
          </w:tcPr>
          <w:p w:rsidR="00E83E56" w:rsidRDefault="00E83E56">
            <w:pPr>
              <w:spacing w:after="0"/>
              <w:jc w:val="center"/>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 xml:space="preserve">Ընդունվել է ի գիտություն: </w:t>
            </w:r>
          </w:p>
        </w:tc>
      </w:tr>
      <w:tr w:rsidR="00E83E56" w:rsidTr="00E83E56">
        <w:trPr>
          <w:trHeight w:val="20"/>
          <w:jc w:val="center"/>
        </w:trPr>
        <w:tc>
          <w:tcPr>
            <w:tcW w:w="3789" w:type="pct"/>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rsidR="00E83E56" w:rsidRDefault="00E83E56">
            <w:pPr>
              <w:spacing w:after="0"/>
              <w:jc w:val="center"/>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3. Ֆինանսների նախարարություն</w:t>
            </w:r>
          </w:p>
        </w:tc>
        <w:tc>
          <w:tcPr>
            <w:tcW w:w="1211"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E83E56" w:rsidRDefault="00E83E56">
            <w:pPr>
              <w:spacing w:after="0"/>
              <w:jc w:val="center"/>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11.</w:t>
            </w:r>
            <w:r>
              <w:rPr>
                <w:rFonts w:ascii="GHEA Grapalat" w:eastAsia="Times New Roman" w:hAnsi="GHEA Grapalat"/>
                <w:color w:val="000000"/>
                <w:sz w:val="24"/>
                <w:szCs w:val="24"/>
                <w:lang w:val="en-US"/>
              </w:rPr>
              <w:t>12</w:t>
            </w:r>
            <w:r>
              <w:rPr>
                <w:rFonts w:ascii="GHEA Grapalat" w:eastAsia="Times New Roman" w:hAnsi="GHEA Grapalat"/>
                <w:color w:val="000000"/>
                <w:sz w:val="24"/>
                <w:szCs w:val="24"/>
                <w:lang w:val="hy-AM"/>
              </w:rPr>
              <w:t>.2023թ.</w:t>
            </w:r>
          </w:p>
        </w:tc>
      </w:tr>
      <w:tr w:rsidR="00E83E56" w:rsidTr="00E83E56">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83E56" w:rsidRDefault="00E83E56">
            <w:pPr>
              <w:spacing w:after="0" w:line="256" w:lineRule="auto"/>
              <w:rPr>
                <w:rFonts w:ascii="GHEA Grapalat" w:eastAsia="Times New Roman" w:hAnsi="GHEA Grapalat"/>
                <w:color w:val="000000"/>
                <w:sz w:val="24"/>
                <w:szCs w:val="24"/>
                <w:lang w:val="hy-AM"/>
              </w:rPr>
            </w:pPr>
          </w:p>
        </w:tc>
        <w:tc>
          <w:tcPr>
            <w:tcW w:w="1211"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E83E56" w:rsidRDefault="00E83E56">
            <w:pPr>
              <w:spacing w:after="0"/>
              <w:jc w:val="center"/>
              <w:rPr>
                <w:rFonts w:ascii="GHEA Grapalat" w:eastAsia="Times New Roman" w:hAnsi="GHEA Grapalat" w:cs="Sylfaen"/>
                <w:color w:val="000000"/>
                <w:sz w:val="24"/>
                <w:szCs w:val="24"/>
                <w:lang w:val="hy-AM"/>
              </w:rPr>
            </w:pPr>
            <w:r>
              <w:rPr>
                <w:rFonts w:ascii="GHEA Grapalat" w:eastAsia="Times New Roman" w:hAnsi="GHEA Grapalat"/>
                <w:color w:val="000000"/>
                <w:sz w:val="24"/>
                <w:szCs w:val="24"/>
                <w:lang w:val="hy-AM"/>
              </w:rPr>
              <w:t>N</w:t>
            </w:r>
            <w:r>
              <w:rPr>
                <w:lang w:val="hy-AM"/>
              </w:rPr>
              <w:t xml:space="preserve"> </w:t>
            </w:r>
            <w:r>
              <w:rPr>
                <w:rFonts w:ascii="GHEA Grapalat" w:eastAsia="Times New Roman" w:hAnsi="GHEA Grapalat"/>
                <w:color w:val="000000"/>
                <w:sz w:val="24"/>
                <w:szCs w:val="24"/>
                <w:lang w:val="hy-AM"/>
              </w:rPr>
              <w:t>Ն/5-2/23489-2023</w:t>
            </w:r>
          </w:p>
        </w:tc>
      </w:tr>
      <w:tr w:rsidR="00E83E56" w:rsidTr="00E83E56">
        <w:trPr>
          <w:trHeight w:val="20"/>
          <w:jc w:val="center"/>
        </w:trPr>
        <w:tc>
          <w:tcPr>
            <w:tcW w:w="3789" w:type="pct"/>
            <w:tcBorders>
              <w:top w:val="single" w:sz="4" w:space="0" w:color="auto"/>
              <w:left w:val="single" w:sz="4" w:space="0" w:color="auto"/>
              <w:bottom w:val="single" w:sz="4" w:space="0" w:color="auto"/>
              <w:right w:val="single" w:sz="4" w:space="0" w:color="auto"/>
            </w:tcBorders>
            <w:hideMark/>
          </w:tcPr>
          <w:p w:rsidR="00E83E56" w:rsidRPr="005577DF" w:rsidRDefault="00E83E56">
            <w:pPr>
              <w:spacing w:after="0"/>
              <w:jc w:val="both"/>
            </w:pPr>
            <w:r>
              <w:rPr>
                <w:rFonts w:ascii="GHEA Grapalat" w:eastAsia="Times New Roman" w:hAnsi="GHEA Grapalat"/>
                <w:color w:val="000000"/>
                <w:sz w:val="24"/>
                <w:szCs w:val="24"/>
                <w:lang w:val="hy-AM"/>
              </w:rPr>
              <w:lastRenderedPageBreak/>
              <w:t>Վերակառուցման և զարգացման եվրոպական բանկի կառավարիչների խորհրդի՝ 2023 թվականի մայիսի 18-ի «Վերակառուցման և զարգացման եվրոպական բանկի հիմնադրման համաձայնագրի թիվ 1 հոդվածի փոփոխություն՝ Բանկի գործունեության աշխարհագրական շրջանակի սահմանափակ և աստիճանական ընդլայնման հնարավորություն ընձեռելու դեպի Ենթասահարական Աֆրիկա և Իրաք» թիվ 259 բանաձևով Հայաստանի Հանրապետության համար ֆինանսական պարտավորություններ նախատեսող դրույթներ առկա չեն</w:t>
            </w:r>
            <w:r w:rsidRPr="005577DF">
              <w:rPr>
                <w:rFonts w:ascii="GHEA Grapalat" w:eastAsia="Times New Roman" w:hAnsi="GHEA Grapalat"/>
                <w:color w:val="000000"/>
                <w:sz w:val="24"/>
                <w:szCs w:val="24"/>
              </w:rPr>
              <w:t>:</w:t>
            </w:r>
          </w:p>
        </w:tc>
        <w:tc>
          <w:tcPr>
            <w:tcW w:w="1211" w:type="pct"/>
            <w:tcBorders>
              <w:top w:val="single" w:sz="4" w:space="0" w:color="auto"/>
              <w:left w:val="single" w:sz="4" w:space="0" w:color="auto"/>
              <w:bottom w:val="single" w:sz="4" w:space="0" w:color="auto"/>
              <w:right w:val="single" w:sz="4" w:space="0" w:color="auto"/>
            </w:tcBorders>
            <w:vAlign w:val="center"/>
            <w:hideMark/>
          </w:tcPr>
          <w:p w:rsidR="00E83E56" w:rsidRDefault="00E83E56">
            <w:pPr>
              <w:spacing w:after="0"/>
              <w:jc w:val="center"/>
              <w:rPr>
                <w:rFonts w:ascii="GHEA Grapalat" w:eastAsia="Times New Roman" w:hAnsi="GHEA Grapalat"/>
                <w:color w:val="000000"/>
                <w:sz w:val="24"/>
                <w:szCs w:val="24"/>
                <w:lang w:val="en-US"/>
              </w:rPr>
            </w:pPr>
            <w:r>
              <w:rPr>
                <w:rFonts w:ascii="GHEA Grapalat" w:eastAsia="Times New Roman" w:hAnsi="GHEA Grapalat"/>
                <w:color w:val="000000"/>
                <w:sz w:val="24"/>
                <w:szCs w:val="24"/>
                <w:lang w:val="hy-AM"/>
              </w:rPr>
              <w:t>Ընդունվել է ի գիտություն</w:t>
            </w:r>
            <w:r>
              <w:rPr>
                <w:rFonts w:ascii="GHEA Grapalat" w:eastAsia="Times New Roman" w:hAnsi="GHEA Grapalat"/>
                <w:color w:val="000000"/>
                <w:sz w:val="24"/>
                <w:szCs w:val="24"/>
                <w:lang w:val="en-US"/>
              </w:rPr>
              <w:t>:</w:t>
            </w:r>
          </w:p>
        </w:tc>
      </w:tr>
      <w:tr w:rsidR="00E83E56" w:rsidTr="00E83E56">
        <w:trPr>
          <w:trHeight w:val="20"/>
          <w:jc w:val="center"/>
        </w:trPr>
        <w:tc>
          <w:tcPr>
            <w:tcW w:w="3789" w:type="pct"/>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rsidR="00E83E56" w:rsidRPr="005577DF" w:rsidRDefault="00E83E56">
            <w:pPr>
              <w:pStyle w:val="ListParagraph"/>
              <w:spacing w:after="0"/>
              <w:ind w:left="0"/>
              <w:jc w:val="center"/>
              <w:rPr>
                <w:rStyle w:val="Emphasis"/>
                <w:i w:val="0"/>
                <w:lang w:val="ru-RU"/>
              </w:rPr>
            </w:pPr>
            <w:r>
              <w:rPr>
                <w:rStyle w:val="Emphasis"/>
                <w:rFonts w:ascii="GHEA Grapalat" w:hAnsi="GHEA Grapalat"/>
                <w:sz w:val="24"/>
                <w:szCs w:val="24"/>
                <w:lang w:val="hy-AM"/>
              </w:rPr>
              <w:t xml:space="preserve">4. </w:t>
            </w:r>
            <w:r>
              <w:rPr>
                <w:rStyle w:val="Emphasis"/>
                <w:rFonts w:ascii="GHEA Grapalat" w:hAnsi="GHEA Grapalat"/>
                <w:sz w:val="24"/>
                <w:szCs w:val="24"/>
              </w:rPr>
              <w:t>Տ</w:t>
            </w:r>
            <w:r>
              <w:rPr>
                <w:rStyle w:val="Emphasis"/>
                <w:rFonts w:ascii="GHEA Grapalat" w:hAnsi="GHEA Grapalat"/>
                <w:sz w:val="24"/>
                <w:szCs w:val="24"/>
                <w:lang w:val="hy-AM"/>
              </w:rPr>
              <w:t>արածքային կառավարման և ենթակառուցվածքների նախարարություն (Պետական գույքի կառավարման կոմիտե)</w:t>
            </w:r>
          </w:p>
        </w:tc>
        <w:tc>
          <w:tcPr>
            <w:tcW w:w="1211"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E83E56" w:rsidRDefault="00E83E56">
            <w:pPr>
              <w:spacing w:after="0"/>
              <w:jc w:val="center"/>
              <w:rPr>
                <w:rFonts w:eastAsia="Times New Roman"/>
                <w:color w:val="000000"/>
              </w:rPr>
            </w:pPr>
            <w:r>
              <w:rPr>
                <w:rFonts w:ascii="GHEA Grapalat" w:eastAsia="Times New Roman" w:hAnsi="GHEA Grapalat"/>
                <w:color w:val="000000"/>
                <w:sz w:val="24"/>
                <w:szCs w:val="24"/>
                <w:lang w:val="en-US"/>
              </w:rPr>
              <w:t>1</w:t>
            </w:r>
            <w:r>
              <w:rPr>
                <w:rFonts w:ascii="GHEA Grapalat" w:eastAsia="Times New Roman" w:hAnsi="GHEA Grapalat"/>
                <w:color w:val="000000"/>
                <w:sz w:val="24"/>
                <w:szCs w:val="24"/>
                <w:lang w:val="hy-AM"/>
              </w:rPr>
              <w:t>8.12</w:t>
            </w:r>
            <w:r>
              <w:rPr>
                <w:rFonts w:ascii="GHEA Grapalat" w:eastAsia="Times New Roman" w:hAnsi="GHEA Grapalat"/>
                <w:color w:val="000000"/>
                <w:sz w:val="24"/>
                <w:szCs w:val="24"/>
              </w:rPr>
              <w:t>.</w:t>
            </w:r>
            <w:r>
              <w:rPr>
                <w:rFonts w:ascii="GHEA Grapalat" w:eastAsia="Times New Roman" w:hAnsi="GHEA Grapalat"/>
                <w:color w:val="000000"/>
                <w:sz w:val="24"/>
                <w:szCs w:val="24"/>
                <w:lang w:val="hy-AM"/>
              </w:rPr>
              <w:t>202</w:t>
            </w:r>
            <w:r>
              <w:rPr>
                <w:rFonts w:ascii="GHEA Grapalat" w:eastAsia="Times New Roman" w:hAnsi="GHEA Grapalat"/>
                <w:color w:val="000000"/>
                <w:sz w:val="24"/>
                <w:szCs w:val="24"/>
                <w:lang w:val="en-US"/>
              </w:rPr>
              <w:t>3</w:t>
            </w:r>
            <w:r>
              <w:rPr>
                <w:rFonts w:ascii="GHEA Grapalat" w:eastAsia="Times New Roman" w:hAnsi="GHEA Grapalat"/>
                <w:color w:val="000000"/>
                <w:sz w:val="24"/>
                <w:szCs w:val="24"/>
                <w:lang w:val="hy-AM"/>
              </w:rPr>
              <w:t>թ.</w:t>
            </w:r>
          </w:p>
        </w:tc>
      </w:tr>
      <w:tr w:rsidR="00E83E56" w:rsidTr="00E83E56">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83E56" w:rsidRDefault="00E83E56">
            <w:pPr>
              <w:spacing w:after="0" w:line="256" w:lineRule="auto"/>
              <w:rPr>
                <w:rStyle w:val="Emphasis"/>
                <w:i w:val="0"/>
              </w:rPr>
            </w:pPr>
          </w:p>
        </w:tc>
        <w:tc>
          <w:tcPr>
            <w:tcW w:w="1211"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E83E56" w:rsidRDefault="00E83E56">
            <w:pPr>
              <w:spacing w:after="0"/>
              <w:jc w:val="center"/>
              <w:rPr>
                <w:rFonts w:ascii="GHEA Grapalat" w:eastAsia="Times New Roman" w:hAnsi="GHEA Grapalat"/>
                <w:color w:val="000000"/>
                <w:sz w:val="24"/>
                <w:szCs w:val="24"/>
              </w:rPr>
            </w:pPr>
            <w:r>
              <w:rPr>
                <w:rFonts w:ascii="GHEA Grapalat" w:eastAsia="Times New Roman" w:hAnsi="GHEA Grapalat"/>
                <w:color w:val="000000"/>
                <w:sz w:val="24"/>
                <w:szCs w:val="24"/>
                <w:lang w:val="en-US"/>
              </w:rPr>
              <w:t>N</w:t>
            </w:r>
            <w:r>
              <w:rPr>
                <w:rFonts w:ascii="GHEA Grapalat" w:eastAsia="Times New Roman" w:hAnsi="GHEA Grapalat"/>
                <w:color w:val="000000"/>
                <w:sz w:val="24"/>
                <w:szCs w:val="24"/>
                <w:lang w:val="hy-AM"/>
              </w:rPr>
              <w:t xml:space="preserve"> </w:t>
            </w:r>
            <w:r>
              <w:rPr>
                <w:rFonts w:ascii="GHEA Grapalat" w:eastAsia="Times New Roman" w:hAnsi="GHEA Grapalat"/>
                <w:color w:val="000000"/>
                <w:sz w:val="24"/>
                <w:szCs w:val="24"/>
                <w:lang w:val="en-US"/>
              </w:rPr>
              <w:t>ՎՏ//38796-2023</w:t>
            </w:r>
          </w:p>
        </w:tc>
      </w:tr>
      <w:tr w:rsidR="00E83E56" w:rsidTr="00E83E56">
        <w:trPr>
          <w:trHeight w:val="20"/>
          <w:jc w:val="center"/>
        </w:trPr>
        <w:tc>
          <w:tcPr>
            <w:tcW w:w="3789" w:type="pct"/>
            <w:tcBorders>
              <w:top w:val="single" w:sz="4" w:space="0" w:color="auto"/>
              <w:left w:val="single" w:sz="4" w:space="0" w:color="auto"/>
              <w:bottom w:val="single" w:sz="4" w:space="0" w:color="auto"/>
              <w:right w:val="single" w:sz="4" w:space="0" w:color="auto"/>
            </w:tcBorders>
            <w:hideMark/>
          </w:tcPr>
          <w:p w:rsidR="00E83E56" w:rsidRDefault="00E83E56">
            <w:pPr>
              <w:widowControl w:val="0"/>
              <w:spacing w:after="0"/>
              <w:ind w:firstLine="284"/>
              <w:jc w:val="both"/>
              <w:rPr>
                <w:rFonts w:ascii="GHEA Grapalat" w:hAnsi="GHEA Grapalat"/>
                <w:sz w:val="24"/>
                <w:szCs w:val="24"/>
                <w:lang w:val="hy-AM"/>
              </w:rPr>
            </w:pPr>
            <w:r>
              <w:rPr>
                <w:rFonts w:ascii="GHEA Grapalat" w:hAnsi="GHEA Grapalat"/>
                <w:sz w:val="24"/>
                <w:szCs w:val="24"/>
                <w:lang w:val="hy-AM"/>
              </w:rPr>
              <w:t>Վերակառուցման և զարգացման եվրոպական բանկի կառավարիչների խորհրդի՝ 2023 թվականի մայիսի 18-ի «Վերակառուցման և զարգացման եվրոպական բանկի հիմնադրման համաձայնագրի թիվ 1 հոդվածի փոփոխություն՝ Բանկի գործունեության աշխարհագրական շրջանակի սահմանափակ և աստիճանական ընդլայնման հնարավորություն ընձեռելու դեպի Ենթասահարական Աֆրիկա և Իրաք» թիվ 259 բանաձևով «Պետական գույքի կառավարման մասին» օրենքի կարգավորման շրջանակում Հայաստանի Հանրապետության համար գույքային պարտավորություններ նախատեսող դրույթներ առկա չեն։</w:t>
            </w:r>
          </w:p>
        </w:tc>
        <w:tc>
          <w:tcPr>
            <w:tcW w:w="1211" w:type="pct"/>
            <w:tcBorders>
              <w:top w:val="single" w:sz="4" w:space="0" w:color="auto"/>
              <w:left w:val="single" w:sz="4" w:space="0" w:color="auto"/>
              <w:bottom w:val="single" w:sz="4" w:space="0" w:color="auto"/>
              <w:right w:val="single" w:sz="4" w:space="0" w:color="auto"/>
            </w:tcBorders>
            <w:vAlign w:val="center"/>
            <w:hideMark/>
          </w:tcPr>
          <w:p w:rsidR="00E83E56" w:rsidRDefault="00E83E56">
            <w:pPr>
              <w:spacing w:after="0"/>
              <w:jc w:val="center"/>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Ընդունվել է ի գիտություն</w:t>
            </w:r>
            <w:r>
              <w:rPr>
                <w:rFonts w:ascii="GHEA Grapalat" w:eastAsia="Times New Roman" w:hAnsi="GHEA Grapalat"/>
                <w:color w:val="000000"/>
                <w:sz w:val="24"/>
                <w:szCs w:val="24"/>
                <w:lang w:val="en-US"/>
              </w:rPr>
              <w:t>:</w:t>
            </w:r>
          </w:p>
        </w:tc>
      </w:tr>
    </w:tbl>
    <w:p w:rsidR="00E83E56" w:rsidRDefault="00E83E56" w:rsidP="00E83E56">
      <w:pPr>
        <w:tabs>
          <w:tab w:val="left" w:pos="709"/>
        </w:tabs>
        <w:spacing w:after="0" w:line="240" w:lineRule="auto"/>
        <w:ind w:right="-1" w:firstLine="708"/>
        <w:jc w:val="both"/>
        <w:rPr>
          <w:rFonts w:ascii="GHEA Grapalat" w:hAnsi="GHEA Grapalat" w:cs="Arial LatArm"/>
          <w:sz w:val="28"/>
          <w:szCs w:val="28"/>
          <w:lang w:val="hy-AM"/>
        </w:rPr>
      </w:pPr>
    </w:p>
    <w:p w:rsidR="00E83E56" w:rsidRDefault="00E83E56" w:rsidP="00E83E56">
      <w:pPr>
        <w:shd w:val="clear" w:color="auto" w:fill="FFFFFF"/>
        <w:spacing w:after="0" w:line="240" w:lineRule="auto"/>
        <w:ind w:firstLine="375"/>
        <w:rPr>
          <w:rFonts w:ascii="Courier New" w:eastAsia="Times New Roman" w:hAnsi="Courier New" w:cs="Courier New"/>
          <w:color w:val="000000"/>
          <w:sz w:val="24"/>
          <w:szCs w:val="24"/>
          <w:lang w:val="hy-AM" w:eastAsia="fr-FR"/>
        </w:rPr>
      </w:pPr>
    </w:p>
    <w:p w:rsidR="00E83E56" w:rsidRDefault="00E83E56" w:rsidP="00E83E56">
      <w:pPr>
        <w:shd w:val="clear" w:color="auto" w:fill="FFFFFF"/>
        <w:spacing w:after="0" w:line="240" w:lineRule="auto"/>
        <w:rPr>
          <w:rFonts w:ascii="Sylfaen" w:eastAsia="Times New Roman" w:hAnsi="Sylfaen"/>
          <w:b/>
          <w:bCs/>
          <w:color w:val="000000"/>
          <w:sz w:val="24"/>
          <w:szCs w:val="24"/>
          <w:lang w:val="hy-AM" w:eastAsia="fr-FR"/>
        </w:rPr>
      </w:pPr>
    </w:p>
    <w:p w:rsidR="0048183D" w:rsidRPr="00E83E56" w:rsidRDefault="0048183D" w:rsidP="00E83E56"/>
    <w:sectPr w:rsidR="0048183D" w:rsidRPr="00E83E56" w:rsidSect="001929C6">
      <w:headerReference w:type="default" r:id="rId8"/>
      <w:pgSz w:w="12240" w:h="15840"/>
      <w:pgMar w:top="284" w:right="567" w:bottom="567" w:left="709"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42EA" w:rsidRDefault="003D42EA" w:rsidP="00BF3235">
      <w:pPr>
        <w:spacing w:after="0" w:line="240" w:lineRule="auto"/>
      </w:pPr>
      <w:r>
        <w:separator/>
      </w:r>
    </w:p>
  </w:endnote>
  <w:endnote w:type="continuationSeparator" w:id="0">
    <w:p w:rsidR="003D42EA" w:rsidRDefault="003D42EA" w:rsidP="00BF32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LatArm">
    <w:panose1 w:val="020B0604020202020204"/>
    <w:charset w:val="00"/>
    <w:family w:val="swiss"/>
    <w:pitch w:val="variable"/>
    <w:sig w:usb0="00000003" w:usb1="00000000" w:usb2="00000000" w:usb3="00000000" w:csb0="00000001" w:csb1="00000000"/>
  </w:font>
  <w:font w:name="GHEA Mariam">
    <w:panose1 w:val="0200050308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42EA" w:rsidRDefault="003D42EA" w:rsidP="00BF3235">
      <w:pPr>
        <w:spacing w:after="0" w:line="240" w:lineRule="auto"/>
      </w:pPr>
      <w:r>
        <w:separator/>
      </w:r>
    </w:p>
  </w:footnote>
  <w:footnote w:type="continuationSeparator" w:id="0">
    <w:p w:rsidR="003D42EA" w:rsidRDefault="003D42EA" w:rsidP="00BF32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1592" w:rsidRPr="00BF3235" w:rsidRDefault="00221592" w:rsidP="00BF3235">
    <w:pPr>
      <w:autoSpaceDE w:val="0"/>
      <w:autoSpaceDN w:val="0"/>
      <w:adjustRightInd w:val="0"/>
      <w:spacing w:after="0" w:line="240" w:lineRule="auto"/>
      <w:jc w:val="right"/>
      <w:rPr>
        <w:rFonts w:ascii="GHEA Grapalat" w:hAnsi="GHEA Grapalat" w:cs="GHEA Mariam"/>
        <w:b/>
        <w:bCs/>
        <w:i/>
        <w:sz w:val="24"/>
        <w:u w:val="single"/>
        <w:lang w:val="hy-AM"/>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851C4"/>
    <w:multiLevelType w:val="hybridMultilevel"/>
    <w:tmpl w:val="6E260F2A"/>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 w15:restartNumberingAfterBreak="0">
    <w:nsid w:val="171B0EDC"/>
    <w:multiLevelType w:val="hybridMultilevel"/>
    <w:tmpl w:val="0C6288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6E43E08"/>
    <w:multiLevelType w:val="hybridMultilevel"/>
    <w:tmpl w:val="CE8A092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871D6C"/>
    <w:multiLevelType w:val="hybridMultilevel"/>
    <w:tmpl w:val="CDE446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ECA7160"/>
    <w:multiLevelType w:val="hybridMultilevel"/>
    <w:tmpl w:val="73B2D6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647566C"/>
    <w:multiLevelType w:val="hybridMultilevel"/>
    <w:tmpl w:val="623026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5"/>
  </w:num>
  <w:num w:numId="4">
    <w:abstractNumId w:val="2"/>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1596"/>
    <w:rsid w:val="00074D10"/>
    <w:rsid w:val="000F1118"/>
    <w:rsid w:val="000F7619"/>
    <w:rsid w:val="001239C0"/>
    <w:rsid w:val="00146E7C"/>
    <w:rsid w:val="00156D7D"/>
    <w:rsid w:val="001655CD"/>
    <w:rsid w:val="00176956"/>
    <w:rsid w:val="001929C6"/>
    <w:rsid w:val="001B01C8"/>
    <w:rsid w:val="001C78D1"/>
    <w:rsid w:val="001E249D"/>
    <w:rsid w:val="00221592"/>
    <w:rsid w:val="00240E13"/>
    <w:rsid w:val="00247F3B"/>
    <w:rsid w:val="0027136D"/>
    <w:rsid w:val="002776AB"/>
    <w:rsid w:val="00315CA8"/>
    <w:rsid w:val="0032281F"/>
    <w:rsid w:val="00333F6E"/>
    <w:rsid w:val="00362C14"/>
    <w:rsid w:val="00367346"/>
    <w:rsid w:val="00376349"/>
    <w:rsid w:val="00377C8C"/>
    <w:rsid w:val="003811AA"/>
    <w:rsid w:val="00384C55"/>
    <w:rsid w:val="003A3A47"/>
    <w:rsid w:val="003D42EA"/>
    <w:rsid w:val="00402291"/>
    <w:rsid w:val="00416F0E"/>
    <w:rsid w:val="00475333"/>
    <w:rsid w:val="0048183D"/>
    <w:rsid w:val="004A7726"/>
    <w:rsid w:val="004B3060"/>
    <w:rsid w:val="004C6254"/>
    <w:rsid w:val="004F5B3F"/>
    <w:rsid w:val="00501596"/>
    <w:rsid w:val="005577DF"/>
    <w:rsid w:val="005D648D"/>
    <w:rsid w:val="005E0C1F"/>
    <w:rsid w:val="005E3152"/>
    <w:rsid w:val="006135DE"/>
    <w:rsid w:val="006325C0"/>
    <w:rsid w:val="00637723"/>
    <w:rsid w:val="00645AC5"/>
    <w:rsid w:val="00665F18"/>
    <w:rsid w:val="006944DF"/>
    <w:rsid w:val="006A3D13"/>
    <w:rsid w:val="006B0A11"/>
    <w:rsid w:val="006E4E09"/>
    <w:rsid w:val="006F1330"/>
    <w:rsid w:val="00704EC7"/>
    <w:rsid w:val="00707572"/>
    <w:rsid w:val="007111CA"/>
    <w:rsid w:val="00771C35"/>
    <w:rsid w:val="00781AF4"/>
    <w:rsid w:val="007B10DF"/>
    <w:rsid w:val="007B6172"/>
    <w:rsid w:val="00811C34"/>
    <w:rsid w:val="00833C30"/>
    <w:rsid w:val="008629AF"/>
    <w:rsid w:val="00890161"/>
    <w:rsid w:val="008A3BDF"/>
    <w:rsid w:val="008B6280"/>
    <w:rsid w:val="008D0974"/>
    <w:rsid w:val="008D3172"/>
    <w:rsid w:val="008E6FDD"/>
    <w:rsid w:val="008F2152"/>
    <w:rsid w:val="008F5262"/>
    <w:rsid w:val="009059C4"/>
    <w:rsid w:val="009407E5"/>
    <w:rsid w:val="00960977"/>
    <w:rsid w:val="009856E7"/>
    <w:rsid w:val="009929D1"/>
    <w:rsid w:val="00994E46"/>
    <w:rsid w:val="009957CE"/>
    <w:rsid w:val="009C39DE"/>
    <w:rsid w:val="009D2002"/>
    <w:rsid w:val="009D30AA"/>
    <w:rsid w:val="009E07C5"/>
    <w:rsid w:val="00A228C0"/>
    <w:rsid w:val="00A23B61"/>
    <w:rsid w:val="00A446A2"/>
    <w:rsid w:val="00A45265"/>
    <w:rsid w:val="00A52FA3"/>
    <w:rsid w:val="00A65666"/>
    <w:rsid w:val="00A82130"/>
    <w:rsid w:val="00AA71C7"/>
    <w:rsid w:val="00AC4B46"/>
    <w:rsid w:val="00AD3C63"/>
    <w:rsid w:val="00AF18A3"/>
    <w:rsid w:val="00B033DD"/>
    <w:rsid w:val="00B10EB9"/>
    <w:rsid w:val="00B7553D"/>
    <w:rsid w:val="00BC0CD3"/>
    <w:rsid w:val="00BD091D"/>
    <w:rsid w:val="00BD429A"/>
    <w:rsid w:val="00BD7B84"/>
    <w:rsid w:val="00BF1341"/>
    <w:rsid w:val="00BF3235"/>
    <w:rsid w:val="00C05240"/>
    <w:rsid w:val="00C11353"/>
    <w:rsid w:val="00C2782A"/>
    <w:rsid w:val="00C41EC7"/>
    <w:rsid w:val="00C87E80"/>
    <w:rsid w:val="00CA4CBB"/>
    <w:rsid w:val="00CD78E7"/>
    <w:rsid w:val="00CF1BB9"/>
    <w:rsid w:val="00CF3FEE"/>
    <w:rsid w:val="00D009FB"/>
    <w:rsid w:val="00D332D0"/>
    <w:rsid w:val="00D5185E"/>
    <w:rsid w:val="00D63142"/>
    <w:rsid w:val="00D63F3C"/>
    <w:rsid w:val="00D70E61"/>
    <w:rsid w:val="00D826B4"/>
    <w:rsid w:val="00D94897"/>
    <w:rsid w:val="00DC7DAE"/>
    <w:rsid w:val="00DE50A3"/>
    <w:rsid w:val="00E06F7D"/>
    <w:rsid w:val="00E83E56"/>
    <w:rsid w:val="00E84D2A"/>
    <w:rsid w:val="00ED1666"/>
    <w:rsid w:val="00EF21EE"/>
    <w:rsid w:val="00F34200"/>
    <w:rsid w:val="00F4465E"/>
    <w:rsid w:val="00F601E3"/>
    <w:rsid w:val="00F83A92"/>
    <w:rsid w:val="00F933B6"/>
    <w:rsid w:val="00FA2C81"/>
    <w:rsid w:val="00FB5887"/>
    <w:rsid w:val="00FC6AE8"/>
    <w:rsid w:val="00FE3C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452487B-9B11-4658-8DCF-177294B60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4EC7"/>
    <w:pPr>
      <w:spacing w:after="200" w:line="276" w:lineRule="auto"/>
    </w:pPr>
    <w:rPr>
      <w:rFonts w:ascii="Calibri" w:eastAsia="Calibri" w:hAnsi="Calibri" w:cs="Times New Roman"/>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04EC7"/>
    <w:rPr>
      <w:b/>
      <w:bCs/>
    </w:rPr>
  </w:style>
  <w:style w:type="paragraph" w:styleId="Header">
    <w:name w:val="header"/>
    <w:basedOn w:val="Normal"/>
    <w:link w:val="HeaderChar"/>
    <w:uiPriority w:val="99"/>
    <w:unhideWhenUsed/>
    <w:rsid w:val="00BF323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F3235"/>
    <w:rPr>
      <w:rFonts w:ascii="Calibri" w:eastAsia="Calibri" w:hAnsi="Calibri" w:cs="Times New Roman"/>
      <w:lang w:val="ru-RU"/>
    </w:rPr>
  </w:style>
  <w:style w:type="paragraph" w:styleId="Footer">
    <w:name w:val="footer"/>
    <w:basedOn w:val="Normal"/>
    <w:link w:val="FooterChar"/>
    <w:uiPriority w:val="99"/>
    <w:unhideWhenUsed/>
    <w:rsid w:val="00BF323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3235"/>
    <w:rPr>
      <w:rFonts w:ascii="Calibri" w:eastAsia="Calibri" w:hAnsi="Calibri" w:cs="Times New Roman"/>
      <w:lang w:val="ru-RU"/>
    </w:rPr>
  </w:style>
  <w:style w:type="paragraph" w:styleId="ListParagraph">
    <w:name w:val="List Paragraph"/>
    <w:aliases w:val="Akapit z listą BS,List Paragraph 1,List_Paragraph,Multilevel para_II,List Paragraph1,Bullet1,Bullets,References,List Paragraph (numbered (a)),IBL List Paragraph,List Paragraph nowy,Numbered List Paragraph,123 List Paragraph,Body,Bullet"/>
    <w:basedOn w:val="Normal"/>
    <w:link w:val="ListParagraphChar"/>
    <w:uiPriority w:val="34"/>
    <w:qFormat/>
    <w:rsid w:val="004C6254"/>
    <w:pPr>
      <w:ind w:left="720"/>
      <w:contextualSpacing/>
    </w:pPr>
    <w:rPr>
      <w:lang w:val="en-US"/>
    </w:rPr>
  </w:style>
  <w:style w:type="character" w:styleId="Emphasis">
    <w:name w:val="Emphasis"/>
    <w:basedOn w:val="DefaultParagraphFont"/>
    <w:uiPriority w:val="20"/>
    <w:qFormat/>
    <w:rsid w:val="004C6254"/>
    <w:rPr>
      <w:i/>
      <w:iCs/>
    </w:rPr>
  </w:style>
  <w:style w:type="character" w:customStyle="1" w:styleId="ListParagraphChar">
    <w:name w:val="List Paragraph Char"/>
    <w:aliases w:val="Akapit z listą BS Char,List Paragraph 1 Char,List_Paragraph Char,Multilevel para_II Char,List Paragraph1 Char,Bullet1 Char,Bullets Char,References Char,List Paragraph (numbered (a)) Char,IBL List Paragraph Char,Body Char,Bullet Char"/>
    <w:link w:val="ListParagraph"/>
    <w:uiPriority w:val="34"/>
    <w:locked/>
    <w:rsid w:val="009D2002"/>
    <w:rPr>
      <w:rFonts w:ascii="Calibri" w:eastAsia="Calibri" w:hAnsi="Calibri" w:cs="Times New Roman"/>
    </w:rPr>
  </w:style>
  <w:style w:type="paragraph" w:styleId="NormalWeb">
    <w:name w:val="Normal (Web)"/>
    <w:basedOn w:val="Normal"/>
    <w:uiPriority w:val="99"/>
    <w:unhideWhenUsed/>
    <w:rsid w:val="00AA71C7"/>
    <w:pPr>
      <w:spacing w:before="100" w:beforeAutospacing="1" w:after="100" w:afterAutospacing="1" w:line="240" w:lineRule="auto"/>
    </w:pPr>
    <w:rPr>
      <w:rFonts w:ascii="Times New Roman" w:eastAsia="Times New Roman" w:hAnsi="Times New Roman"/>
      <w:sz w:val="24"/>
      <w:szCs w:val="24"/>
      <w:lang w:val="en-US"/>
    </w:rPr>
  </w:style>
  <w:style w:type="paragraph" w:styleId="BodyText">
    <w:name w:val="Body Text"/>
    <w:basedOn w:val="Normal"/>
    <w:link w:val="BodyTextChar"/>
    <w:unhideWhenUsed/>
    <w:rsid w:val="00BC0CD3"/>
    <w:pPr>
      <w:spacing w:after="140"/>
    </w:pPr>
    <w:rPr>
      <w:sz w:val="20"/>
      <w:szCs w:val="20"/>
      <w:lang w:eastAsia="x-none"/>
    </w:rPr>
  </w:style>
  <w:style w:type="character" w:customStyle="1" w:styleId="BodyTextChar">
    <w:name w:val="Body Text Char"/>
    <w:basedOn w:val="DefaultParagraphFont"/>
    <w:link w:val="BodyText"/>
    <w:rsid w:val="00BC0CD3"/>
    <w:rPr>
      <w:rFonts w:ascii="Calibri" w:eastAsia="Calibri" w:hAnsi="Calibri" w:cs="Times New Roman"/>
      <w:sz w:val="20"/>
      <w:szCs w:val="20"/>
      <w:lang w:val="ru-RU" w:eastAsia="x-none"/>
    </w:rPr>
  </w:style>
  <w:style w:type="character" w:customStyle="1" w:styleId="Bodytext0">
    <w:name w:val="Body text_"/>
    <w:basedOn w:val="DefaultParagraphFont"/>
    <w:link w:val="BodyText1"/>
    <w:locked/>
    <w:rsid w:val="001929C6"/>
    <w:rPr>
      <w:rFonts w:ascii="Times New Roman" w:eastAsia="Times New Roman" w:hAnsi="Times New Roman" w:cs="Times New Roman"/>
      <w:shd w:val="clear" w:color="auto" w:fill="FFFFFF"/>
    </w:rPr>
  </w:style>
  <w:style w:type="paragraph" w:customStyle="1" w:styleId="BodyText1">
    <w:name w:val="Body Text1"/>
    <w:basedOn w:val="Normal"/>
    <w:link w:val="Bodytext0"/>
    <w:qFormat/>
    <w:rsid w:val="001929C6"/>
    <w:pPr>
      <w:widowControl w:val="0"/>
      <w:shd w:val="clear" w:color="auto" w:fill="FFFFFF"/>
      <w:spacing w:after="100"/>
    </w:pPr>
    <w:rPr>
      <w:rFonts w:ascii="Times New Roman" w:eastAsia="Times New Roman" w:hAnsi="Times New Roman"/>
      <w:lang w:val="en-US"/>
    </w:rPr>
  </w:style>
  <w:style w:type="paragraph" w:customStyle="1" w:styleId="Default">
    <w:name w:val="Default"/>
    <w:rsid w:val="001929C6"/>
    <w:pPr>
      <w:autoSpaceDE w:val="0"/>
      <w:autoSpaceDN w:val="0"/>
      <w:adjustRightInd w:val="0"/>
      <w:spacing w:after="0" w:line="240" w:lineRule="auto"/>
    </w:pPr>
    <w:rPr>
      <w:rFonts w:ascii="GHEA Grapalat" w:eastAsia="Calibri" w:hAnsi="GHEA Grapalat" w:cs="GHEA Grapala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03301">
      <w:bodyDiv w:val="1"/>
      <w:marLeft w:val="0"/>
      <w:marRight w:val="0"/>
      <w:marTop w:val="0"/>
      <w:marBottom w:val="0"/>
      <w:divBdr>
        <w:top w:val="none" w:sz="0" w:space="0" w:color="auto"/>
        <w:left w:val="none" w:sz="0" w:space="0" w:color="auto"/>
        <w:bottom w:val="none" w:sz="0" w:space="0" w:color="auto"/>
        <w:right w:val="none" w:sz="0" w:space="0" w:color="auto"/>
      </w:divBdr>
    </w:div>
    <w:div w:id="324625758">
      <w:bodyDiv w:val="1"/>
      <w:marLeft w:val="0"/>
      <w:marRight w:val="0"/>
      <w:marTop w:val="0"/>
      <w:marBottom w:val="0"/>
      <w:divBdr>
        <w:top w:val="none" w:sz="0" w:space="0" w:color="auto"/>
        <w:left w:val="none" w:sz="0" w:space="0" w:color="auto"/>
        <w:bottom w:val="none" w:sz="0" w:space="0" w:color="auto"/>
        <w:right w:val="none" w:sz="0" w:space="0" w:color="auto"/>
      </w:divBdr>
      <w:divsChild>
        <w:div w:id="224417228">
          <w:marLeft w:val="0"/>
          <w:marRight w:val="0"/>
          <w:marTop w:val="0"/>
          <w:marBottom w:val="0"/>
          <w:divBdr>
            <w:top w:val="none" w:sz="0" w:space="0" w:color="auto"/>
            <w:left w:val="none" w:sz="0" w:space="0" w:color="auto"/>
            <w:bottom w:val="none" w:sz="0" w:space="0" w:color="auto"/>
            <w:right w:val="none" w:sz="0" w:space="0" w:color="auto"/>
          </w:divBdr>
        </w:div>
      </w:divsChild>
    </w:div>
    <w:div w:id="371729732">
      <w:bodyDiv w:val="1"/>
      <w:marLeft w:val="0"/>
      <w:marRight w:val="0"/>
      <w:marTop w:val="0"/>
      <w:marBottom w:val="0"/>
      <w:divBdr>
        <w:top w:val="none" w:sz="0" w:space="0" w:color="auto"/>
        <w:left w:val="none" w:sz="0" w:space="0" w:color="auto"/>
        <w:bottom w:val="none" w:sz="0" w:space="0" w:color="auto"/>
        <w:right w:val="none" w:sz="0" w:space="0" w:color="auto"/>
      </w:divBdr>
    </w:div>
    <w:div w:id="429005187">
      <w:bodyDiv w:val="1"/>
      <w:marLeft w:val="0"/>
      <w:marRight w:val="0"/>
      <w:marTop w:val="0"/>
      <w:marBottom w:val="0"/>
      <w:divBdr>
        <w:top w:val="none" w:sz="0" w:space="0" w:color="auto"/>
        <w:left w:val="none" w:sz="0" w:space="0" w:color="auto"/>
        <w:bottom w:val="none" w:sz="0" w:space="0" w:color="auto"/>
        <w:right w:val="none" w:sz="0" w:space="0" w:color="auto"/>
      </w:divBdr>
    </w:div>
    <w:div w:id="467167416">
      <w:bodyDiv w:val="1"/>
      <w:marLeft w:val="0"/>
      <w:marRight w:val="0"/>
      <w:marTop w:val="0"/>
      <w:marBottom w:val="0"/>
      <w:divBdr>
        <w:top w:val="none" w:sz="0" w:space="0" w:color="auto"/>
        <w:left w:val="none" w:sz="0" w:space="0" w:color="auto"/>
        <w:bottom w:val="none" w:sz="0" w:space="0" w:color="auto"/>
        <w:right w:val="none" w:sz="0" w:space="0" w:color="auto"/>
      </w:divBdr>
    </w:div>
    <w:div w:id="657538580">
      <w:bodyDiv w:val="1"/>
      <w:marLeft w:val="0"/>
      <w:marRight w:val="0"/>
      <w:marTop w:val="0"/>
      <w:marBottom w:val="0"/>
      <w:divBdr>
        <w:top w:val="none" w:sz="0" w:space="0" w:color="auto"/>
        <w:left w:val="none" w:sz="0" w:space="0" w:color="auto"/>
        <w:bottom w:val="none" w:sz="0" w:space="0" w:color="auto"/>
        <w:right w:val="none" w:sz="0" w:space="0" w:color="auto"/>
      </w:divBdr>
      <w:divsChild>
        <w:div w:id="326597928">
          <w:marLeft w:val="0"/>
          <w:marRight w:val="0"/>
          <w:marTop w:val="0"/>
          <w:marBottom w:val="0"/>
          <w:divBdr>
            <w:top w:val="none" w:sz="0" w:space="0" w:color="auto"/>
            <w:left w:val="none" w:sz="0" w:space="0" w:color="auto"/>
            <w:bottom w:val="none" w:sz="0" w:space="0" w:color="auto"/>
            <w:right w:val="none" w:sz="0" w:space="0" w:color="auto"/>
          </w:divBdr>
        </w:div>
      </w:divsChild>
    </w:div>
    <w:div w:id="716078560">
      <w:bodyDiv w:val="1"/>
      <w:marLeft w:val="0"/>
      <w:marRight w:val="0"/>
      <w:marTop w:val="0"/>
      <w:marBottom w:val="0"/>
      <w:divBdr>
        <w:top w:val="none" w:sz="0" w:space="0" w:color="auto"/>
        <w:left w:val="none" w:sz="0" w:space="0" w:color="auto"/>
        <w:bottom w:val="none" w:sz="0" w:space="0" w:color="auto"/>
        <w:right w:val="none" w:sz="0" w:space="0" w:color="auto"/>
      </w:divBdr>
    </w:div>
    <w:div w:id="722212204">
      <w:bodyDiv w:val="1"/>
      <w:marLeft w:val="0"/>
      <w:marRight w:val="0"/>
      <w:marTop w:val="0"/>
      <w:marBottom w:val="0"/>
      <w:divBdr>
        <w:top w:val="none" w:sz="0" w:space="0" w:color="auto"/>
        <w:left w:val="none" w:sz="0" w:space="0" w:color="auto"/>
        <w:bottom w:val="none" w:sz="0" w:space="0" w:color="auto"/>
        <w:right w:val="none" w:sz="0" w:space="0" w:color="auto"/>
      </w:divBdr>
    </w:div>
    <w:div w:id="785660611">
      <w:bodyDiv w:val="1"/>
      <w:marLeft w:val="0"/>
      <w:marRight w:val="0"/>
      <w:marTop w:val="0"/>
      <w:marBottom w:val="0"/>
      <w:divBdr>
        <w:top w:val="none" w:sz="0" w:space="0" w:color="auto"/>
        <w:left w:val="none" w:sz="0" w:space="0" w:color="auto"/>
        <w:bottom w:val="none" w:sz="0" w:space="0" w:color="auto"/>
        <w:right w:val="none" w:sz="0" w:space="0" w:color="auto"/>
      </w:divBdr>
    </w:div>
    <w:div w:id="875390913">
      <w:bodyDiv w:val="1"/>
      <w:marLeft w:val="0"/>
      <w:marRight w:val="0"/>
      <w:marTop w:val="0"/>
      <w:marBottom w:val="0"/>
      <w:divBdr>
        <w:top w:val="none" w:sz="0" w:space="0" w:color="auto"/>
        <w:left w:val="none" w:sz="0" w:space="0" w:color="auto"/>
        <w:bottom w:val="none" w:sz="0" w:space="0" w:color="auto"/>
        <w:right w:val="none" w:sz="0" w:space="0" w:color="auto"/>
      </w:divBdr>
    </w:div>
    <w:div w:id="1576933559">
      <w:bodyDiv w:val="1"/>
      <w:marLeft w:val="0"/>
      <w:marRight w:val="0"/>
      <w:marTop w:val="0"/>
      <w:marBottom w:val="0"/>
      <w:divBdr>
        <w:top w:val="none" w:sz="0" w:space="0" w:color="auto"/>
        <w:left w:val="none" w:sz="0" w:space="0" w:color="auto"/>
        <w:bottom w:val="none" w:sz="0" w:space="0" w:color="auto"/>
        <w:right w:val="none" w:sz="0" w:space="0" w:color="auto"/>
      </w:divBdr>
    </w:div>
    <w:div w:id="1612544734">
      <w:bodyDiv w:val="1"/>
      <w:marLeft w:val="0"/>
      <w:marRight w:val="0"/>
      <w:marTop w:val="0"/>
      <w:marBottom w:val="0"/>
      <w:divBdr>
        <w:top w:val="none" w:sz="0" w:space="0" w:color="auto"/>
        <w:left w:val="none" w:sz="0" w:space="0" w:color="auto"/>
        <w:bottom w:val="none" w:sz="0" w:space="0" w:color="auto"/>
        <w:right w:val="none" w:sz="0" w:space="0" w:color="auto"/>
      </w:divBdr>
    </w:div>
    <w:div w:id="1759713814">
      <w:bodyDiv w:val="1"/>
      <w:marLeft w:val="0"/>
      <w:marRight w:val="0"/>
      <w:marTop w:val="0"/>
      <w:marBottom w:val="0"/>
      <w:divBdr>
        <w:top w:val="none" w:sz="0" w:space="0" w:color="auto"/>
        <w:left w:val="none" w:sz="0" w:space="0" w:color="auto"/>
        <w:bottom w:val="none" w:sz="0" w:space="0" w:color="auto"/>
        <w:right w:val="none" w:sz="0" w:space="0" w:color="auto"/>
      </w:divBdr>
    </w:div>
    <w:div w:id="2025589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1FA241-97A6-472E-9ED0-703CBF2E36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TotalTime>
  <Pages>3</Pages>
  <Words>565</Words>
  <Characters>4254</Characters>
  <Application>Microsoft Office Word</Application>
  <DocSecurity>0</DocSecurity>
  <Lines>115</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Tamara Ghalayan</dc:creator>
  <cp:keywords>https://mul2.gov.am/tasks/924476/oneclick/05.Ampopatert.docx?token=459748912d92ae5618b94df6c8a1d9d6</cp:keywords>
  <dc:description/>
  <cp:lastModifiedBy>Qristine Grigoryan</cp:lastModifiedBy>
  <cp:revision>102</cp:revision>
  <dcterms:created xsi:type="dcterms:W3CDTF">2019-12-03T11:27:00Z</dcterms:created>
  <dcterms:modified xsi:type="dcterms:W3CDTF">2024-02-02T14:45:00Z</dcterms:modified>
</cp:coreProperties>
</file>