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9ED" w:rsidRPr="00216E76" w:rsidRDefault="007C79ED" w:rsidP="007C79ED">
      <w:pPr>
        <w:pStyle w:val="norm"/>
        <w:widowControl w:val="0"/>
        <w:spacing w:before="240" w:after="240" w:line="240" w:lineRule="auto"/>
        <w:ind w:firstLine="0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216E76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ՏԵՂԵԿԱՆՔ</w:t>
      </w:r>
    </w:p>
    <w:p w:rsidR="002D200B" w:rsidRPr="004006B6" w:rsidRDefault="00E04011" w:rsidP="002D200B">
      <w:pPr>
        <w:spacing w:line="240" w:lineRule="auto"/>
        <w:jc w:val="center"/>
        <w:rPr>
          <w:rFonts w:ascii="GHEA Grapalat" w:hAnsi="GHEA Grapalat"/>
          <w:b/>
          <w:sz w:val="24"/>
          <w:lang w:val="hy-AM"/>
        </w:rPr>
      </w:pPr>
      <w:r w:rsidRPr="00E04011">
        <w:rPr>
          <w:rFonts w:ascii="GHEA Grapalat" w:hAnsi="GHEA Grapalat"/>
          <w:b/>
          <w:sz w:val="24"/>
          <w:szCs w:val="24"/>
          <w:lang w:val="hy-AM"/>
        </w:rPr>
        <w:t xml:space="preserve">«ՎԵՐԱԿԱՌՈՒՑՄԱՆ ԵՎ ԶԱՐԳԱՑՄԱՆ ԵՎՐՈՊԱԿԱՆ ԲԱՆԿԻ ԿԱՌԱՎԱՐԻՉՆԵՐԻ ԽՈՐՀՐԴԻ՝ 2023 ԹՎԱԿԱՆԻ ՄԱՅԻՍԻ 18-Ի «ՎԵՐԱԿԱՌՈՒՑՄԱՆ ԵՎ ԶԱՐԳԱՑՄԱՆ ԵՎՐՈՊԱԿԱՆ ԲԱՆԿԻ ՀԻՄՆԱԴՐՄԱՆ ՀԱՄԱՁԱՅՆԱԳՐԻ 12.1 ՀՈԴՎԱԾԻ ՓՈՓՈԽՈՒԹՅՈՒՆ ՍՈՎՈՐԱԿԱՆ ԳՈՐԾԱՌՆՈՒԹՅՈՒՆՆԵՐԻ ԿԱՆՈՆԱԴՐԱԿԱՆ ԿԱՊԻՏԱԼԻ ՍԱՀՄԱՆԱՓԱԿՈՒՄԸ ՎԵՐԱՑՆԵԼՈՒ ՆՊԱՏԱԿՈՎ» ԹԻՎ 260 ԲԱՆԱՁԵՎԻ </w:t>
      </w:r>
      <w:r w:rsidR="007C79E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ՀԱՍՏԱՏՄԱՆ</w:t>
      </w:r>
      <w:r w:rsidR="007C79ED" w:rsidRPr="00216E76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ՆՊԱՏԱԿԱՀԱՐՄԱՐՈՒԹՅԱՆ </w:t>
      </w:r>
      <w:r w:rsidR="007C79ED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ՄԱՍԻՆ</w:t>
      </w:r>
    </w:p>
    <w:p w:rsidR="00934262" w:rsidRPr="00934262" w:rsidRDefault="00934262" w:rsidP="00641C0A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Վերակառուցման և զարգացման եվրոպական բանկի (այսուհետ՝ «ՎԶԵԲ») Կ</w:t>
      </w:r>
      <w:r w:rsidRPr="001B55AF">
        <w:rPr>
          <w:rFonts w:ascii="GHEA Grapalat" w:hAnsi="GHEA Grapalat" w:cs="Sylfaen"/>
          <w:sz w:val="24"/>
          <w:szCs w:val="24"/>
          <w:lang w:val="hy-AM"/>
        </w:rPr>
        <w:t>առավարիչների խորհրդի կողմից 2023</w:t>
      </w:r>
      <w:r w:rsidR="00BF347B">
        <w:rPr>
          <w:rFonts w:ascii="GHEA Grapalat" w:hAnsi="GHEA Grapalat" w:cs="Sylfaen"/>
          <w:sz w:val="24"/>
          <w:szCs w:val="24"/>
          <w:lang w:val="hy-AM"/>
        </w:rPr>
        <w:t>թ.</w:t>
      </w:r>
      <w:r w:rsidRPr="001B55AF">
        <w:rPr>
          <w:rFonts w:ascii="GHEA Grapalat" w:hAnsi="GHEA Grapalat" w:cs="Sylfaen"/>
          <w:sz w:val="24"/>
          <w:szCs w:val="24"/>
          <w:lang w:val="hy-AM"/>
        </w:rPr>
        <w:t xml:space="preserve"> տարեկան հանդիպման ընթացքում քվեարկվել և ընդունվել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Pr="001B55AF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Վ</w:t>
      </w:r>
      <w:r w:rsidRPr="00934262">
        <w:rPr>
          <w:rFonts w:ascii="GHEA Grapalat" w:hAnsi="GHEA Grapalat" w:cs="Sylfaen"/>
          <w:sz w:val="24"/>
          <w:szCs w:val="24"/>
          <w:lang w:val="hy-AM"/>
        </w:rPr>
        <w:t xml:space="preserve">երակառուցման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934262">
        <w:rPr>
          <w:rFonts w:ascii="GHEA Grapalat" w:hAnsi="GHEA Grapalat" w:cs="Sylfaen"/>
          <w:sz w:val="24"/>
          <w:szCs w:val="24"/>
          <w:lang w:val="hy-AM"/>
        </w:rPr>
        <w:t xml:space="preserve"> զարգացման եվրոպական բանկի հիմնադրման համաձայնագրի 12.1 հոդվածի փոփոխություն սովորական գործառնությունների կանոնադրական կապիտալի սահմանափակումը վերացնելու նպատակով</w:t>
      </w:r>
      <w:r w:rsidRPr="001B55AF">
        <w:rPr>
          <w:rFonts w:ascii="GHEA Grapalat" w:hAnsi="GHEA Grapalat" w:cs="Sylfaen"/>
          <w:sz w:val="24"/>
          <w:szCs w:val="24"/>
          <w:lang w:val="hy-AM"/>
        </w:rPr>
        <w:t>» թիվ 2</w:t>
      </w:r>
      <w:r>
        <w:rPr>
          <w:rFonts w:ascii="GHEA Grapalat" w:hAnsi="GHEA Grapalat" w:cs="Sylfaen"/>
          <w:sz w:val="24"/>
          <w:szCs w:val="24"/>
          <w:lang w:val="hy-AM"/>
        </w:rPr>
        <w:t>60</w:t>
      </w:r>
      <w:r w:rsidRPr="001B55AF">
        <w:rPr>
          <w:rFonts w:ascii="GHEA Grapalat" w:hAnsi="GHEA Grapalat" w:cs="Sylfaen"/>
          <w:sz w:val="24"/>
          <w:szCs w:val="24"/>
          <w:lang w:val="hy-AM"/>
        </w:rPr>
        <w:t xml:space="preserve"> բանաձևը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(այսուհետ՝ «Բանաձև»), </w:t>
      </w:r>
      <w:r w:rsidRPr="001B55AF">
        <w:rPr>
          <w:rFonts w:ascii="GHEA Grapalat" w:hAnsi="GHEA Grapalat" w:cs="Sylfaen"/>
          <w:sz w:val="24"/>
          <w:szCs w:val="24"/>
          <w:lang w:val="hy-AM"/>
        </w:rPr>
        <w:t>որով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վերաց</w:t>
      </w:r>
      <w:r w:rsidRPr="00934262">
        <w:rPr>
          <w:rFonts w:ascii="GHEA Grapalat" w:hAnsi="GHEA Grapalat"/>
          <w:sz w:val="24"/>
          <w:lang w:val="hy-AM"/>
        </w:rPr>
        <w:t>վում է վարկավորման՝ բաժանորդագրված կապիտալը չգերազանցելու կանոնադրական սահմանաչափը և փոխար</w:t>
      </w:r>
      <w:r w:rsidR="00037A31">
        <w:rPr>
          <w:rFonts w:ascii="GHEA Grapalat" w:hAnsi="GHEA Grapalat"/>
          <w:sz w:val="24"/>
          <w:lang w:val="hy-AM"/>
        </w:rPr>
        <w:t>վում է</w:t>
      </w:r>
      <w:r w:rsidRPr="00934262">
        <w:rPr>
          <w:rFonts w:ascii="GHEA Grapalat" w:hAnsi="GHEA Grapalat"/>
          <w:sz w:val="24"/>
          <w:lang w:val="hy-AM"/>
        </w:rPr>
        <w:t xml:space="preserve"> Տնօրենների խորհրդի կողմից հաստատվող սահմանաչափերով՝ որպես ՎԶԵԲ կապիտալի համարժեքության քաղաքականության բաղադրիչ:</w:t>
      </w:r>
    </w:p>
    <w:p w:rsidR="00934262" w:rsidRDefault="00934262" w:rsidP="00641C0A">
      <w:pPr>
        <w:spacing w:after="0" w:line="276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934262">
        <w:rPr>
          <w:rFonts w:ascii="GHEA Grapalat" w:hAnsi="GHEA Grapalat"/>
          <w:sz w:val="24"/>
          <w:lang w:val="hy-AM"/>
        </w:rPr>
        <w:t xml:space="preserve">Մասնավորապես, ներկայում նախատեսված է, որ ՎԶԵԲ-ի կողմից իր սովորական գործառնությունների հետ կապված չմարված վարկերի, բաժնետիրական կապիտալում ներդրումների և երաշխիքների հանրագումարը ոչ մի դեպքում չպետք է ավելացվի, եթե նման ավելացմամբ կգերազանցվի անփոփոխ բաժանորդային կապիտալի, պահուստների և սովորական կապիտալ ռեսուրսներում ներառված ավելցուկների ընդհանուր գումարը: Փոփոխությամբ կամրագրվի, որ ֆինանսական կայունությունը պաշտպանելու նպատակով Տնօրենների խորհուրդը սահմանելու և պահպանելու է կապիտալի համարժեքության ցուցանիշների հետ կապված համապատասխան սահմանաչափեր, որոնք արտացոլվելու են կապիտալի համարժեքության քաղաքականության մեջ: </w:t>
      </w:r>
    </w:p>
    <w:p w:rsidR="00641C0A" w:rsidRPr="00641C0A" w:rsidRDefault="00641C0A" w:rsidP="00641C0A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B55AF">
        <w:rPr>
          <w:rFonts w:ascii="GHEA Grapalat" w:hAnsi="GHEA Grapalat" w:cs="Sylfaen"/>
          <w:sz w:val="24"/>
          <w:szCs w:val="24"/>
          <w:lang w:val="hy-AM"/>
        </w:rPr>
        <w:t>ՎԶԵԲ հիմնադրման համաձայնագրի 56-րդ հոդվածի համաձայն՝ ՎԶԵԲ-ն ակնկալում է ստանալ անդամ երկրների հավաստումն առ այն, որ իրականացված փոփոխությունները անդամ երկրի կողմից պաշտոնապես ընդունված են՝ ազգային օրենսդրության համաձայն: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Ըստ </w:t>
      </w:r>
      <w:r w:rsidRPr="001B55AF">
        <w:rPr>
          <w:rFonts w:ascii="GHEA Grapalat" w:hAnsi="GHEA Grapalat" w:cs="Sylfaen"/>
          <w:sz w:val="24"/>
          <w:szCs w:val="24"/>
          <w:lang w:val="hy-AM"/>
        </w:rPr>
        <w:t>«Միջազգային պայմանագրերի մասին» ՀՀ օրենքի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դրույթների՝ Բանաձևը Հայաստանի Հանրապետության համար ուժի մեջ է մտնելու հիշյալ օրենքով սահմանված՝ Բանաձևին միանալու գործընթացի ավարտից հետո՝ </w:t>
      </w:r>
      <w:r w:rsidRPr="001B55AF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Pr="001B55AF">
        <w:rPr>
          <w:rFonts w:ascii="GHEA Grapalat" w:hAnsi="GHEA Grapalat" w:cs="Sylfaen"/>
          <w:sz w:val="24"/>
          <w:szCs w:val="24"/>
          <w:lang w:val="hy-AM"/>
        </w:rPr>
        <w:t xml:space="preserve"> կողմից </w:t>
      </w:r>
      <w:r>
        <w:rPr>
          <w:rFonts w:ascii="GHEA Grapalat" w:hAnsi="GHEA Grapalat" w:cs="Sylfaen"/>
          <w:sz w:val="24"/>
          <w:szCs w:val="24"/>
          <w:lang w:val="hy-AM"/>
        </w:rPr>
        <w:t>հաստատվ</w:t>
      </w:r>
      <w:r w:rsidRPr="001B55AF">
        <w:rPr>
          <w:rFonts w:ascii="GHEA Grapalat" w:hAnsi="GHEA Grapalat" w:cs="Sylfaen"/>
          <w:sz w:val="24"/>
          <w:szCs w:val="24"/>
          <w:lang w:val="hy-AM"/>
        </w:rPr>
        <w:t>ելու միջոցով: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934262" w:rsidRPr="00934262" w:rsidRDefault="00934262" w:rsidP="00641C0A">
      <w:pPr>
        <w:spacing w:after="0" w:line="276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Բանաձևին</w:t>
      </w:r>
      <w:r w:rsidRPr="00934262">
        <w:rPr>
          <w:rFonts w:ascii="GHEA Grapalat" w:hAnsi="GHEA Grapalat"/>
          <w:sz w:val="24"/>
          <w:lang w:val="hy-AM"/>
        </w:rPr>
        <w:t xml:space="preserve"> միանալը բխում է </w:t>
      </w:r>
      <w:bookmarkStart w:id="0" w:name="_GoBack"/>
      <w:r w:rsidRPr="00934262">
        <w:rPr>
          <w:rFonts w:ascii="GHEA Grapalat" w:hAnsi="GHEA Grapalat"/>
          <w:sz w:val="24"/>
          <w:lang w:val="hy-AM"/>
        </w:rPr>
        <w:t>Կ</w:t>
      </w:r>
      <w:bookmarkEnd w:id="0"/>
      <w:r w:rsidRPr="00934262">
        <w:rPr>
          <w:rFonts w:ascii="GHEA Grapalat" w:hAnsi="GHEA Grapalat"/>
          <w:sz w:val="24"/>
          <w:lang w:val="hy-AM"/>
        </w:rPr>
        <w:t>առավարության 2021-2026թթ. ծրագրից (6.8. բաժին, 11-րդ կետ) և վերահաստատում է Հայաստանի Հանրապետության հանձնառությունը ՎԶԵԲ քաղաքականությանը, արտացոլում է հայկական կողմի պատրաստակամությունը՝ ընդլայնելու համագործակցությունը զարգացման գործընկերների (այդ թվում՝ ՎԶԵԲ-ի) հետ և ապահովելու առավել ակտիվ ներգրավվածություն միջազգային ֆինանսական կառույցներում:</w:t>
      </w:r>
    </w:p>
    <w:p w:rsidR="00934262" w:rsidRDefault="00A16D96" w:rsidP="00BF347B">
      <w:pPr>
        <w:spacing w:after="0" w:line="276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Բանաձևին</w:t>
      </w:r>
      <w:r w:rsidR="00934262" w:rsidRPr="00934262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միացումը</w:t>
      </w:r>
      <w:r w:rsidR="00934262" w:rsidRPr="00934262">
        <w:rPr>
          <w:rFonts w:ascii="GHEA Grapalat" w:hAnsi="GHEA Grapalat"/>
          <w:sz w:val="24"/>
          <w:lang w:val="hy-AM"/>
        </w:rPr>
        <w:t xml:space="preserve"> Հայաստանի Հանրապետության համար ֆինանսական պարտավորություններ չի ենթադրում:</w:t>
      </w:r>
    </w:p>
    <w:sectPr w:rsidR="00934262" w:rsidSect="00BF347B">
      <w:pgSz w:w="12240" w:h="15840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6FE"/>
    <w:rsid w:val="00037A31"/>
    <w:rsid w:val="00087719"/>
    <w:rsid w:val="000E4A4F"/>
    <w:rsid w:val="000F6F9A"/>
    <w:rsid w:val="00113272"/>
    <w:rsid w:val="00122EB7"/>
    <w:rsid w:val="00131655"/>
    <w:rsid w:val="0014082D"/>
    <w:rsid w:val="00150442"/>
    <w:rsid w:val="00235085"/>
    <w:rsid w:val="002D200B"/>
    <w:rsid w:val="003B58BA"/>
    <w:rsid w:val="004006B6"/>
    <w:rsid w:val="004F0B83"/>
    <w:rsid w:val="004F2BC8"/>
    <w:rsid w:val="00513D7B"/>
    <w:rsid w:val="00537F85"/>
    <w:rsid w:val="00594B1C"/>
    <w:rsid w:val="005B224E"/>
    <w:rsid w:val="005E058F"/>
    <w:rsid w:val="00641C0A"/>
    <w:rsid w:val="00660556"/>
    <w:rsid w:val="00763184"/>
    <w:rsid w:val="00770C38"/>
    <w:rsid w:val="007C5C54"/>
    <w:rsid w:val="007C79ED"/>
    <w:rsid w:val="00831770"/>
    <w:rsid w:val="00934262"/>
    <w:rsid w:val="009676FE"/>
    <w:rsid w:val="00986510"/>
    <w:rsid w:val="009E59EF"/>
    <w:rsid w:val="009F6E7B"/>
    <w:rsid w:val="00A05019"/>
    <w:rsid w:val="00A058D4"/>
    <w:rsid w:val="00A16D96"/>
    <w:rsid w:val="00A910D9"/>
    <w:rsid w:val="00BA299C"/>
    <w:rsid w:val="00BC6E1B"/>
    <w:rsid w:val="00BD5DE3"/>
    <w:rsid w:val="00BF347B"/>
    <w:rsid w:val="00C12826"/>
    <w:rsid w:val="00C156B0"/>
    <w:rsid w:val="00C64771"/>
    <w:rsid w:val="00CD715B"/>
    <w:rsid w:val="00CD71E5"/>
    <w:rsid w:val="00E04011"/>
    <w:rsid w:val="00E80C07"/>
    <w:rsid w:val="00EC2A4F"/>
    <w:rsid w:val="00EE150A"/>
    <w:rsid w:val="00F44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D7DDF"/>
  <w15:chartTrackingRefBased/>
  <w15:docId w15:val="{CCB6EF6D-1669-49C6-84A4-91DEAE383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5D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DE3"/>
    <w:rPr>
      <w:rFonts w:ascii="Segoe UI" w:hAnsi="Segoe UI" w:cs="Segoe UI"/>
      <w:sz w:val="18"/>
      <w:szCs w:val="18"/>
    </w:rPr>
  </w:style>
  <w:style w:type="paragraph" w:customStyle="1" w:styleId="norm">
    <w:name w:val="norm"/>
    <w:rsid w:val="007C79ED"/>
    <w:pPr>
      <w:pBdr>
        <w:top w:val="nil"/>
        <w:left w:val="nil"/>
        <w:bottom w:val="nil"/>
        <w:right w:val="nil"/>
        <w:between w:val="nil"/>
        <w:bar w:val="nil"/>
      </w:pBdr>
      <w:spacing w:after="0" w:line="480" w:lineRule="auto"/>
      <w:ind w:firstLine="709"/>
      <w:jc w:val="both"/>
    </w:pPr>
    <w:rPr>
      <w:rFonts w:ascii="Arial Armenian" w:eastAsia="Arial Armenian" w:hAnsi="Arial Armenian" w:cs="Arial Armenian"/>
      <w:color w:val="000000"/>
      <w:u w:color="000000"/>
      <w:bdr w:val="nil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6116C-FEE2-41EF-A041-6D2732C63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Suren Minasyan</dc:creator>
  <cp:keywords/>
  <dc:description/>
  <cp:lastModifiedBy>Suren Minasyan</cp:lastModifiedBy>
  <cp:revision>46</cp:revision>
  <cp:lastPrinted>2023-04-19T13:33:00Z</cp:lastPrinted>
  <dcterms:created xsi:type="dcterms:W3CDTF">2023-04-19T12:44:00Z</dcterms:created>
  <dcterms:modified xsi:type="dcterms:W3CDTF">2024-01-23T06:45:00Z</dcterms:modified>
</cp:coreProperties>
</file>