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3D43F" w14:textId="77777777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29424284" w14:textId="12888DC4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ԿԱՌԱՎԱՐՈՒԹՅԱՆ 2020 ԹՎԱԿԱՆԻ ՄԱՐՏԻ 26</w:t>
      </w:r>
      <w:r w:rsidRPr="009E4760">
        <w:rPr>
          <w:rFonts w:ascii="GHEA Grapalat" w:hAnsi="GHEA Grapalat" w:cs="Arial"/>
          <w:b/>
          <w:bCs/>
          <w:sz w:val="24"/>
          <w:szCs w:val="24"/>
          <w:lang w:val="hy-AM"/>
        </w:rPr>
        <w:t>-</w:t>
      </w: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Ի N 355-Լ ՈՐՈՇՄԱՆ ՄԵՋ ՓՈՓՈԽՈՒԹՅՈՒՆՆԵՐ</w:t>
      </w:r>
      <w:r w:rsidR="009E476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ԵՎ ԼՐԱՑՈՒՄՆԵՐ</w:t>
      </w: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</w:t>
      </w:r>
    </w:p>
    <w:p w14:paraId="6DFE7C52" w14:textId="77777777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</w:p>
    <w:p w14:paraId="56F442BC" w14:textId="77777777" w:rsidR="00732433" w:rsidRPr="000A4911" w:rsidRDefault="00732433" w:rsidP="00CE7E21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7C6308DD" w14:textId="691475DC" w:rsidR="005419DB" w:rsidRPr="005419DB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5419DB">
        <w:rPr>
          <w:rFonts w:ascii="GHEA Grapalat" w:hAnsi="GHEA Grapalat" w:cs="Arial"/>
          <w:sz w:val="24"/>
          <w:szCs w:val="24"/>
          <w:lang w:val="hy-AM"/>
        </w:rPr>
        <w:t>«Հայաստանի Հանրապետության կառավարության 2020 թվականի մարտի 26-ի N 355-Լ որոշման մեջ փոփոխություններ կատարելու մասին» Կառավարության որոշման նախագծի (այսուհետ՝ Նախագիծ) ընդունումը պայմանավորված է</w:t>
      </w:r>
      <w:r w:rsidR="005419DB" w:rsidRPr="005419DB">
        <w:rPr>
          <w:rFonts w:ascii="GHEA Grapalat" w:hAnsi="GHEA Grapalat" w:cs="Arial"/>
          <w:sz w:val="24"/>
          <w:szCs w:val="24"/>
          <w:lang w:val="hy-AM"/>
        </w:rPr>
        <w:t xml:space="preserve"> Կառավարության 2021 թվականի թիվ 1902-Լ որոշման Հավելված 1-ի Էկոնոմիկայի նախարարության բաժնի 2</w:t>
      </w:r>
      <w:r w:rsidR="005419DB" w:rsidRPr="005419DB">
        <w:rPr>
          <w:rFonts w:ascii="Cambria Math" w:hAnsi="Cambria Math" w:cs="Cambria Math"/>
          <w:sz w:val="24"/>
          <w:szCs w:val="24"/>
          <w:lang w:val="hy-AM"/>
        </w:rPr>
        <w:t>․</w:t>
      </w:r>
      <w:r w:rsidR="005419DB" w:rsidRPr="005419DB">
        <w:rPr>
          <w:rFonts w:ascii="GHEA Grapalat" w:hAnsi="GHEA Grapalat" w:cs="Arial"/>
          <w:sz w:val="24"/>
          <w:szCs w:val="24"/>
          <w:lang w:val="hy-AM"/>
        </w:rPr>
        <w:t>1 «</w:t>
      </w:r>
      <w:r w:rsidR="005419DB" w:rsidRPr="005419DB">
        <w:rPr>
          <w:rFonts w:ascii="GHEA Grapalat" w:hAnsi="GHEA Grapalat"/>
          <w:sz w:val="24"/>
          <w:szCs w:val="24"/>
          <w:lang w:val="hy-AM"/>
        </w:rPr>
        <w:t>Ռազմավարական և առաջնահերթ ոլորտներում տեխնոլոգիական արդիականացում և բիզնես պրոցեսների օպտիմալացում», 2</w:t>
      </w:r>
      <w:r w:rsidR="005419DB" w:rsidRPr="005419DB">
        <w:rPr>
          <w:rFonts w:ascii="Cambria Math" w:hAnsi="Cambria Math" w:cs="Cambria Math"/>
          <w:sz w:val="24"/>
          <w:szCs w:val="24"/>
          <w:lang w:val="hy-AM"/>
        </w:rPr>
        <w:t>․</w:t>
      </w:r>
      <w:r w:rsidR="005419DB" w:rsidRPr="005419DB">
        <w:rPr>
          <w:rFonts w:ascii="GHEA Grapalat" w:hAnsi="GHEA Grapalat"/>
          <w:sz w:val="24"/>
          <w:szCs w:val="24"/>
          <w:lang w:val="hy-AM"/>
        </w:rPr>
        <w:t>3 «Տնտեսության մեջ թվային գործիքների կիրառման խթանման հայեցակարգի հաստատում» կետերի իրականացումն ապահովելու անհրաժեշտությամբ, ընդ որում սահմանված են հետևյալ արդյունքային ցուցանիշները</w:t>
      </w:r>
      <w:r w:rsidR="005419DB" w:rsidRPr="005419D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E5E5B9F" w14:textId="70A5EF13" w:rsidR="005419DB" w:rsidRPr="005419DB" w:rsidRDefault="005419DB" w:rsidP="00CE7E21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5419DB">
        <w:rPr>
          <w:rFonts w:ascii="GHEA Grapalat" w:hAnsi="GHEA Grapalat" w:cs="Arial"/>
          <w:sz w:val="24"/>
          <w:szCs w:val="24"/>
          <w:lang w:val="hy-AM"/>
        </w:rPr>
        <w:t>2</w:t>
      </w:r>
      <w:r w:rsidRPr="005419DB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19DB">
        <w:rPr>
          <w:rFonts w:ascii="GHEA Grapalat" w:hAnsi="GHEA Grapalat" w:cs="Arial"/>
          <w:sz w:val="24"/>
          <w:szCs w:val="24"/>
          <w:lang w:val="hy-AM"/>
        </w:rPr>
        <w:t xml:space="preserve">1 կետում՝ </w:t>
      </w:r>
      <w:r w:rsidRPr="005419DB">
        <w:rPr>
          <w:rFonts w:ascii="GHEA Grapalat" w:hAnsi="GHEA Grapalat"/>
          <w:sz w:val="24"/>
          <w:szCs w:val="24"/>
          <w:lang w:val="hy-AM"/>
        </w:rPr>
        <w:t xml:space="preserve">Տարեկան առնվազն 400 բիզնես սուբյեկտներին բիզնես գործընթացների օպտիմալացման համար </w:t>
      </w:r>
      <w:r w:rsidR="00746243">
        <w:rPr>
          <w:rFonts w:ascii="GHEA Grapalat" w:hAnsi="GHEA Grapalat"/>
          <w:sz w:val="24"/>
          <w:szCs w:val="24"/>
          <w:lang w:val="hy-AM"/>
        </w:rPr>
        <w:t>անհրաժեշտ</w:t>
      </w:r>
      <w:r w:rsidRPr="005419DB">
        <w:rPr>
          <w:rFonts w:ascii="GHEA Grapalat" w:hAnsi="GHEA Grapalat"/>
          <w:sz w:val="24"/>
          <w:szCs w:val="24"/>
          <w:lang w:val="hy-AM"/>
        </w:rPr>
        <w:t xml:space="preserve"> խորհրդատվական ծառայությունների ձեռքբերման համար ֆինանսական օժանդակություն, որին հնարավոր կլինի հասնել սույն նախագծով առաջարկվող N 1 հավելվածով սահմանված միջոցառման ընդունմամբ,</w:t>
      </w:r>
    </w:p>
    <w:p w14:paraId="56CA16D4" w14:textId="00EDA3D8" w:rsidR="005419DB" w:rsidRPr="005419DB" w:rsidRDefault="005419DB" w:rsidP="00CE7E21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5419DB">
        <w:rPr>
          <w:rFonts w:ascii="GHEA Grapalat" w:hAnsi="GHEA Grapalat"/>
          <w:sz w:val="24"/>
          <w:szCs w:val="24"/>
          <w:lang w:val="hy-AM"/>
        </w:rPr>
        <w:t>2</w:t>
      </w:r>
      <w:r w:rsidRPr="005419DB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19DB">
        <w:rPr>
          <w:rFonts w:ascii="GHEA Grapalat" w:hAnsi="GHEA Grapalat"/>
          <w:sz w:val="24"/>
          <w:szCs w:val="24"/>
          <w:lang w:val="hy-AM"/>
        </w:rPr>
        <w:t>3 կետում՝ Տարեկան 400 բիզնես սուբյեկտի ֆինանսական աջակցություն, ով անցում կկատարի էլեկտրոնային կառավարման համակարգերի ներդրմանը բիզնես գործընթացներում, որին հնարավոր կլինի հասնել սույն նախագծով առաջարկվող N 1 հավելվածով սահմանված միջոցառման ընդունմամբ,</w:t>
      </w:r>
    </w:p>
    <w:p w14:paraId="73B10454" w14:textId="5B1C538A" w:rsidR="00732433" w:rsidRPr="005419DB" w:rsidRDefault="005419DB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5419DB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պայմանավորված է նաև </w:t>
      </w:r>
      <w:r w:rsidR="00B13DCC" w:rsidRPr="005419DB">
        <w:rPr>
          <w:rFonts w:ascii="GHEA Grapalat" w:hAnsi="GHEA Grapalat" w:cs="Arial"/>
          <w:sz w:val="24"/>
          <w:szCs w:val="24"/>
          <w:lang w:val="hy-AM"/>
        </w:rPr>
        <w:t>որոշման 1-ին հավելվածով հաստատված Արտադրողականության խթանման միջոցառման  իրականացումն առավել արդյունավետ ապահովելու անհրաժեշտությամբ</w:t>
      </w:r>
      <w:r w:rsidR="00732433" w:rsidRPr="005419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9000924" w14:textId="77777777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</w:p>
    <w:p w14:paraId="416BA962" w14:textId="77777777" w:rsidR="00732433" w:rsidRPr="000A4911" w:rsidRDefault="00732433" w:rsidP="00CE7E21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խնդիրները</w:t>
      </w:r>
    </w:p>
    <w:p w14:paraId="5EF30D16" w14:textId="67BCFB80" w:rsidR="005E1E93" w:rsidRPr="00F402DE" w:rsidRDefault="00B13DCC" w:rsidP="00F402DE">
      <w:pPr>
        <w:pStyle w:val="ListParagraph"/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Արտադրողականության խթանման միջոցառման շրջանակներում ձևավորված վարկային/լիզինգային պորտֆելը 202</w:t>
      </w:r>
      <w:r w:rsidR="00302E7B">
        <w:rPr>
          <w:rFonts w:ascii="GHEA Grapalat" w:hAnsi="GHEA Grapalat" w:cs="Arial"/>
          <w:bCs/>
          <w:sz w:val="24"/>
          <w:szCs w:val="24"/>
          <w:lang w:val="hy-AM"/>
        </w:rPr>
        <w:t>4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թվականի</w:t>
      </w:r>
      <w:r w:rsidR="007E0C60" w:rsidRPr="007E0C6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>հունվարի</w:t>
      </w:r>
      <w:r w:rsidR="007D4C03">
        <w:rPr>
          <w:rFonts w:ascii="GHEA Grapalat" w:hAnsi="GHEA Grapalat" w:cs="Arial"/>
          <w:bCs/>
          <w:sz w:val="24"/>
          <w:szCs w:val="24"/>
          <w:lang w:val="hy-AM"/>
        </w:rPr>
        <w:t xml:space="preserve"> 1-ի դրությամբ կազմում է 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>207</w:t>
      </w:r>
      <w:r w:rsidR="007D4C0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7D4C03">
        <w:rPr>
          <w:rFonts w:ascii="GHEA Grapalat" w:hAnsi="GHEA Grapalat" w:cs="Arial"/>
          <w:bCs/>
          <w:sz w:val="24"/>
          <w:szCs w:val="24"/>
          <w:lang w:val="hy-AM"/>
        </w:rPr>
        <w:lastRenderedPageBreak/>
        <w:t>մլրդ դրամ</w:t>
      </w:r>
      <w:r w:rsidR="005E1E93">
        <w:rPr>
          <w:rFonts w:ascii="GHEA Grapalat" w:hAnsi="GHEA Grapalat" w:cs="Arial"/>
          <w:bCs/>
          <w:sz w:val="24"/>
          <w:szCs w:val="24"/>
          <w:lang w:val="hy-AM"/>
        </w:rPr>
        <w:t xml:space="preserve">՝ 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>3591</w:t>
      </w:r>
      <w:r w:rsidR="005E1E93">
        <w:rPr>
          <w:rFonts w:ascii="GHEA Grapalat" w:hAnsi="GHEA Grapalat" w:cs="Arial"/>
          <w:bCs/>
          <w:sz w:val="24"/>
          <w:szCs w:val="24"/>
          <w:lang w:val="hy-AM"/>
        </w:rPr>
        <w:t xml:space="preserve"> կնքված վարկային/լիզինգային պայմանագրերով։</w:t>
      </w:r>
      <w:r w:rsidR="00F402DE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5E1E93" w:rsidRPr="00F402DE">
        <w:rPr>
          <w:rFonts w:ascii="GHEA Grapalat" w:hAnsi="GHEA Grapalat" w:cs="Arial"/>
          <w:bCs/>
          <w:sz w:val="24"/>
          <w:szCs w:val="24"/>
          <w:lang w:val="hy-AM"/>
        </w:rPr>
        <w:t>Պորտֆելի 5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>9</w:t>
      </w:r>
      <w:r w:rsidR="005E1E93" w:rsidRPr="00F402DE">
        <w:rPr>
          <w:rFonts w:ascii="GHEA Grapalat" w:hAnsi="GHEA Grapalat" w:cs="Arial"/>
          <w:bCs/>
          <w:sz w:val="24"/>
          <w:szCs w:val="24"/>
          <w:lang w:val="hy-AM"/>
        </w:rPr>
        <w:t>%-ը ուղղվել է ՓՄՁ ֆինանսավորմանը։</w:t>
      </w:r>
    </w:p>
    <w:p w14:paraId="1FCBDCCE" w14:textId="7923AABF" w:rsidR="0016348C" w:rsidRDefault="002054CF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Համաձայն որոշման 1-ին հավելված 20-րդ կետի ֆինանսական կազմակերպությունները ներկայացնում են մոնիտորինգային հաշվետվություն՝ նախորդ տարի սուբսիդավորված վարկային/լիզինգային պորտֆելի՝ որոշման պայմաններին համապ</w:t>
      </w:r>
      <w:r w:rsidRPr="00501A96">
        <w:rPr>
          <w:rFonts w:ascii="GHEA Grapalat" w:hAnsi="GHEA Grapalat" w:cs="Arial"/>
          <w:bCs/>
          <w:sz w:val="24"/>
          <w:szCs w:val="24"/>
          <w:lang w:val="hy-AM"/>
        </w:rPr>
        <w:t>ատասխան</w:t>
      </w:r>
      <w:r w:rsidR="00501A96" w:rsidRPr="00501A96">
        <w:rPr>
          <w:rFonts w:ascii="GHEA Grapalat" w:hAnsi="GHEA Grapalat" w:cs="Arial"/>
          <w:bCs/>
          <w:sz w:val="24"/>
          <w:szCs w:val="24"/>
          <w:lang w:val="hy-AM"/>
        </w:rPr>
        <w:t>ելի</w:t>
      </w:r>
      <w:r w:rsidRPr="00501A96">
        <w:rPr>
          <w:rFonts w:ascii="GHEA Grapalat" w:hAnsi="GHEA Grapalat" w:cs="Arial"/>
          <w:bCs/>
          <w:sz w:val="24"/>
          <w:szCs w:val="24"/>
          <w:lang w:val="hy-AM"/>
        </w:rPr>
        <w:t>ության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վերաբերյալ։ </w:t>
      </w:r>
      <w:r w:rsidR="008F274E">
        <w:rPr>
          <w:rFonts w:ascii="GHEA Grapalat" w:hAnsi="GHEA Grapalat" w:cs="Arial"/>
          <w:bCs/>
          <w:sz w:val="24"/>
          <w:szCs w:val="24"/>
          <w:lang w:val="hy-AM"/>
        </w:rPr>
        <w:t>Մոնիտորինգի արդյունքում որոշակի խնդիրներ են</w:t>
      </w:r>
      <w:r w:rsidR="0011239D">
        <w:rPr>
          <w:rFonts w:ascii="GHEA Grapalat" w:hAnsi="GHEA Grapalat" w:cs="Arial"/>
          <w:bCs/>
          <w:sz w:val="24"/>
          <w:szCs w:val="24"/>
          <w:lang w:val="hy-AM"/>
        </w:rPr>
        <w:t xml:space="preserve"> հայտնաբերվել, որոնք չեն հակասում ծրագրի նպատակներին և չպետք է դառնան սուբսիդավորման հետ վերադարձի պատճառ։ Հաշվի առնելով նշվածը</w:t>
      </w:r>
      <w:r w:rsidR="00302E7B"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="0011239D">
        <w:rPr>
          <w:rFonts w:ascii="GHEA Grapalat" w:hAnsi="GHEA Grapalat" w:cs="Arial"/>
          <w:bCs/>
          <w:sz w:val="24"/>
          <w:szCs w:val="24"/>
          <w:lang w:val="hy-AM"/>
        </w:rPr>
        <w:t xml:space="preserve"> որոշման նախագծով առաջարկվում է սահմանել համապատասխան դրույթները։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 xml:space="preserve"> Մասնավորապես</w:t>
      </w:r>
      <w:r w:rsidR="00302E7B"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 xml:space="preserve"> հավելվածի 2-րդ կետով սահմանվող «տնտեսավարողների շրջանակը»</w:t>
      </w:r>
      <w:r w:rsidR="0016348C" w:rsidRPr="0016348C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16348C">
        <w:rPr>
          <w:rFonts w:ascii="GHEA Grapalat" w:hAnsi="GHEA Grapalat" w:cs="Arial"/>
          <w:bCs/>
          <w:sz w:val="24"/>
          <w:szCs w:val="24"/>
          <w:lang w:val="hy-AM"/>
        </w:rPr>
        <w:t>կետում կատարվող փոփոխություններին հետադարձ ուժի փոխանցումը պայմանավորված է Էկոնոմիկայի նախարարի 2023 թվականի դեկտեմբերի 13-ին հրապարակված պաշտոնական պարզաբանմամբ։</w:t>
      </w:r>
    </w:p>
    <w:p w14:paraId="7EA5C4C9" w14:textId="20DE2969" w:rsidR="0011239D" w:rsidRPr="008F274E" w:rsidRDefault="0011239D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Միաժամանակ, որոշման նախագծով առաջարկվող փոփոխությունների մեծամասնությունը ուղղված է միջոցառման կիրարկման արդյունավետությունը բարձրացնելուն և դրանց իրականացման անհրաժեշտությունը բխում է ֆինանսական կազմակերպությունների հետ քննարկումների արդյունք</w:t>
      </w:r>
      <w:r w:rsidR="00501A96">
        <w:rPr>
          <w:rFonts w:ascii="GHEA Grapalat" w:hAnsi="GHEA Grapalat" w:cs="Arial"/>
          <w:bCs/>
          <w:sz w:val="24"/>
          <w:szCs w:val="24"/>
          <w:lang w:val="hy-AM"/>
        </w:rPr>
        <w:t>ում բացահայտած կարիք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ներից։ </w:t>
      </w:r>
    </w:p>
    <w:p w14:paraId="79375EA2" w14:textId="1AB0FAE1" w:rsidR="00AA1BB8" w:rsidRDefault="00AA1BB8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Ներկայումս, գործող որոշմամբ, կազմակերպությունների փոխկապակցվածությունը դիտարկվում է Հայաստանի Հանրապետության հարկային օրենսգրքի 30-րդ հոդվածի համաձայն։ Միջոցառումն իրականացնող ֆինանսական կազմակերպությունների հետ քննարկումները ցույց են տալիս, որ թե</w:t>
      </w:r>
      <w:r w:rsidR="00501A96">
        <w:rPr>
          <w:rFonts w:ascii="GHEA Grapalat" w:hAnsi="GHEA Grapalat" w:cs="Arial"/>
          <w:bCs/>
          <w:sz w:val="24"/>
          <w:szCs w:val="24"/>
          <w:lang w:val="hy-AM"/>
        </w:rPr>
        <w:t>՛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կիրարկման տեսանկյունից և թե</w:t>
      </w:r>
      <w:r w:rsidR="00501A96">
        <w:rPr>
          <w:rFonts w:ascii="GHEA Grapalat" w:hAnsi="GHEA Grapalat" w:cs="Arial"/>
          <w:bCs/>
          <w:sz w:val="24"/>
          <w:szCs w:val="24"/>
          <w:lang w:val="hy-AM"/>
        </w:rPr>
        <w:t>՛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նշված դրույթի առավել արդյունավետ պահպանման տեսանկյունից </w:t>
      </w:r>
      <w:r w:rsidR="00912035">
        <w:rPr>
          <w:rFonts w:ascii="GHEA Grapalat" w:hAnsi="GHEA Grapalat" w:cs="Arial"/>
          <w:bCs/>
          <w:sz w:val="24"/>
          <w:szCs w:val="24"/>
          <w:lang w:val="hy-AM"/>
        </w:rPr>
        <w:t>ավելի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նպատակահարմար է կազմակերպությունների փոխկապակցվածությունը դիտարկել Հայաստանի Հանրապետության բանկերի և բանկային գործունեություն մասին օրենքի 8-րդ հոդվածի համաձայն։</w:t>
      </w:r>
    </w:p>
    <w:p w14:paraId="1250F636" w14:textId="237813FB" w:rsidR="00F343EC" w:rsidRDefault="004054E7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4054E7">
        <w:rPr>
          <w:rFonts w:ascii="GHEA Grapalat" w:hAnsi="GHEA Grapalat" w:cs="Arial"/>
          <w:sz w:val="24"/>
          <w:szCs w:val="24"/>
          <w:lang w:val="hy-AM"/>
        </w:rPr>
        <w:t>2</w:t>
      </w:r>
      <w:r w:rsidR="00F343EC" w:rsidRPr="004054E7">
        <w:rPr>
          <w:rFonts w:ascii="Cambria Math" w:hAnsi="Cambria Math" w:cs="Cambria Math"/>
          <w:sz w:val="24"/>
          <w:szCs w:val="24"/>
          <w:lang w:val="hy-AM"/>
        </w:rPr>
        <w:t>․</w:t>
      </w:r>
      <w:r w:rsidR="00F343EC" w:rsidRPr="004054E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Թվային տեխնոլոգիաները փոխակերպում են տնտեսությունը և դրանց ներդրումը գործունեության տարբեր ոլորտներում հանգեցնում է կազմակերպության արտադրողականության աճի։ Թվային տեխնոլոգիաները ընկերություններին տալիս են նոր գործիքներ՝ ապրանքներ և ծառայություններ նախագծելու, արտադրելու և վաճառելու  նպատակով: </w:t>
      </w:r>
      <w:r w:rsidR="00E87D4F">
        <w:rPr>
          <w:rFonts w:ascii="GHEA Grapalat" w:hAnsi="GHEA Grapalat" w:cs="Arial"/>
          <w:sz w:val="24"/>
          <w:szCs w:val="24"/>
          <w:lang w:val="hy-AM"/>
        </w:rPr>
        <w:t>Բիզնես գործընթացների թ</w:t>
      </w:r>
      <w:r w:rsidR="00F343EC">
        <w:rPr>
          <w:rFonts w:ascii="GHEA Grapalat" w:hAnsi="GHEA Grapalat" w:cs="Arial"/>
          <w:sz w:val="24"/>
          <w:szCs w:val="24"/>
          <w:lang w:val="hy-AM"/>
        </w:rPr>
        <w:t>վայ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նացման ծրագրային ապահովումը 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էապես կրճատում է մի շարք ծախսեր և դրական ազդեցություն ունենում արտադրողականության </w:t>
      </w:r>
      <w:r w:rsidR="00F343E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վրա։ Ուսումնասիրությունները ցույց են տալիս, որ այն կազմակերպությունները, որոնք ներդրում են կատարում </w:t>
      </w:r>
      <w:r w:rsidR="00E87D4F">
        <w:rPr>
          <w:rFonts w:ascii="GHEA Grapalat" w:hAnsi="GHEA Grapalat" w:cs="Arial"/>
          <w:sz w:val="24"/>
          <w:szCs w:val="24"/>
          <w:lang w:val="hy-AM"/>
        </w:rPr>
        <w:t>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</w:t>
      </w:r>
      <w:r w:rsidR="00E87D4F">
        <w:rPr>
          <w:rFonts w:ascii="GHEA Grapalat" w:hAnsi="GHEA Grapalat" w:cs="Arial"/>
          <w:sz w:val="24"/>
          <w:szCs w:val="24"/>
          <w:lang w:val="hy-AM"/>
        </w:rPr>
        <w:t>ման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 համար, հետագայում գրանցում են արտադրողականության համեմատաբար առավել մեծ աճ։ Հաշվի առնելով աշխարհում թվայնացման արագ տեմպերը, կարևոր է նշել, որ այն կազմակերպությունները, որոնք հետ են մնում այս գործընթացից, դադարում են մրցակցային լինել արտադրողականության առումով։ </w:t>
      </w:r>
    </w:p>
    <w:p w14:paraId="47024365" w14:textId="2435FA3B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08A73961" wp14:editId="1969267B">
            <wp:simplePos x="0" y="0"/>
            <wp:positionH relativeFrom="column">
              <wp:posOffset>113665</wp:posOffset>
            </wp:positionH>
            <wp:positionV relativeFrom="paragraph">
              <wp:posOffset>2241550</wp:posOffset>
            </wp:positionV>
            <wp:extent cx="6309360" cy="3346450"/>
            <wp:effectExtent l="0" t="0" r="15240" b="6350"/>
            <wp:wrapTight wrapText="bothSides">
              <wp:wrapPolygon edited="0">
                <wp:start x="0" y="0"/>
                <wp:lineTo x="0" y="21518"/>
                <wp:lineTo x="21587" y="21518"/>
                <wp:lineTo x="21587" y="0"/>
                <wp:lineTo x="0" y="0"/>
              </wp:wrapPolygon>
            </wp:wrapTight>
            <wp:docPr id="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HEA Grapalat" w:hAnsi="GHEA Grapalat" w:cs="Arial"/>
          <w:sz w:val="24"/>
          <w:szCs w:val="24"/>
          <w:lang w:val="hy-AM"/>
        </w:rPr>
        <w:t>Գրաֆիկ 2-ում պատկերված է ՏՀԶԿ (OECD) ուսումնասիրությունը ՏՀԶԿ երկրներում արտադրողականության աճի՝ կախված ոլորտում թվային տեխնոլոգիաների օգտագործման ինտենսիվությունից։ Ուսումնասիրությունից ակնհայտ է դառնում, որ բարձր արտադրողականության աճ ունենալու նպատակով անխուսափելի է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 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ապահովմ</w:t>
      </w:r>
      <w:r w:rsidR="00E87D4F">
        <w:rPr>
          <w:rFonts w:ascii="GHEA Grapalat" w:hAnsi="GHEA Grapalat" w:cs="Arial"/>
          <w:sz w:val="24"/>
          <w:szCs w:val="24"/>
          <w:lang w:val="hy-AM"/>
        </w:rPr>
        <w:t>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նպատակով ՀՀ-ում գործող կազմակերպությունների  համար ֆինանսական </w:t>
      </w:r>
      <w:r w:rsidR="00746243">
        <w:rPr>
          <w:rFonts w:ascii="GHEA Grapalat" w:hAnsi="GHEA Grapalat" w:cs="Arial"/>
          <w:sz w:val="24"/>
          <w:szCs w:val="24"/>
          <w:lang w:val="hy-AM"/>
        </w:rPr>
        <w:t>միջոցների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մատչելի հնարավորությունների ստեղծումը, որը կարող է միջնաժամկետ </w:t>
      </w:r>
      <w:r w:rsidR="00746243">
        <w:rPr>
          <w:rFonts w:ascii="GHEA Grapalat" w:hAnsi="GHEA Grapalat" w:cs="Arial"/>
          <w:sz w:val="24"/>
          <w:szCs w:val="24"/>
          <w:lang w:val="hy-AM"/>
        </w:rPr>
        <w:t>ժամանակահատվածում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տնտեսական ներուժը դարձնել երկնիշ թիվ։</w:t>
      </w:r>
    </w:p>
    <w:p w14:paraId="0250B858" w14:textId="5174A1A3" w:rsidR="00F343EC" w:rsidRDefault="0074624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 առմամբ, կազմակերպությունների թվայնացումը հանգեցնում է մի շարք դրական փոփոխությունների։ Թվային տեխնոլոգիաների շնորհիվ կառավարման գործընթացները պարզեցվում և հեշտանում են, ինչը հանգեցնում է կազմակերպությունների արտադրողականության աճի, քանի որ հնարավոր է լինում արտադրական/ծառայությունների մատուցման գործընթացը կազմակերպել առավել արագ </w:t>
      </w:r>
      <w:r w:rsidR="00F343E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և քիչ </w:t>
      </w:r>
      <w:r>
        <w:rPr>
          <w:rFonts w:ascii="GHEA Grapalat" w:hAnsi="GHEA Grapalat" w:cs="Arial"/>
          <w:sz w:val="24"/>
          <w:szCs w:val="24"/>
          <w:lang w:val="hy-AM"/>
        </w:rPr>
        <w:t>ռեսուսրներով</w:t>
      </w:r>
      <w:r w:rsidR="00F343EC">
        <w:rPr>
          <w:rFonts w:ascii="GHEA Grapalat" w:hAnsi="GHEA Grapalat" w:cs="Arial"/>
          <w:sz w:val="24"/>
          <w:szCs w:val="24"/>
          <w:lang w:val="hy-AM"/>
        </w:rPr>
        <w:t>։ Առանձին կազմակերպությունների արտադրողականության աճը հանգեցնում է ընդհանուր տնտեսական աճի և տնտեսության մեջ մեկ միավորի համար ավելի մեծ ավելացված արժեքի։</w:t>
      </w:r>
    </w:p>
    <w:p w14:paraId="6DBCC03D" w14:textId="12C572F2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Այս </w:t>
      </w:r>
      <w:r w:rsidR="00746243">
        <w:rPr>
          <w:rFonts w:ascii="GHEA Grapalat" w:hAnsi="GHEA Grapalat" w:cs="Arial"/>
          <w:sz w:val="24"/>
          <w:szCs w:val="24"/>
          <w:lang w:val="hy-AM"/>
        </w:rPr>
        <w:t>համատեքստում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անհրաժեշտ է անդրադառնալ նաև մատակարարման շղթաների արդյունավետության բարձրացմանը, քանի որ թվային տեխնոլոգիաները հնարավորություն են տալիս առավել արդյունավետ կառավարել մատակարարման շղթաները՝ գույքագրումը, պահանջարկի </w:t>
      </w:r>
      <w:r w:rsidR="00746243">
        <w:rPr>
          <w:rFonts w:ascii="GHEA Grapalat" w:hAnsi="GHEA Grapalat" w:cs="Arial"/>
          <w:sz w:val="24"/>
          <w:szCs w:val="24"/>
          <w:lang w:val="hy-AM"/>
        </w:rPr>
        <w:t>կանխատեսումը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746243">
        <w:rPr>
          <w:rFonts w:ascii="GHEA Grapalat" w:hAnsi="GHEA Grapalat" w:cs="Arial"/>
          <w:sz w:val="24"/>
          <w:szCs w:val="24"/>
          <w:lang w:val="hy-AM"/>
        </w:rPr>
        <w:t>լոգիստիկայի</w:t>
      </w:r>
      <w:r>
        <w:rPr>
          <w:rFonts w:ascii="GHEA Grapalat" w:hAnsi="GHEA Grapalat" w:cs="Arial"/>
          <w:sz w:val="24"/>
          <w:szCs w:val="24"/>
          <w:lang w:val="hy-AM"/>
        </w:rPr>
        <w:t xml:space="preserve"> օպտիմալացումը ներառյալ։ Այս ամենը նվազեցնում է կազմակերպության ծախսերը, էականորեն կրճատում արտադրության արդյունքում առաջացող թափոնները</w:t>
      </w:r>
      <w:r w:rsidR="008C733F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733F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>նչ</w:t>
      </w:r>
      <w:r w:rsidR="008C733F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 օգուտ է բերում ոչ միայն կազմակերպություններին, այլ նաև ողջ էկոհամակարգին՝ հանգեցնելով ընդհանուր տնտեսական արդյունավետության։</w:t>
      </w:r>
    </w:p>
    <w:p w14:paraId="7D27CDCF" w14:textId="5693D4CF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Մանավանդ Հայաստանում գործունեություն իրականացնող կազմակերպությունների, մասնավորապես</w:t>
      </w:r>
      <w:r w:rsidR="008C733F"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="Arial"/>
          <w:sz w:val="24"/>
          <w:szCs w:val="24"/>
          <w:lang w:val="hy-AM"/>
        </w:rPr>
        <w:t xml:space="preserve"> ՓՄՁ սուբյեկտների համար թվայնացումը նոր հնարավորություններ է ստեղծում հասնել ավելի լայն շուկաների և ընդլայնել հաճախորդների բազան։ </w:t>
      </w:r>
      <w:r w:rsidR="00E605F2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առևտրի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 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ապահովում</w:t>
      </w:r>
      <w:r w:rsidR="00E87D4F"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հնարավորություն </w:t>
      </w:r>
      <w:r w:rsidR="00E87D4F"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="Arial"/>
          <w:sz w:val="24"/>
          <w:szCs w:val="24"/>
          <w:lang w:val="hy-AM"/>
        </w:rPr>
        <w:t xml:space="preserve"> տալիս կազմակերպություններին մուտք գործել միջազգային շուկաներ և խթանում են տնտեսական ներգրավվածությունը։</w:t>
      </w:r>
    </w:p>
    <w:p w14:paraId="7B0F7375" w14:textId="5038173B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Բիզնես գործընթացների թվայնացման և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 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ապահովմ</w:t>
      </w:r>
      <w:r w:rsidR="00E87D4F">
        <w:rPr>
          <w:rFonts w:ascii="GHEA Grapalat" w:hAnsi="GHEA Grapalat" w:cs="Arial"/>
          <w:sz w:val="24"/>
          <w:szCs w:val="24"/>
          <w:lang w:val="hy-AM"/>
        </w:rPr>
        <w:t>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շնորհիվ հնարավոր է լինում անցում կատարել տվյալների վրա հիմնված որոշումների կայացմանը, քանի որ ներկայումս գործող թվային </w:t>
      </w:r>
      <w:r w:rsidR="00746243">
        <w:rPr>
          <w:rFonts w:ascii="GHEA Grapalat" w:hAnsi="GHEA Grapalat" w:cs="Arial"/>
          <w:sz w:val="24"/>
          <w:szCs w:val="24"/>
          <w:lang w:val="hy-AM"/>
        </w:rPr>
        <w:t>խորագրերը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6243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են տալիս հավաքագրել հսկայական քանակությամբ տեղեկատվություն, վերլուծել դրանք և դրանց հիման վրա որոշումներ կայացնել, ինչպես նաև մշակել կազմակերպության երկարաժամկետ զարգացման ռազմավարությունը։</w:t>
      </w:r>
    </w:p>
    <w:p w14:paraId="530452A7" w14:textId="77777777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Կազմակերպությունների արտադրողականությունը բարձրացնելու և բիզնես գործընթացները օպտիմալացնելու նպատակով միջազգային ընդունված պրակտիկա է այդ գործընթացներում փորձագետների ներգրավումը, ինչը միջնաժամկետում ունենում է դրական ազդեցություն կազմակերպության ծախսերի կրճատման, արտադրանքի և ծառայությունների որակի բարձրացման տեսանկյունից։ </w:t>
      </w:r>
    </w:p>
    <w:p w14:paraId="5B55371F" w14:textId="6C14E354" w:rsidR="00213EEA" w:rsidRPr="00414106" w:rsidRDefault="00213EEA" w:rsidP="00CE7E21">
      <w:pPr>
        <w:shd w:val="clear" w:color="auto" w:fill="FFFFFF"/>
        <w:spacing w:after="0" w:line="360" w:lineRule="auto"/>
        <w:ind w:left="0" w:firstLine="360"/>
        <w:rPr>
          <w:rFonts w:ascii="Cambria Math" w:hAnsi="Cambria Math" w:cs="Arial"/>
          <w:sz w:val="24"/>
          <w:szCs w:val="24"/>
          <w:lang w:val="hy-AM"/>
        </w:rPr>
      </w:pPr>
      <w:r w:rsidRPr="00414106">
        <w:rPr>
          <w:rFonts w:ascii="GHEA Grapalat" w:hAnsi="GHEA Grapalat" w:cs="Arial"/>
          <w:sz w:val="24"/>
          <w:szCs w:val="24"/>
          <w:lang w:val="hy-AM"/>
        </w:rPr>
        <w:t xml:space="preserve">Միջոցառման շրջանակներում նախատեսվում է </w:t>
      </w:r>
      <w:r w:rsidR="00E87D4F">
        <w:rPr>
          <w:rFonts w:ascii="GHEA Grapalat" w:hAnsi="GHEA Grapalat" w:cs="Arial"/>
          <w:sz w:val="24"/>
          <w:szCs w:val="24"/>
          <w:lang w:val="hy-AM"/>
        </w:rPr>
        <w:t>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ման </w:t>
      </w:r>
      <w:r w:rsidRPr="00414106">
        <w:rPr>
          <w:rFonts w:ascii="GHEA Grapalat" w:hAnsi="GHEA Grapalat" w:cs="Arial"/>
          <w:sz w:val="24"/>
          <w:szCs w:val="24"/>
          <w:lang w:val="hy-AM"/>
        </w:rPr>
        <w:t xml:space="preserve">և արտարողականության աճի նպատակով խորհրդատվությունների տրամադրման նպատակով ներգրավվող վարկերի/լիզինգի </w:t>
      </w:r>
      <w:r w:rsidRPr="00414106">
        <w:rPr>
          <w:rFonts w:ascii="GHEA Grapalat" w:hAnsi="GHEA Grapalat" w:cs="Arial"/>
          <w:sz w:val="24"/>
          <w:szCs w:val="24"/>
          <w:lang w:val="hy-AM"/>
        </w:rPr>
        <w:lastRenderedPageBreak/>
        <w:t>սուբսիդավորվող առավելագույն չափ է սահմանվել 400 մլն դրամը՝ հաշվի առնելով այն հանգամանքը, որ միջին չափի կազմակերպություններում</w:t>
      </w:r>
      <w:r w:rsidR="00E87D4F">
        <w:rPr>
          <w:rFonts w:ascii="GHEA Grapalat" w:hAnsi="GHEA Grapalat" w:cs="Arial"/>
          <w:sz w:val="24"/>
          <w:szCs w:val="24"/>
          <w:lang w:val="hy-AM"/>
        </w:rPr>
        <w:t xml:space="preserve"> բ</w:t>
      </w:r>
      <w:r w:rsidR="00E87D4F">
        <w:rPr>
          <w:rFonts w:ascii="GHEA Grapalat" w:hAnsi="GHEA Grapalat" w:cs="Arial"/>
          <w:sz w:val="24"/>
          <w:szCs w:val="24"/>
          <w:lang w:val="hy-AM"/>
        </w:rPr>
        <w:t>իզնես գործընթացների թվայնացման ծրագրային ապահովում</w:t>
      </w:r>
      <w:r w:rsidR="00E87D4F">
        <w:rPr>
          <w:rFonts w:ascii="GHEA Grapalat" w:hAnsi="GHEA Grapalat" w:cs="Arial"/>
          <w:sz w:val="24"/>
          <w:szCs w:val="24"/>
          <w:lang w:val="hy-AM"/>
        </w:rPr>
        <w:t>ը</w:t>
      </w:r>
      <w:r w:rsidRPr="00414106">
        <w:rPr>
          <w:rFonts w:ascii="GHEA Grapalat" w:hAnsi="GHEA Grapalat" w:cs="Arial"/>
          <w:sz w:val="24"/>
          <w:szCs w:val="24"/>
          <w:lang w:val="hy-AM"/>
        </w:rPr>
        <w:t xml:space="preserve"> (օրինակ CRM, ERP համակարգեր), դրանց հետ կապված խորհրդատվութ</w:t>
      </w:r>
      <w:r w:rsidR="007A0D37" w:rsidRPr="00414106">
        <w:rPr>
          <w:rFonts w:ascii="GHEA Grapalat" w:hAnsi="GHEA Grapalat" w:cs="Arial"/>
          <w:sz w:val="24"/>
          <w:szCs w:val="24"/>
          <w:lang w:val="hy-AM"/>
        </w:rPr>
        <w:t>յան ծախսերը համաձայն կատարված ուսումնասիրությունների կազմելու են 500,000</w:t>
      </w:r>
      <w:r w:rsidR="007A0D37" w:rsidRPr="00414106">
        <w:rPr>
          <w:rFonts w:ascii="Cambria Math" w:hAnsi="Cambria Math" w:cs="Cambria Math"/>
          <w:sz w:val="24"/>
          <w:szCs w:val="24"/>
          <w:lang w:val="hy-AM"/>
        </w:rPr>
        <w:t>․</w:t>
      </w:r>
      <w:r w:rsidR="007A0D37" w:rsidRPr="00414106">
        <w:rPr>
          <w:rFonts w:ascii="GHEA Grapalat" w:hAnsi="GHEA Grapalat" w:cs="Arial"/>
          <w:sz w:val="24"/>
          <w:szCs w:val="24"/>
          <w:lang w:val="hy-AM"/>
        </w:rPr>
        <w:t>00 – 2,000,000.00 եվրո։ Նշված գործընթացները խրախուսելու նպատակով սուբսիդավորման առավելագույն գումար է սահմանվել 400 մլն դրամը։</w:t>
      </w:r>
    </w:p>
    <w:p w14:paraId="335E1C58" w14:textId="51D9BE53" w:rsidR="00F343EC" w:rsidRDefault="00F343EC" w:rsidP="00CE7E21">
      <w:pPr>
        <w:pStyle w:val="ListParagraph"/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Որպես ամփոփում</w:t>
      </w:r>
      <w:r w:rsidR="008C733F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ստորև ներկայացվում է ՏՀԶԿ կողմից իրականացված՝ արտադրողականության վրա ազդեցություն ունեցող գործոնների ուսումնասիրությունը, համաձայն որի աշխատակիցների վերապատրաստումը կիրառումը մեծապես ազդում է տնտեսության արտադրողականության բարձրացման վրա։</w:t>
      </w:r>
    </w:p>
    <w:p w14:paraId="3C7220C1" w14:textId="77777777" w:rsidR="00F343EC" w:rsidRDefault="00F343EC" w:rsidP="00CE7E21">
      <w:pPr>
        <w:pStyle w:val="ListParagraph"/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</w:p>
    <w:p w14:paraId="015F5C37" w14:textId="64EB9AF3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0" locked="0" layoutInCell="1" allowOverlap="1" wp14:anchorId="3920B17E" wp14:editId="493DDA46">
            <wp:simplePos x="0" y="0"/>
            <wp:positionH relativeFrom="column">
              <wp:posOffset>42545</wp:posOffset>
            </wp:positionH>
            <wp:positionV relativeFrom="paragraph">
              <wp:posOffset>-6350</wp:posOffset>
            </wp:positionV>
            <wp:extent cx="6309360" cy="4157345"/>
            <wp:effectExtent l="0" t="0" r="15240" b="14605"/>
            <wp:wrapTopAndBottom/>
            <wp:docPr id="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HEA Grapalat" w:hAnsi="GHEA Grapalat" w:cs="Arial"/>
          <w:sz w:val="24"/>
          <w:szCs w:val="24"/>
          <w:lang w:val="hy-AM"/>
        </w:rPr>
        <w:tab/>
      </w:r>
    </w:p>
    <w:p w14:paraId="42616420" w14:textId="2E7BC433" w:rsidR="00F343EC" w:rsidRDefault="00F343EC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Ամփոփելով՝ հարկ է նշել, որ նորարարական զարգացումը և արտադրողականության աճը անհնար է իրականացնել բարձր որակի սարքերի, սարքավորումների, կապիտալ շինարարության անհասանելիության պայմաններում, սակայն նույնիսկ դրանց առկայության դեպքում սուր անհրաժեշտություն է ծագում մասնագետների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>վերաորակավորման, և վերջիններիս՝ տնտեսության առկա պահանջներին համապատասխանության։</w:t>
      </w:r>
    </w:p>
    <w:p w14:paraId="6B9E4AA2" w14:textId="77777777" w:rsidR="00732433" w:rsidRPr="000A4911" w:rsidRDefault="00732433" w:rsidP="00CE7E21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Կարգավորման առարկան և բնույթը</w:t>
      </w:r>
    </w:p>
    <w:p w14:paraId="32A20B89" w14:textId="77777777" w:rsidR="00732433" w:rsidRPr="007377E4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>Նախագծով առաջարկվում 355-Լ որոշման մեջ կատարել հետևյալ փոփոխությունները</w:t>
      </w:r>
      <w:r w:rsidRPr="007377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E8C05D0" w14:textId="470C92F2" w:rsidR="00732433" w:rsidRDefault="007377E4" w:rsidP="00CE7E21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>R 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ԱՌ</w:t>
      </w: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>«ՄՇԱԿՈՒՅԹ, ԶՎԱՐՃՈՒԹՅՈ</w:t>
      </w:r>
      <w:r w:rsidR="00746243">
        <w:rPr>
          <w:rFonts w:ascii="GHEA Grapalat" w:eastAsia="Times New Roman" w:hAnsi="GHEA Grapalat" w:cs="GHEA Grapalat"/>
          <w:sz w:val="24"/>
          <w:szCs w:val="24"/>
          <w:lang w:val="hy-AM"/>
        </w:rPr>
        <w:t>ՒՆՆԵՐ ԵՎ ՀԱՆԳԻՍՏ» ոլորտի փոխարեն</w:t>
      </w: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աջակցություն տրամադրել բացառապես R90 «Ստեղծագործական, արվեստի և հանդիսադիր ներկայացումների կազմակերպման բնագավառում գործունեություն» ոլորտում գործունեություն իրականացնող տնտեսավարողներին,</w:t>
      </w:r>
    </w:p>
    <w:p w14:paraId="471FCFF4" w14:textId="4692010C" w:rsidR="00934E91" w:rsidRDefault="00934E91" w:rsidP="00CE7E21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Միջոցառման </w:t>
      </w:r>
      <w:r w:rsidR="00377BCD">
        <w:rPr>
          <w:rFonts w:ascii="GHEA Grapalat" w:eastAsia="Times New Roman" w:hAnsi="GHEA Grapalat" w:cs="GHEA Grapalat"/>
          <w:sz w:val="24"/>
          <w:szCs w:val="24"/>
          <w:lang w:val="hy-AM"/>
        </w:rPr>
        <w:t>կիրարկման արդյունավետությունը բարձրացնելու նպատակով իրականացնել որոշակի փոփոխություններ</w:t>
      </w:r>
      <w:r w:rsidR="00377BCD">
        <w:rPr>
          <w:rFonts w:ascii="Cambria Math" w:eastAsia="Times New Roman" w:hAnsi="Cambria Math" w:cs="GHEA Grapalat"/>
          <w:sz w:val="24"/>
          <w:szCs w:val="24"/>
          <w:lang w:val="hy-AM"/>
        </w:rPr>
        <w:t>,</w:t>
      </w:r>
    </w:p>
    <w:p w14:paraId="5CC7F2DF" w14:textId="76BF444E" w:rsidR="00732433" w:rsidRPr="001B352E" w:rsidRDefault="007377E4" w:rsidP="00CE7E21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7377E4">
        <w:rPr>
          <w:rFonts w:ascii="GHEA Grapalat" w:eastAsia="Times New Roman" w:hAnsi="GHEA Grapalat" w:cs="GHEA Grapalat"/>
          <w:sz w:val="24"/>
          <w:szCs w:val="24"/>
          <w:lang w:val="hy-AM"/>
        </w:rPr>
        <w:t>Տնտեսավարողների փոխկապակցվածությունը դիտարկել Հայաստանի Հանրապետության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բանկերի և բանկային գործունեության օրենքի 8-րդ հոդվածի համաձայն</w:t>
      </w:r>
      <w:r w:rsidR="00F343EC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18AF764C" w14:textId="4BD37362" w:rsidR="005E1E93" w:rsidRPr="005E1E93" w:rsidRDefault="009E4760" w:rsidP="00D00F86">
      <w:pPr>
        <w:pStyle w:val="ListParagraph"/>
        <w:numPr>
          <w:ilvl w:val="0"/>
          <w:numId w:val="10"/>
        </w:numPr>
        <w:spacing w:line="360" w:lineRule="auto"/>
        <w:ind w:left="0" w:firstLine="360"/>
        <w:rPr>
          <w:rFonts w:ascii="GHEA Grapalat" w:eastAsia="Times New Roman" w:hAnsi="GHEA Grapalat" w:cs="Gigi"/>
          <w:sz w:val="24"/>
          <w:szCs w:val="24"/>
          <w:lang w:val="hy-AM"/>
        </w:rPr>
      </w:pPr>
      <w:r w:rsidRPr="005E1E93">
        <w:rPr>
          <w:rFonts w:ascii="GHEA Grapalat" w:hAnsi="GHEA Grapalat" w:cs="Arial"/>
          <w:sz w:val="24"/>
          <w:szCs w:val="24"/>
          <w:lang w:val="hy-AM"/>
        </w:rPr>
        <w:t>Մ</w:t>
      </w:r>
      <w:r w:rsidR="00F343EC" w:rsidRPr="005E1E93">
        <w:rPr>
          <w:rFonts w:ascii="GHEA Grapalat" w:hAnsi="GHEA Grapalat" w:cs="Arial"/>
          <w:sz w:val="24"/>
          <w:szCs w:val="24"/>
          <w:lang w:val="hy-AM"/>
        </w:rPr>
        <w:t xml:space="preserve">իջոցառման շրջանակներում օժանդակություն տրամադրել կազմակերպություններին </w:t>
      </w:r>
      <w:r w:rsidR="00F343EC" w:rsidRPr="005E1E93">
        <w:rPr>
          <w:rFonts w:ascii="GHEA Grapalat" w:eastAsia="Times New Roman" w:hAnsi="GHEA Grapalat"/>
          <w:sz w:val="24"/>
          <w:szCs w:val="24"/>
          <w:lang w:val="hy-AM"/>
        </w:rPr>
        <w:t>ընկերության բիզնես գործընթացների թվայնացման</w:t>
      </w:r>
      <w:r w:rsidR="0016348C">
        <w:rPr>
          <w:rFonts w:ascii="GHEA Grapalat" w:eastAsia="Times New Roman" w:hAnsi="GHEA Grapalat"/>
          <w:sz w:val="24"/>
          <w:szCs w:val="24"/>
          <w:lang w:val="hy-AM"/>
        </w:rPr>
        <w:t xml:space="preserve"> ապահովման</w:t>
      </w:r>
      <w:r w:rsidR="00F343EC" w:rsidRPr="005E1E93">
        <w:rPr>
          <w:rFonts w:ascii="GHEA Grapalat" w:eastAsia="Times New Roman" w:hAnsi="GHEA Grapalat"/>
          <w:sz w:val="24"/>
          <w:szCs w:val="24"/>
          <w:lang w:val="hy-AM"/>
        </w:rPr>
        <w:t xml:space="preserve"> և ընկերության արտադրողականության նպատակով խորհրդատվական ծառայությունների և փորձագետների ներգրավման նպատակով</w:t>
      </w:r>
      <w:r w:rsidR="005E1E93" w:rsidRPr="005E1E93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03C03CA0" w14:textId="77777777" w:rsidR="005E1E93" w:rsidRPr="005E1E93" w:rsidRDefault="005E1E93" w:rsidP="005E1E93">
      <w:pPr>
        <w:pStyle w:val="ListParagraph"/>
        <w:spacing w:line="360" w:lineRule="auto"/>
        <w:ind w:left="360" w:firstLine="0"/>
        <w:rPr>
          <w:rFonts w:ascii="GHEA Grapalat" w:eastAsia="Times New Roman" w:hAnsi="GHEA Grapalat" w:cs="Gigi"/>
          <w:sz w:val="24"/>
          <w:szCs w:val="24"/>
          <w:lang w:val="hy-AM"/>
        </w:rPr>
      </w:pPr>
    </w:p>
    <w:p w14:paraId="6266FD11" w14:textId="77777777" w:rsidR="00732433" w:rsidRPr="000A4911" w:rsidRDefault="00732433" w:rsidP="00CE7E21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075AB5" w14:textId="77777777" w:rsidR="00732433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Ներկայացված նախագիծը մշակվել է ՀՀ էկոնոմիկայի նախարարության կողմից։</w:t>
      </w:r>
    </w:p>
    <w:p w14:paraId="492F89F3" w14:textId="77777777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</w:p>
    <w:p w14:paraId="3FCC11F5" w14:textId="77777777" w:rsidR="00732433" w:rsidRPr="000A4911" w:rsidRDefault="00732433" w:rsidP="00CE7E21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</w:p>
    <w:p w14:paraId="12D9C650" w14:textId="77777777" w:rsidR="00732433" w:rsidRPr="000A4911" w:rsidRDefault="00732433" w:rsidP="00CE7E21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Ծրագրի արդյունքում  որակական առումով կունենանք՝</w:t>
      </w:r>
    </w:p>
    <w:p w14:paraId="6D2FD11C" w14:textId="2DF5765F" w:rsidR="00732433" w:rsidRDefault="00732433" w:rsidP="00CE7E21">
      <w:pPr>
        <w:numPr>
          <w:ilvl w:val="0"/>
          <w:numId w:val="2"/>
        </w:numPr>
        <w:spacing w:line="360" w:lineRule="auto"/>
        <w:ind w:left="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տարեկան առնվազն 1000 նոր/</w:t>
      </w:r>
      <w:r w:rsidR="00746243">
        <w:rPr>
          <w:rFonts w:ascii="GHEA Grapalat" w:hAnsi="GHEA Grapalat" w:cs="Arial"/>
          <w:sz w:val="24"/>
          <w:szCs w:val="24"/>
          <w:lang w:val="hy-AM"/>
        </w:rPr>
        <w:t>չօգտագործված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մեքենա-սարքավորումների ներդրում ձեռնարկություններում,</w:t>
      </w:r>
    </w:p>
    <w:p w14:paraId="5E7617BB" w14:textId="17A00C22" w:rsidR="00732433" w:rsidRDefault="00732433" w:rsidP="00CE7E21">
      <w:pPr>
        <w:numPr>
          <w:ilvl w:val="0"/>
          <w:numId w:val="2"/>
        </w:numPr>
        <w:spacing w:line="360" w:lineRule="auto"/>
        <w:ind w:left="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մշակող արդյունաբերության ոլորտում գործունեություն իրականացնող կազմակերպությունների արտադրական տարածքների ընդլայնում, արտադրողականության և տեխնոլոգիական հագեցվածության բարձրացում</w:t>
      </w:r>
      <w:r w:rsidR="000E71E2">
        <w:rPr>
          <w:rFonts w:ascii="GHEA Grapalat" w:hAnsi="GHEA Grapalat" w:cs="Arial"/>
          <w:sz w:val="24"/>
          <w:szCs w:val="24"/>
          <w:lang w:val="hy-AM"/>
        </w:rPr>
        <w:t>,</w:t>
      </w:r>
    </w:p>
    <w:p w14:paraId="44C49CA7" w14:textId="4F4C868B" w:rsidR="00F343EC" w:rsidRDefault="000E71E2" w:rsidP="00CE7E21">
      <w:pPr>
        <w:pStyle w:val="ListParagraph"/>
        <w:numPr>
          <w:ilvl w:val="0"/>
          <w:numId w:val="2"/>
        </w:num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տ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արեկան առնվազն 400 բիզնես սուբյեկտներին բիզնես գործընթացների օպտիմալացման համար </w:t>
      </w:r>
      <w:r w:rsidR="00746243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F343EC">
        <w:rPr>
          <w:rFonts w:ascii="GHEA Grapalat" w:hAnsi="GHEA Grapalat" w:cs="Arial"/>
          <w:sz w:val="24"/>
          <w:szCs w:val="24"/>
          <w:lang w:val="hy-AM"/>
        </w:rPr>
        <w:t xml:space="preserve"> խորհրդատվական ծառայությունների ձեռքբերման համար ֆինանսական օժանդակություն,</w:t>
      </w:r>
    </w:p>
    <w:p w14:paraId="45BA9965" w14:textId="60913356" w:rsidR="00F343EC" w:rsidRDefault="00F343EC" w:rsidP="00CE7E21">
      <w:pPr>
        <w:pStyle w:val="ListParagraph"/>
        <w:numPr>
          <w:ilvl w:val="0"/>
          <w:numId w:val="2"/>
        </w:num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71E2">
        <w:rPr>
          <w:rFonts w:ascii="GHEA Grapalat" w:hAnsi="GHEA Grapalat" w:cs="Arial"/>
          <w:sz w:val="24"/>
          <w:szCs w:val="24"/>
          <w:lang w:val="hy-AM"/>
        </w:rPr>
        <w:t>տ</w:t>
      </w:r>
      <w:r>
        <w:rPr>
          <w:rFonts w:ascii="GHEA Grapalat" w:hAnsi="GHEA Grapalat" w:cs="Arial"/>
          <w:sz w:val="24"/>
          <w:szCs w:val="24"/>
          <w:lang w:val="hy-AM"/>
        </w:rPr>
        <w:t>արեկան 400 բիզնես սուբյեկտի ֆինանսական աջակցություն, ով անցում կկատարի էլեկտրոնային կառավարման համակարգերի ներդրմանը բիզնես գործընթացներում</w:t>
      </w:r>
      <w:r w:rsidR="00F402DE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37944CF" w14:textId="77777777" w:rsidR="00732433" w:rsidRDefault="00732433" w:rsidP="00CE7E21">
      <w:pPr>
        <w:spacing w:line="360" w:lineRule="auto"/>
        <w:ind w:left="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903D23">
        <w:rPr>
          <w:rFonts w:ascii="GHEA Grapalat" w:hAnsi="GHEA Grapalat" w:cs="Arial"/>
          <w:sz w:val="24"/>
          <w:szCs w:val="24"/>
          <w:lang w:val="hy-AM"/>
        </w:rPr>
        <w:t>Ծրագրի գործողության առաջին տարվա արդյունքներից ելնելով հնարավորություն կստեղծվի ձևավորել առաջարկություններ` ծրագրի ծավալների վերանայման և ծրագրի իրականացման ընթացքի արդյունավետության բարձրացման ուղղությամբ:</w:t>
      </w:r>
    </w:p>
    <w:p w14:paraId="14E033AA" w14:textId="76AAA0B3" w:rsidR="00F343EC" w:rsidRDefault="00F343EC" w:rsidP="00CE7E21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</w:p>
    <w:p w14:paraId="7E3851BB" w14:textId="5AC260D9" w:rsidR="00EA6B3F" w:rsidRDefault="00EA6B3F" w:rsidP="00CE7E21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Ֆինանսական գնահատական</w:t>
      </w:r>
    </w:p>
    <w:p w14:paraId="192A48A2" w14:textId="6975C6F3" w:rsidR="00EA6B3F" w:rsidRDefault="00EA6B3F" w:rsidP="00CE7E21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Cambria Math" w:hAnsi="Cambria Math" w:cs="Arial"/>
          <w:sz w:val="24"/>
          <w:szCs w:val="24"/>
          <w:lang w:val="hy-AM"/>
        </w:rPr>
        <w:t xml:space="preserve">․ </w:t>
      </w:r>
      <w:r>
        <w:rPr>
          <w:rFonts w:ascii="GHEA Grapalat" w:hAnsi="GHEA Grapalat" w:cs="Arial"/>
          <w:sz w:val="24"/>
          <w:szCs w:val="24"/>
          <w:lang w:val="hy-AM"/>
        </w:rPr>
        <w:t>Կանխատեսվում է</w:t>
      </w:r>
      <w:r w:rsidRPr="00486183">
        <w:rPr>
          <w:rFonts w:ascii="GHEA Grapalat" w:hAnsi="GHEA Grapalat" w:cs="Arial"/>
          <w:sz w:val="24"/>
          <w:szCs w:val="24"/>
          <w:lang w:val="hy-AM"/>
        </w:rPr>
        <w:t>, որ միջոցառման իրականացման ընթացքում միջոցառման շրջանակներում վարկ/լիզինգ տրամադրվելու է առնվազն 400 շահառուի։ Շուկայի ուսումնասիրությունները ցույց են տալիս, որ 1 տնտեսավարողի վարկային/լիզինգային միջին պորտֆելը չի գերազանցի 35 մլն դրամը</w:t>
      </w:r>
      <w:r w:rsidR="00486183" w:rsidRPr="00486183">
        <w:rPr>
          <w:rFonts w:ascii="GHEA Grapalat" w:hAnsi="GHEA Grapalat" w:cs="Arial"/>
          <w:sz w:val="24"/>
          <w:szCs w:val="24"/>
          <w:lang w:val="hy-AM"/>
        </w:rPr>
        <w:t>։</w:t>
      </w:r>
    </w:p>
    <w:tbl>
      <w:tblPr>
        <w:tblW w:w="10182" w:type="dxa"/>
        <w:tblLook w:val="04A0" w:firstRow="1" w:lastRow="0" w:firstColumn="1" w:lastColumn="0" w:noHBand="0" w:noVBand="1"/>
      </w:tblPr>
      <w:tblGrid>
        <w:gridCol w:w="1195"/>
        <w:gridCol w:w="981"/>
        <w:gridCol w:w="1507"/>
        <w:gridCol w:w="1595"/>
        <w:gridCol w:w="1621"/>
        <w:gridCol w:w="1161"/>
        <w:gridCol w:w="2122"/>
      </w:tblGrid>
      <w:tr w:rsidR="0046641C" w:rsidRPr="0046641C" w14:paraId="460551E1" w14:textId="77777777" w:rsidTr="0046641C">
        <w:trPr>
          <w:trHeight w:val="337"/>
        </w:trPr>
        <w:tc>
          <w:tcPr>
            <w:tcW w:w="101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DDD72" w14:textId="30B771BA" w:rsidR="0046641C" w:rsidRPr="0046641C" w:rsidRDefault="0046641C" w:rsidP="00746243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/</w:t>
            </w:r>
            <w:proofErr w:type="spellStart"/>
            <w:r w:rsidR="0074624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Հազ</w:t>
            </w:r>
            <w:proofErr w:type="spellEnd"/>
            <w:r w:rsidRPr="0046641C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46641C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դրամ</w:t>
            </w:r>
            <w:proofErr w:type="spellEnd"/>
            <w:r w:rsidRPr="0046641C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/</w:t>
            </w:r>
          </w:p>
        </w:tc>
      </w:tr>
      <w:tr w:rsidR="0046641C" w:rsidRPr="0046641C" w14:paraId="5880DC08" w14:textId="77777777" w:rsidTr="0046641C">
        <w:trPr>
          <w:trHeight w:val="337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5522FB0E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Թվական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3A062B84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Տնտ</w:t>
            </w:r>
            <w:proofErr w:type="spellEnd"/>
            <w:r w:rsidRPr="0046641C">
              <w:rPr>
                <w:rFonts w:ascii="Cambria Math" w:eastAsia="Times New Roman" w:hAnsi="Cambria Math" w:cs="Cambria Math"/>
                <w:b/>
                <w:bCs/>
                <w:color w:val="FFFFFF"/>
              </w:rPr>
              <w:t>․</w:t>
            </w:r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GHEA Grapalat"/>
                <w:b/>
                <w:bCs/>
                <w:color w:val="FFFFFF"/>
              </w:rPr>
              <w:t>քանակ</w:t>
            </w:r>
            <w:proofErr w:type="spellEnd"/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19C0423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Վարկի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միջին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չափ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7FB91AF5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Արժույթ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7B4C272E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Պորտֆել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33880B6B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Սուբսիդ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. %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052ADD85" w14:textId="5E365C95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FFFFFF"/>
                <w:lang w:val="hy-AM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</w:rPr>
              <w:t>Սուբսիդ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FFFFFF"/>
                <w:lang w:val="hy-AM"/>
              </w:rPr>
              <w:t>ավորում</w:t>
            </w:r>
          </w:p>
        </w:tc>
      </w:tr>
      <w:tr w:rsidR="0046641C" w:rsidRPr="0046641C" w14:paraId="419649D0" w14:textId="77777777" w:rsidTr="0046641C">
        <w:trPr>
          <w:trHeight w:val="337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5F8E5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48C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200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7B19F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35,000.00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EFBC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 xml:space="preserve">ՀՀ </w:t>
            </w: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դրամ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EA5E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4,410,000.00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E07B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E315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441,000.00</w:t>
            </w:r>
          </w:p>
        </w:tc>
      </w:tr>
      <w:tr w:rsidR="0046641C" w:rsidRPr="0046641C" w14:paraId="21118664" w14:textId="77777777" w:rsidTr="0046641C">
        <w:trPr>
          <w:trHeight w:val="337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785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A241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931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E6C0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Արտարժույթ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FDD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2,590,000.00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BDE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5714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207,200.00</w:t>
            </w:r>
          </w:p>
        </w:tc>
      </w:tr>
      <w:tr w:rsidR="0046641C" w:rsidRPr="0046641C" w14:paraId="3937099A" w14:textId="77777777" w:rsidTr="0046641C">
        <w:trPr>
          <w:trHeight w:val="337"/>
        </w:trPr>
        <w:tc>
          <w:tcPr>
            <w:tcW w:w="8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385D61E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2024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թվականի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ծախս</w:t>
            </w:r>
            <w:proofErr w:type="spellEnd"/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71829264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648,200.00</w:t>
            </w:r>
          </w:p>
        </w:tc>
      </w:tr>
      <w:tr w:rsidR="0046641C" w:rsidRPr="0046641C" w14:paraId="7B516DBD" w14:textId="77777777" w:rsidTr="0046641C">
        <w:trPr>
          <w:trHeight w:val="337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83BC7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2025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A0B2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400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7492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35,000.00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D9DB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 xml:space="preserve">ՀՀ </w:t>
            </w: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դրամ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9813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8,820,000.00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F1DB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6069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882,000.00</w:t>
            </w:r>
          </w:p>
        </w:tc>
      </w:tr>
      <w:tr w:rsidR="0046641C" w:rsidRPr="0046641C" w14:paraId="10EA1D0F" w14:textId="77777777" w:rsidTr="0046641C">
        <w:trPr>
          <w:trHeight w:val="337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E471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BBC2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F34C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5AB7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Արտարժույթ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E97C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5,180,000.00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0D12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28E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414,400.00</w:t>
            </w:r>
          </w:p>
        </w:tc>
      </w:tr>
      <w:tr w:rsidR="0046641C" w:rsidRPr="0046641C" w14:paraId="690349AC" w14:textId="77777777" w:rsidTr="0046641C">
        <w:trPr>
          <w:trHeight w:val="337"/>
        </w:trPr>
        <w:tc>
          <w:tcPr>
            <w:tcW w:w="8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00697496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2025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թվականի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ծախս</w:t>
            </w:r>
            <w:proofErr w:type="spellEnd"/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68AA5171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1,296,400.00</w:t>
            </w:r>
          </w:p>
        </w:tc>
      </w:tr>
      <w:tr w:rsidR="0046641C" w:rsidRPr="0046641C" w14:paraId="725AB4AD" w14:textId="77777777" w:rsidTr="0046641C">
        <w:trPr>
          <w:trHeight w:val="337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E29BF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2026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4B33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400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8998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35,000.00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4A30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 xml:space="preserve">ՀՀ </w:t>
            </w: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դրամ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CF3C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8,820,000.00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E252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F6677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882,000.00</w:t>
            </w:r>
          </w:p>
        </w:tc>
      </w:tr>
      <w:tr w:rsidR="0046641C" w:rsidRPr="0046641C" w14:paraId="1F69D3B3" w14:textId="77777777" w:rsidTr="0046641C">
        <w:trPr>
          <w:trHeight w:val="337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3BB3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8F667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A5FC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82D9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Արտարժույթ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D918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5,180,000.00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BC71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1C4E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414,400.00</w:t>
            </w:r>
          </w:p>
        </w:tc>
      </w:tr>
      <w:tr w:rsidR="0046641C" w:rsidRPr="0046641C" w14:paraId="601B625E" w14:textId="77777777" w:rsidTr="0046641C">
        <w:trPr>
          <w:trHeight w:val="337"/>
        </w:trPr>
        <w:tc>
          <w:tcPr>
            <w:tcW w:w="8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3B11" w14:textId="0ADC4D4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Մնացորդային</w:t>
            </w:r>
            <w:proofErr w:type="spellEnd"/>
            <w:r w:rsidRPr="0046641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գումարի</w:t>
            </w:r>
            <w:proofErr w:type="spellEnd"/>
            <w:r w:rsidRPr="0046641C">
              <w:rPr>
                <w:rFonts w:ascii="GHEA Grapalat" w:eastAsia="Times New Roman" w:hAnsi="GHEA Grapalat" w:cs="Calibri"/>
                <w:color w:val="000000"/>
              </w:rPr>
              <w:t xml:space="preserve"> 80%-ի </w:t>
            </w:r>
            <w:proofErr w:type="spellStart"/>
            <w:r w:rsidRPr="0046641C">
              <w:rPr>
                <w:rFonts w:ascii="GHEA Grapalat" w:eastAsia="Times New Roman" w:hAnsi="GHEA Grapalat" w:cs="Calibri"/>
                <w:color w:val="000000"/>
              </w:rPr>
              <w:t>հետվերադարձ</w:t>
            </w:r>
            <w:proofErr w:type="spellEnd"/>
            <w:r>
              <w:rPr>
                <w:rStyle w:val="FootnoteReference"/>
                <w:rFonts w:ascii="GHEA Grapalat" w:eastAsia="Times New Roman" w:hAnsi="GHEA Grapalat" w:cs="Calibri"/>
                <w:color w:val="000000"/>
              </w:rPr>
              <w:footnoteReference w:id="1"/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5C821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color w:val="000000"/>
              </w:rPr>
              <w:t>600,000.00</w:t>
            </w:r>
          </w:p>
        </w:tc>
      </w:tr>
      <w:tr w:rsidR="0046641C" w:rsidRPr="0046641C" w14:paraId="107B1F80" w14:textId="77777777" w:rsidTr="0046641C">
        <w:trPr>
          <w:trHeight w:val="337"/>
        </w:trPr>
        <w:tc>
          <w:tcPr>
            <w:tcW w:w="8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15999BD3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lef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2026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թվականի</w:t>
            </w:r>
            <w:proofErr w:type="spellEnd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ծախս</w:t>
            </w:r>
            <w:proofErr w:type="spellEnd"/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40FBA1CD" w14:textId="77777777" w:rsidR="0046641C" w:rsidRPr="0046641C" w:rsidRDefault="0046641C" w:rsidP="0046641C">
            <w:pPr>
              <w:suppressAutoHyphens w:val="0"/>
              <w:spacing w:after="0" w:line="240" w:lineRule="auto"/>
              <w:ind w:left="0" w:firstLine="0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46641C">
              <w:rPr>
                <w:rFonts w:ascii="GHEA Grapalat" w:eastAsia="Times New Roman" w:hAnsi="GHEA Grapalat" w:cs="Calibri"/>
                <w:b/>
                <w:bCs/>
                <w:color w:val="000000"/>
              </w:rPr>
              <w:t>1,896,400.00</w:t>
            </w:r>
          </w:p>
        </w:tc>
      </w:tr>
    </w:tbl>
    <w:p w14:paraId="36077376" w14:textId="77777777" w:rsidR="00EA6B3F" w:rsidRDefault="00EA6B3F" w:rsidP="00CE7E21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</w:p>
    <w:p w14:paraId="33F627D1" w14:textId="5ED11F2C" w:rsidR="007C0AEC" w:rsidRPr="007C0AEC" w:rsidRDefault="007C0AEC" w:rsidP="00CE7E21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7C0AEC">
        <w:rPr>
          <w:rFonts w:ascii="GHEA Grapalat" w:hAnsi="GHEA Grapalat" w:cs="Arial"/>
          <w:sz w:val="24"/>
          <w:szCs w:val="24"/>
          <w:lang w:val="hy-AM"/>
        </w:rPr>
        <w:lastRenderedPageBreak/>
        <w:t>Միաժամանակ, տեղեկացնում ենք, որ նշված ծրագրերի գծով հաշվարկները ներկայացվել են նաև 2024-2026 թվականների միջնաժամկետ ծախսային ծրագրերի հայտերի շրջանակներում, մասնավորապես</w:t>
      </w:r>
      <w:r w:rsidR="003831A9">
        <w:rPr>
          <w:rFonts w:ascii="GHEA Grapalat" w:hAnsi="GHEA Grapalat" w:cs="Arial"/>
          <w:sz w:val="24"/>
          <w:szCs w:val="24"/>
          <w:lang w:val="hy-AM"/>
        </w:rPr>
        <w:t>`</w:t>
      </w:r>
      <w:r w:rsidRPr="007C0A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831A9">
        <w:rPr>
          <w:rFonts w:ascii="GHEA Grapalat" w:hAnsi="GHEA Grapalat" w:cs="Arial"/>
          <w:sz w:val="24"/>
          <w:szCs w:val="24"/>
          <w:lang w:val="hy-AM"/>
        </w:rPr>
        <w:t>տ</w:t>
      </w:r>
      <w:r w:rsidRPr="007C0AEC">
        <w:rPr>
          <w:rFonts w:ascii="GHEA Grapalat" w:hAnsi="GHEA Grapalat" w:cs="Arial"/>
          <w:sz w:val="24"/>
          <w:szCs w:val="24"/>
          <w:lang w:val="hy-AM"/>
        </w:rPr>
        <w:t>նտեսության մեջ թվային գործիքների կիրառման խթանման և արտադրողականության աճի նպատակով խորհրդատվությունների միջոցառման մասով ծախսերը ներառվել են 1104-12001 միջոցառման մեջ։</w:t>
      </w:r>
    </w:p>
    <w:p w14:paraId="0E51BE46" w14:textId="77777777" w:rsidR="00732433" w:rsidRPr="000A4911" w:rsidRDefault="00732433" w:rsidP="00CE7E21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0A4911">
        <w:rPr>
          <w:rFonts w:ascii="GHEA Grapalat" w:hAnsi="GHEA Grapalat"/>
          <w:b/>
          <w:bCs/>
          <w:sz w:val="24"/>
          <w:szCs w:val="24"/>
          <w:lang w:val="hy-AM"/>
        </w:rPr>
        <w:t>այաստանի Հանրապետության պետական բյուջեի եկամուտներում և ծախսերում սպասվելիք փոփոխությունները.</w:t>
      </w:r>
    </w:p>
    <w:p w14:paraId="70FD4DAE" w14:textId="3B16A2DF" w:rsidR="00732433" w:rsidRPr="000A4911" w:rsidRDefault="00732433" w:rsidP="00CE7E21">
      <w:p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0A4911">
        <w:rPr>
          <w:rFonts w:ascii="GHEA Grapalat" w:hAnsi="GHEA Grapalat"/>
          <w:sz w:val="24"/>
          <w:szCs w:val="24"/>
          <w:lang w:val="hy-AM"/>
        </w:rPr>
        <w:t>Նախագծի ընդուն</w:t>
      </w:r>
      <w:r>
        <w:rPr>
          <w:rFonts w:ascii="GHEA Grapalat" w:hAnsi="GHEA Grapalat"/>
          <w:sz w:val="24"/>
          <w:szCs w:val="24"/>
          <w:lang w:val="hy-AM"/>
        </w:rPr>
        <w:t xml:space="preserve">ումը պետական բյուջեում ծախսերի և եկամուտների փոփոխություն չի </w:t>
      </w:r>
      <w:r w:rsidRPr="000A4911">
        <w:rPr>
          <w:rFonts w:ascii="GHEA Grapalat" w:hAnsi="GHEA Grapalat"/>
          <w:sz w:val="24"/>
          <w:szCs w:val="24"/>
          <w:lang w:val="hy-AM"/>
        </w:rPr>
        <w:t>նախատես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0A4911">
        <w:rPr>
          <w:rFonts w:ascii="GHEA Grapalat" w:hAnsi="GHEA Grapalat"/>
          <w:sz w:val="24"/>
          <w:szCs w:val="24"/>
          <w:lang w:val="hy-AM"/>
        </w:rPr>
        <w:t>:</w:t>
      </w:r>
    </w:p>
    <w:p w14:paraId="409A0CA3" w14:textId="77777777" w:rsidR="00732433" w:rsidRPr="000A4911" w:rsidRDefault="00732433" w:rsidP="00CE7E21">
      <w:pPr>
        <w:spacing w:line="360" w:lineRule="auto"/>
        <w:ind w:left="0" w:firstLine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40ABD8" w14:textId="500DBEA8" w:rsidR="008D558F" w:rsidRPr="00732433" w:rsidRDefault="00732433" w:rsidP="00414106">
      <w:pPr>
        <w:spacing w:after="0" w:line="360" w:lineRule="auto"/>
        <w:ind w:left="0" w:firstLine="360"/>
        <w:rPr>
          <w:lang w:val="hy-AM"/>
        </w:rPr>
      </w:pPr>
      <w:r w:rsidRPr="000A4911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է</w:t>
      </w:r>
      <w:r w:rsidR="00D54F3B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հիմք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ընդունելով </w:t>
      </w:r>
      <w:r w:rsidRPr="000A4911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N1902-Լ որոշման Հավելված N1-ով նախատեսված հետևյալ կետերը՝ «2.1 Ռազմավարական և առաջնահերթ ոլորտներում տեխնոլոգիական արդիականացում և բիզնես պրոցեսների օպտիմալացում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F343EC">
        <w:rPr>
          <w:rFonts w:ascii="GHEA Grapalat" w:hAnsi="GHEA Grapalat"/>
          <w:sz w:val="24"/>
          <w:szCs w:val="24"/>
          <w:lang w:val="hy-AM"/>
        </w:rPr>
        <w:t>, 2</w:t>
      </w:r>
      <w:r w:rsidR="00F343EC" w:rsidRPr="00F343EC">
        <w:rPr>
          <w:rFonts w:ascii="Cambria Math" w:hAnsi="Cambria Math" w:cs="Cambria Math"/>
          <w:sz w:val="24"/>
          <w:szCs w:val="24"/>
          <w:lang w:val="hy-AM"/>
        </w:rPr>
        <w:t>․</w:t>
      </w:r>
      <w:r w:rsidR="00F343EC" w:rsidRPr="00F343EC">
        <w:rPr>
          <w:rFonts w:ascii="GHEA Grapalat" w:hAnsi="GHEA Grapalat"/>
          <w:sz w:val="24"/>
          <w:szCs w:val="24"/>
          <w:lang w:val="hy-AM"/>
        </w:rPr>
        <w:t>3 «Տնտեսության մեջ թվային գործիքների կիրառման խթանման հայեցակարգի հաստատում»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A4911">
        <w:rPr>
          <w:rFonts w:ascii="GHEA Grapalat" w:hAnsi="GHEA Grapalat"/>
          <w:sz w:val="24"/>
          <w:szCs w:val="24"/>
          <w:lang w:val="hy-AM"/>
        </w:rPr>
        <w:t xml:space="preserve"> «7.2 Մշակող արդյունաբերության ոլորտի ձեռնարկությունների տեխնիկական հագեցվածությունը բարձրացնելու և ժամանակակից սարքավորումների ձեռքբերմանը նպաստելու նպատակով ֆինանսական, տեղեկատվական և մի շարք այլ աջակցության գործիքակազմի ծրագրի մշակում և իրականացում</w:t>
      </w:r>
      <w:r w:rsidRPr="005740D3">
        <w:rPr>
          <w:rFonts w:ascii="GHEA Grapalat" w:hAnsi="GHEA Grapalat"/>
          <w:sz w:val="24"/>
          <w:szCs w:val="24"/>
          <w:lang w:val="hy-AM"/>
        </w:rPr>
        <w:t>» կետերը, ինչպես նաև Կառավարության 2020թ</w:t>
      </w:r>
      <w:r w:rsidRPr="005740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740D3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746243">
        <w:rPr>
          <w:rFonts w:ascii="GHEA Grapalat" w:hAnsi="GHEA Grapalat"/>
          <w:sz w:val="24"/>
          <w:szCs w:val="24"/>
          <w:lang w:val="hy-AM"/>
        </w:rPr>
        <w:t>օգոստոսի</w:t>
      </w:r>
      <w:r w:rsidRPr="005740D3">
        <w:rPr>
          <w:rFonts w:ascii="GHEA Grapalat" w:hAnsi="GHEA Grapalat"/>
          <w:sz w:val="24"/>
          <w:szCs w:val="24"/>
          <w:lang w:val="hy-AM"/>
        </w:rPr>
        <w:t xml:space="preserve"> 27-ի թիվ 1443-Լ որոշմամբ հաստատված ՓՄՁ զարգացման 2020-2024 թվականների ռազմավարությունը։</w:t>
      </w:r>
    </w:p>
    <w:sectPr w:rsidR="008D558F" w:rsidRPr="00732433" w:rsidSect="00195110">
      <w:footerReference w:type="default" r:id="rId10"/>
      <w:pgSz w:w="11906" w:h="16838"/>
      <w:pgMar w:top="993" w:right="849" w:bottom="990" w:left="1138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720D6" w14:textId="77777777" w:rsidR="00195110" w:rsidRDefault="00195110">
      <w:pPr>
        <w:spacing w:after="0" w:line="240" w:lineRule="auto"/>
      </w:pPr>
      <w:r>
        <w:separator/>
      </w:r>
    </w:p>
  </w:endnote>
  <w:endnote w:type="continuationSeparator" w:id="0">
    <w:p w14:paraId="08CA3F3E" w14:textId="77777777" w:rsidR="00195110" w:rsidRDefault="00195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9931088"/>
      <w:docPartObj>
        <w:docPartGallery w:val="Page Numbers (Bottom of Page)"/>
        <w:docPartUnique/>
      </w:docPartObj>
    </w:sdtPr>
    <w:sdtContent>
      <w:p w14:paraId="0335BB0A" w14:textId="46C23706" w:rsidR="00950154" w:rsidRDefault="00674884">
        <w:pPr>
          <w:pStyle w:val="Footer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605F2">
          <w:rPr>
            <w:noProof/>
          </w:rPr>
          <w:t>13</w:t>
        </w:r>
        <w:r>
          <w:fldChar w:fldCharType="end"/>
        </w:r>
      </w:p>
    </w:sdtContent>
  </w:sdt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3C5DC" w14:textId="77777777" w:rsidR="00195110" w:rsidRDefault="00195110">
      <w:pPr>
        <w:rPr>
          <w:sz w:val="12"/>
        </w:rPr>
      </w:pPr>
      <w:r>
        <w:separator/>
      </w:r>
    </w:p>
  </w:footnote>
  <w:footnote w:type="continuationSeparator" w:id="0">
    <w:p w14:paraId="2F0A20B9" w14:textId="77777777" w:rsidR="00195110" w:rsidRDefault="00195110">
      <w:pPr>
        <w:rPr>
          <w:sz w:val="12"/>
        </w:rPr>
      </w:pPr>
      <w:r>
        <w:continuationSeparator/>
      </w:r>
    </w:p>
  </w:footnote>
  <w:footnote w:id="1">
    <w:p w14:paraId="408D48B4" w14:textId="4466E941" w:rsidR="0046641C" w:rsidRPr="0046641C" w:rsidRDefault="0046641C" w:rsidP="0046641C">
      <w:pPr>
        <w:pStyle w:val="FootnoteText"/>
        <w:spacing w:line="240" w:lineRule="auto"/>
        <w:rPr>
          <w:lang w:val="hy-AM"/>
        </w:rPr>
      </w:pPr>
      <w:r>
        <w:rPr>
          <w:rStyle w:val="FootnoteReference"/>
        </w:rPr>
        <w:footnoteRef/>
      </w:r>
      <w:r w:rsidRPr="0046641C">
        <w:rPr>
          <w:lang w:val="hy-AM"/>
        </w:rPr>
        <w:t xml:space="preserve"> </w:t>
      </w:r>
      <w:r>
        <w:rPr>
          <w:lang w:val="hy-AM"/>
        </w:rPr>
        <w:t>Հաշվարկը կատարվել է կանխատեսելով, որ 2026 թվականին հետվերադարձի կարիք կլինի 2024 թվականի շահառու տնտեսավարողների 30</w:t>
      </w:r>
      <w:r w:rsidRPr="0046641C">
        <w:rPr>
          <w:lang w:val="hy-AM"/>
        </w:rPr>
        <w:t>%-</w:t>
      </w:r>
      <w:r>
        <w:rPr>
          <w:lang w:val="hy-AM"/>
        </w:rPr>
        <w:t>ին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6A7"/>
    <w:multiLevelType w:val="hybridMultilevel"/>
    <w:tmpl w:val="3AECE9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1E6AA5"/>
    <w:multiLevelType w:val="hybridMultilevel"/>
    <w:tmpl w:val="D490245A"/>
    <w:lvl w:ilvl="0" w:tplc="0A18A9F0">
      <w:start w:val="2022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97BC3"/>
    <w:multiLevelType w:val="hybridMultilevel"/>
    <w:tmpl w:val="43C2E82C"/>
    <w:lvl w:ilvl="0" w:tplc="9124BE04">
      <w:numFmt w:val="bullet"/>
      <w:lvlText w:val="-"/>
      <w:lvlJc w:val="left"/>
      <w:pPr>
        <w:ind w:left="808" w:hanging="360"/>
      </w:pPr>
      <w:rPr>
        <w:rFonts w:ascii="GHEA Grapalat" w:eastAsia="Calibr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39B5CB9"/>
    <w:multiLevelType w:val="hybridMultilevel"/>
    <w:tmpl w:val="C8A860F6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4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0A210CB"/>
    <w:multiLevelType w:val="hybridMultilevel"/>
    <w:tmpl w:val="E35E4C1C"/>
    <w:lvl w:ilvl="0" w:tplc="EC5ACEE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0029"/>
    <w:multiLevelType w:val="hybridMultilevel"/>
    <w:tmpl w:val="685C05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5220B82"/>
    <w:multiLevelType w:val="hybridMultilevel"/>
    <w:tmpl w:val="026657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854074"/>
    <w:multiLevelType w:val="hybridMultilevel"/>
    <w:tmpl w:val="BBEE4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830145">
    <w:abstractNumId w:val="4"/>
  </w:num>
  <w:num w:numId="2" w16cid:durableId="606422812">
    <w:abstractNumId w:val="7"/>
  </w:num>
  <w:num w:numId="3" w16cid:durableId="1719277858">
    <w:abstractNumId w:val="9"/>
  </w:num>
  <w:num w:numId="4" w16cid:durableId="172841948">
    <w:abstractNumId w:val="11"/>
  </w:num>
  <w:num w:numId="5" w16cid:durableId="1049963859">
    <w:abstractNumId w:val="15"/>
  </w:num>
  <w:num w:numId="6" w16cid:durableId="1319770595">
    <w:abstractNumId w:val="10"/>
  </w:num>
  <w:num w:numId="7" w16cid:durableId="140972349">
    <w:abstractNumId w:val="13"/>
  </w:num>
  <w:num w:numId="8" w16cid:durableId="18270415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28513">
    <w:abstractNumId w:val="5"/>
  </w:num>
  <w:num w:numId="10" w16cid:durableId="702751786">
    <w:abstractNumId w:val="3"/>
  </w:num>
  <w:num w:numId="11" w16cid:durableId="2022319934">
    <w:abstractNumId w:val="6"/>
  </w:num>
  <w:num w:numId="12" w16cid:durableId="1064372287">
    <w:abstractNumId w:val="14"/>
  </w:num>
  <w:num w:numId="13" w16cid:durableId="177668251">
    <w:abstractNumId w:val="0"/>
  </w:num>
  <w:num w:numId="14" w16cid:durableId="870535330">
    <w:abstractNumId w:val="8"/>
  </w:num>
  <w:num w:numId="15" w16cid:durableId="126357956">
    <w:abstractNumId w:val="1"/>
  </w:num>
  <w:num w:numId="16" w16cid:durableId="757678593">
    <w:abstractNumId w:val="7"/>
  </w:num>
  <w:num w:numId="17" w16cid:durableId="533618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154"/>
    <w:rsid w:val="00004624"/>
    <w:rsid w:val="000072C2"/>
    <w:rsid w:val="00010517"/>
    <w:rsid w:val="00013047"/>
    <w:rsid w:val="000166E3"/>
    <w:rsid w:val="000222EC"/>
    <w:rsid w:val="00024319"/>
    <w:rsid w:val="0003047C"/>
    <w:rsid w:val="00032852"/>
    <w:rsid w:val="00032DD5"/>
    <w:rsid w:val="00047AD7"/>
    <w:rsid w:val="00050277"/>
    <w:rsid w:val="00050677"/>
    <w:rsid w:val="000546C5"/>
    <w:rsid w:val="000626BB"/>
    <w:rsid w:val="00066FF4"/>
    <w:rsid w:val="00067D90"/>
    <w:rsid w:val="00087C11"/>
    <w:rsid w:val="0009140D"/>
    <w:rsid w:val="00094248"/>
    <w:rsid w:val="000946C6"/>
    <w:rsid w:val="000A3384"/>
    <w:rsid w:val="000A4911"/>
    <w:rsid w:val="000A62D3"/>
    <w:rsid w:val="000B6395"/>
    <w:rsid w:val="000B7220"/>
    <w:rsid w:val="000B7BE6"/>
    <w:rsid w:val="000C4E31"/>
    <w:rsid w:val="000C5147"/>
    <w:rsid w:val="000D33A2"/>
    <w:rsid w:val="000D587B"/>
    <w:rsid w:val="000D58A8"/>
    <w:rsid w:val="000E0072"/>
    <w:rsid w:val="000E71E2"/>
    <w:rsid w:val="00103588"/>
    <w:rsid w:val="0011222D"/>
    <w:rsid w:val="0011239D"/>
    <w:rsid w:val="00113DE9"/>
    <w:rsid w:val="00123E6B"/>
    <w:rsid w:val="00125F36"/>
    <w:rsid w:val="00142A54"/>
    <w:rsid w:val="00143293"/>
    <w:rsid w:val="00146262"/>
    <w:rsid w:val="00161F68"/>
    <w:rsid w:val="0016348C"/>
    <w:rsid w:val="0016771F"/>
    <w:rsid w:val="00172E78"/>
    <w:rsid w:val="001739FD"/>
    <w:rsid w:val="00175E96"/>
    <w:rsid w:val="00186B3D"/>
    <w:rsid w:val="00192CA0"/>
    <w:rsid w:val="00193C79"/>
    <w:rsid w:val="00195110"/>
    <w:rsid w:val="001A067A"/>
    <w:rsid w:val="001A2948"/>
    <w:rsid w:val="001B04E2"/>
    <w:rsid w:val="001B1589"/>
    <w:rsid w:val="001B352E"/>
    <w:rsid w:val="001B3B3B"/>
    <w:rsid w:val="001B74D7"/>
    <w:rsid w:val="001B7597"/>
    <w:rsid w:val="001C2C68"/>
    <w:rsid w:val="001C7C5C"/>
    <w:rsid w:val="001D21A3"/>
    <w:rsid w:val="001E0277"/>
    <w:rsid w:val="001E3B3B"/>
    <w:rsid w:val="001F097C"/>
    <w:rsid w:val="001F2652"/>
    <w:rsid w:val="001F41B7"/>
    <w:rsid w:val="001F74FD"/>
    <w:rsid w:val="001F7AAF"/>
    <w:rsid w:val="002017E9"/>
    <w:rsid w:val="002054CF"/>
    <w:rsid w:val="00213EEA"/>
    <w:rsid w:val="002146D9"/>
    <w:rsid w:val="00215F4F"/>
    <w:rsid w:val="00216736"/>
    <w:rsid w:val="00220756"/>
    <w:rsid w:val="00225590"/>
    <w:rsid w:val="00226D51"/>
    <w:rsid w:val="002318C2"/>
    <w:rsid w:val="0023292A"/>
    <w:rsid w:val="00233B47"/>
    <w:rsid w:val="00233DAB"/>
    <w:rsid w:val="00235361"/>
    <w:rsid w:val="00240E5A"/>
    <w:rsid w:val="002432C4"/>
    <w:rsid w:val="00251713"/>
    <w:rsid w:val="00255B01"/>
    <w:rsid w:val="00257AAB"/>
    <w:rsid w:val="002635CF"/>
    <w:rsid w:val="00265781"/>
    <w:rsid w:val="0026662A"/>
    <w:rsid w:val="00267B67"/>
    <w:rsid w:val="002815CF"/>
    <w:rsid w:val="00284D5B"/>
    <w:rsid w:val="00285BBD"/>
    <w:rsid w:val="002928B3"/>
    <w:rsid w:val="00296C2E"/>
    <w:rsid w:val="002B1416"/>
    <w:rsid w:val="002C2061"/>
    <w:rsid w:val="002C59EA"/>
    <w:rsid w:val="002C6876"/>
    <w:rsid w:val="002D0B5D"/>
    <w:rsid w:val="002D4F2F"/>
    <w:rsid w:val="002D73D9"/>
    <w:rsid w:val="002E422D"/>
    <w:rsid w:val="002E74D9"/>
    <w:rsid w:val="002F019E"/>
    <w:rsid w:val="002F269D"/>
    <w:rsid w:val="002F777C"/>
    <w:rsid w:val="00300AD7"/>
    <w:rsid w:val="00302E7B"/>
    <w:rsid w:val="00305C65"/>
    <w:rsid w:val="00307E1D"/>
    <w:rsid w:val="003146DC"/>
    <w:rsid w:val="00321532"/>
    <w:rsid w:val="003246A1"/>
    <w:rsid w:val="0033118D"/>
    <w:rsid w:val="00335064"/>
    <w:rsid w:val="00341BA0"/>
    <w:rsid w:val="003462D6"/>
    <w:rsid w:val="003545B6"/>
    <w:rsid w:val="003637A6"/>
    <w:rsid w:val="00366717"/>
    <w:rsid w:val="00367B6C"/>
    <w:rsid w:val="00377BCD"/>
    <w:rsid w:val="003831A9"/>
    <w:rsid w:val="00390866"/>
    <w:rsid w:val="003953D5"/>
    <w:rsid w:val="00395D4B"/>
    <w:rsid w:val="003A4269"/>
    <w:rsid w:val="003A5B0A"/>
    <w:rsid w:val="003B6088"/>
    <w:rsid w:val="003C0617"/>
    <w:rsid w:val="003C626C"/>
    <w:rsid w:val="003D14AE"/>
    <w:rsid w:val="003D29FC"/>
    <w:rsid w:val="003D3CA0"/>
    <w:rsid w:val="003D63C2"/>
    <w:rsid w:val="003F1617"/>
    <w:rsid w:val="003F2B26"/>
    <w:rsid w:val="003F41C9"/>
    <w:rsid w:val="003F672E"/>
    <w:rsid w:val="00404662"/>
    <w:rsid w:val="004054E7"/>
    <w:rsid w:val="00414106"/>
    <w:rsid w:val="00416970"/>
    <w:rsid w:val="00421BB8"/>
    <w:rsid w:val="00422ADE"/>
    <w:rsid w:val="004244E8"/>
    <w:rsid w:val="00427EC0"/>
    <w:rsid w:val="004323E3"/>
    <w:rsid w:val="00442EDC"/>
    <w:rsid w:val="004431E1"/>
    <w:rsid w:val="00444880"/>
    <w:rsid w:val="00445A26"/>
    <w:rsid w:val="00450638"/>
    <w:rsid w:val="0045294A"/>
    <w:rsid w:val="00453D14"/>
    <w:rsid w:val="00456C94"/>
    <w:rsid w:val="00461B2C"/>
    <w:rsid w:val="0046641C"/>
    <w:rsid w:val="0046653D"/>
    <w:rsid w:val="00486183"/>
    <w:rsid w:val="004927AE"/>
    <w:rsid w:val="004A1774"/>
    <w:rsid w:val="004A1AB4"/>
    <w:rsid w:val="004A3761"/>
    <w:rsid w:val="004B4AEC"/>
    <w:rsid w:val="004B5112"/>
    <w:rsid w:val="004B60A8"/>
    <w:rsid w:val="004D09AE"/>
    <w:rsid w:val="004D16F1"/>
    <w:rsid w:val="004D1744"/>
    <w:rsid w:val="004E0999"/>
    <w:rsid w:val="004E471E"/>
    <w:rsid w:val="004E627C"/>
    <w:rsid w:val="004F0961"/>
    <w:rsid w:val="004F162B"/>
    <w:rsid w:val="00501A96"/>
    <w:rsid w:val="00502A26"/>
    <w:rsid w:val="00503E2D"/>
    <w:rsid w:val="00507A9A"/>
    <w:rsid w:val="0051282B"/>
    <w:rsid w:val="00515B53"/>
    <w:rsid w:val="00516A9A"/>
    <w:rsid w:val="00522157"/>
    <w:rsid w:val="0054181E"/>
    <w:rsid w:val="005419DB"/>
    <w:rsid w:val="00547F67"/>
    <w:rsid w:val="005522B2"/>
    <w:rsid w:val="0056547A"/>
    <w:rsid w:val="005657BE"/>
    <w:rsid w:val="00566F95"/>
    <w:rsid w:val="005740D3"/>
    <w:rsid w:val="00593867"/>
    <w:rsid w:val="00595FA6"/>
    <w:rsid w:val="00597DAD"/>
    <w:rsid w:val="005A28CD"/>
    <w:rsid w:val="005C0F3A"/>
    <w:rsid w:val="005C3AC0"/>
    <w:rsid w:val="005C6209"/>
    <w:rsid w:val="005D25D6"/>
    <w:rsid w:val="005D37F0"/>
    <w:rsid w:val="005D38A4"/>
    <w:rsid w:val="005D7A16"/>
    <w:rsid w:val="005E052D"/>
    <w:rsid w:val="005E1E93"/>
    <w:rsid w:val="005E401C"/>
    <w:rsid w:val="005F3513"/>
    <w:rsid w:val="005F353F"/>
    <w:rsid w:val="00601F3D"/>
    <w:rsid w:val="00602C4B"/>
    <w:rsid w:val="00602C66"/>
    <w:rsid w:val="00605C35"/>
    <w:rsid w:val="00613258"/>
    <w:rsid w:val="00614BCE"/>
    <w:rsid w:val="00625D87"/>
    <w:rsid w:val="00626658"/>
    <w:rsid w:val="006303E3"/>
    <w:rsid w:val="00630CE9"/>
    <w:rsid w:val="00634CF7"/>
    <w:rsid w:val="006404C7"/>
    <w:rsid w:val="0064365E"/>
    <w:rsid w:val="0065043C"/>
    <w:rsid w:val="0065133D"/>
    <w:rsid w:val="006540A5"/>
    <w:rsid w:val="0065665E"/>
    <w:rsid w:val="00660E7B"/>
    <w:rsid w:val="00665679"/>
    <w:rsid w:val="006717B6"/>
    <w:rsid w:val="0067367A"/>
    <w:rsid w:val="00674884"/>
    <w:rsid w:val="006757C6"/>
    <w:rsid w:val="00684362"/>
    <w:rsid w:val="00684BF3"/>
    <w:rsid w:val="0068721C"/>
    <w:rsid w:val="00691E9D"/>
    <w:rsid w:val="00692523"/>
    <w:rsid w:val="00692901"/>
    <w:rsid w:val="00694F5C"/>
    <w:rsid w:val="00696696"/>
    <w:rsid w:val="006A00E6"/>
    <w:rsid w:val="006A22C1"/>
    <w:rsid w:val="006A2401"/>
    <w:rsid w:val="006A3CAB"/>
    <w:rsid w:val="006A76E9"/>
    <w:rsid w:val="006B2A40"/>
    <w:rsid w:val="006B3A68"/>
    <w:rsid w:val="006C0A10"/>
    <w:rsid w:val="006C50A0"/>
    <w:rsid w:val="006D0E8F"/>
    <w:rsid w:val="006D2422"/>
    <w:rsid w:val="006D428A"/>
    <w:rsid w:val="006D43BC"/>
    <w:rsid w:val="006D6868"/>
    <w:rsid w:val="006D76F4"/>
    <w:rsid w:val="006E28B4"/>
    <w:rsid w:val="006E486D"/>
    <w:rsid w:val="006E5478"/>
    <w:rsid w:val="006F2A2C"/>
    <w:rsid w:val="006F726F"/>
    <w:rsid w:val="00700E9F"/>
    <w:rsid w:val="00701F72"/>
    <w:rsid w:val="00702348"/>
    <w:rsid w:val="00702BB8"/>
    <w:rsid w:val="007032F9"/>
    <w:rsid w:val="00705EE6"/>
    <w:rsid w:val="00706E9F"/>
    <w:rsid w:val="00712329"/>
    <w:rsid w:val="00712D52"/>
    <w:rsid w:val="00713FA9"/>
    <w:rsid w:val="00714D3B"/>
    <w:rsid w:val="007159C5"/>
    <w:rsid w:val="00716470"/>
    <w:rsid w:val="00717EAF"/>
    <w:rsid w:val="00720B54"/>
    <w:rsid w:val="00723444"/>
    <w:rsid w:val="00723F02"/>
    <w:rsid w:val="00726073"/>
    <w:rsid w:val="00730F6F"/>
    <w:rsid w:val="00732433"/>
    <w:rsid w:val="007327C2"/>
    <w:rsid w:val="007377E4"/>
    <w:rsid w:val="0074200C"/>
    <w:rsid w:val="00745275"/>
    <w:rsid w:val="00746243"/>
    <w:rsid w:val="00746C47"/>
    <w:rsid w:val="007505DF"/>
    <w:rsid w:val="007648D3"/>
    <w:rsid w:val="007857D3"/>
    <w:rsid w:val="00786873"/>
    <w:rsid w:val="007871C4"/>
    <w:rsid w:val="00787E82"/>
    <w:rsid w:val="00791E9E"/>
    <w:rsid w:val="0079272C"/>
    <w:rsid w:val="00795622"/>
    <w:rsid w:val="007A0D37"/>
    <w:rsid w:val="007A5446"/>
    <w:rsid w:val="007A5FCF"/>
    <w:rsid w:val="007A5FDD"/>
    <w:rsid w:val="007C0AEC"/>
    <w:rsid w:val="007C2C14"/>
    <w:rsid w:val="007C3495"/>
    <w:rsid w:val="007C7241"/>
    <w:rsid w:val="007D4C03"/>
    <w:rsid w:val="007D4D18"/>
    <w:rsid w:val="007E09BF"/>
    <w:rsid w:val="007E0C60"/>
    <w:rsid w:val="007E2604"/>
    <w:rsid w:val="007E57E4"/>
    <w:rsid w:val="007E7918"/>
    <w:rsid w:val="00804756"/>
    <w:rsid w:val="00805FCD"/>
    <w:rsid w:val="00806989"/>
    <w:rsid w:val="00816568"/>
    <w:rsid w:val="00821514"/>
    <w:rsid w:val="00821C85"/>
    <w:rsid w:val="00824382"/>
    <w:rsid w:val="00825DCE"/>
    <w:rsid w:val="0082704B"/>
    <w:rsid w:val="00830539"/>
    <w:rsid w:val="008320A0"/>
    <w:rsid w:val="008367E1"/>
    <w:rsid w:val="008415ED"/>
    <w:rsid w:val="008472D1"/>
    <w:rsid w:val="00857160"/>
    <w:rsid w:val="00863115"/>
    <w:rsid w:val="00867BC6"/>
    <w:rsid w:val="00882FD1"/>
    <w:rsid w:val="008835D6"/>
    <w:rsid w:val="0088392C"/>
    <w:rsid w:val="00885797"/>
    <w:rsid w:val="00891575"/>
    <w:rsid w:val="00896225"/>
    <w:rsid w:val="00896F97"/>
    <w:rsid w:val="008A76D8"/>
    <w:rsid w:val="008A7A73"/>
    <w:rsid w:val="008B268B"/>
    <w:rsid w:val="008B5069"/>
    <w:rsid w:val="008B6A64"/>
    <w:rsid w:val="008C1717"/>
    <w:rsid w:val="008C213A"/>
    <w:rsid w:val="008C2FF3"/>
    <w:rsid w:val="008C33C6"/>
    <w:rsid w:val="008C36CC"/>
    <w:rsid w:val="008C733F"/>
    <w:rsid w:val="008D558F"/>
    <w:rsid w:val="008E3DB5"/>
    <w:rsid w:val="008E68F8"/>
    <w:rsid w:val="008F19F1"/>
    <w:rsid w:val="008F274E"/>
    <w:rsid w:val="008F316B"/>
    <w:rsid w:val="009001B0"/>
    <w:rsid w:val="00903D23"/>
    <w:rsid w:val="0090732F"/>
    <w:rsid w:val="00912035"/>
    <w:rsid w:val="00914991"/>
    <w:rsid w:val="009163BB"/>
    <w:rsid w:val="009271E2"/>
    <w:rsid w:val="0093094B"/>
    <w:rsid w:val="009319EF"/>
    <w:rsid w:val="00934E91"/>
    <w:rsid w:val="00936F49"/>
    <w:rsid w:val="00950154"/>
    <w:rsid w:val="00951853"/>
    <w:rsid w:val="00951D62"/>
    <w:rsid w:val="009605F9"/>
    <w:rsid w:val="0096062A"/>
    <w:rsid w:val="00967D67"/>
    <w:rsid w:val="009712C9"/>
    <w:rsid w:val="0098047E"/>
    <w:rsid w:val="00986EE3"/>
    <w:rsid w:val="0099188D"/>
    <w:rsid w:val="009A5789"/>
    <w:rsid w:val="009B117E"/>
    <w:rsid w:val="009B3BBF"/>
    <w:rsid w:val="009C1A40"/>
    <w:rsid w:val="009C218B"/>
    <w:rsid w:val="009C4A0C"/>
    <w:rsid w:val="009D23EA"/>
    <w:rsid w:val="009D29C6"/>
    <w:rsid w:val="009D7EA9"/>
    <w:rsid w:val="009E0909"/>
    <w:rsid w:val="009E1098"/>
    <w:rsid w:val="009E29D6"/>
    <w:rsid w:val="009E4760"/>
    <w:rsid w:val="009F51E0"/>
    <w:rsid w:val="00A003B2"/>
    <w:rsid w:val="00A07ED2"/>
    <w:rsid w:val="00A14FD3"/>
    <w:rsid w:val="00A27BD9"/>
    <w:rsid w:val="00A302D4"/>
    <w:rsid w:val="00A36FD2"/>
    <w:rsid w:val="00A37758"/>
    <w:rsid w:val="00A57C66"/>
    <w:rsid w:val="00A65117"/>
    <w:rsid w:val="00A669B7"/>
    <w:rsid w:val="00A71A65"/>
    <w:rsid w:val="00A8513B"/>
    <w:rsid w:val="00A902FA"/>
    <w:rsid w:val="00A9650C"/>
    <w:rsid w:val="00AA1BB8"/>
    <w:rsid w:val="00AB4724"/>
    <w:rsid w:val="00AC06A6"/>
    <w:rsid w:val="00AC0C44"/>
    <w:rsid w:val="00AC29A6"/>
    <w:rsid w:val="00AD6C00"/>
    <w:rsid w:val="00AD70EA"/>
    <w:rsid w:val="00AD79BE"/>
    <w:rsid w:val="00AF51B8"/>
    <w:rsid w:val="00B05A7C"/>
    <w:rsid w:val="00B075DE"/>
    <w:rsid w:val="00B10619"/>
    <w:rsid w:val="00B13DCC"/>
    <w:rsid w:val="00B15DF2"/>
    <w:rsid w:val="00B1722A"/>
    <w:rsid w:val="00B2462C"/>
    <w:rsid w:val="00B3111E"/>
    <w:rsid w:val="00B31C24"/>
    <w:rsid w:val="00B32F44"/>
    <w:rsid w:val="00B331DD"/>
    <w:rsid w:val="00B33764"/>
    <w:rsid w:val="00B5004A"/>
    <w:rsid w:val="00B50F4C"/>
    <w:rsid w:val="00B51A2B"/>
    <w:rsid w:val="00B51E16"/>
    <w:rsid w:val="00B5449B"/>
    <w:rsid w:val="00B61ECF"/>
    <w:rsid w:val="00B638D4"/>
    <w:rsid w:val="00B72233"/>
    <w:rsid w:val="00B77A2B"/>
    <w:rsid w:val="00B82BC1"/>
    <w:rsid w:val="00B85EBF"/>
    <w:rsid w:val="00B92B73"/>
    <w:rsid w:val="00BA6E73"/>
    <w:rsid w:val="00BB2B46"/>
    <w:rsid w:val="00BB517A"/>
    <w:rsid w:val="00BB56E1"/>
    <w:rsid w:val="00BB798B"/>
    <w:rsid w:val="00BD4553"/>
    <w:rsid w:val="00BE552B"/>
    <w:rsid w:val="00BE6DC7"/>
    <w:rsid w:val="00BE71AC"/>
    <w:rsid w:val="00BF41CC"/>
    <w:rsid w:val="00BF4312"/>
    <w:rsid w:val="00BF445B"/>
    <w:rsid w:val="00BF771E"/>
    <w:rsid w:val="00BF7B87"/>
    <w:rsid w:val="00C0163F"/>
    <w:rsid w:val="00C11028"/>
    <w:rsid w:val="00C1286C"/>
    <w:rsid w:val="00C1390F"/>
    <w:rsid w:val="00C17BAE"/>
    <w:rsid w:val="00C32380"/>
    <w:rsid w:val="00C33E68"/>
    <w:rsid w:val="00C44803"/>
    <w:rsid w:val="00C47C66"/>
    <w:rsid w:val="00C52839"/>
    <w:rsid w:val="00C5443A"/>
    <w:rsid w:val="00C637E9"/>
    <w:rsid w:val="00C6479F"/>
    <w:rsid w:val="00C66BAD"/>
    <w:rsid w:val="00C702D1"/>
    <w:rsid w:val="00C750EB"/>
    <w:rsid w:val="00C872A7"/>
    <w:rsid w:val="00C90BB2"/>
    <w:rsid w:val="00C950B4"/>
    <w:rsid w:val="00C95654"/>
    <w:rsid w:val="00C95B4F"/>
    <w:rsid w:val="00CA1B77"/>
    <w:rsid w:val="00CB1969"/>
    <w:rsid w:val="00CB299B"/>
    <w:rsid w:val="00CB3797"/>
    <w:rsid w:val="00CB4105"/>
    <w:rsid w:val="00CB5D5A"/>
    <w:rsid w:val="00CB62D7"/>
    <w:rsid w:val="00CC18E2"/>
    <w:rsid w:val="00CC2AE0"/>
    <w:rsid w:val="00CC36EA"/>
    <w:rsid w:val="00CC39C5"/>
    <w:rsid w:val="00CC6B4A"/>
    <w:rsid w:val="00CD2A30"/>
    <w:rsid w:val="00CD5935"/>
    <w:rsid w:val="00CE01CE"/>
    <w:rsid w:val="00CE0BF0"/>
    <w:rsid w:val="00CE5521"/>
    <w:rsid w:val="00CE7E21"/>
    <w:rsid w:val="00CF400F"/>
    <w:rsid w:val="00CF41D8"/>
    <w:rsid w:val="00CF65F4"/>
    <w:rsid w:val="00D02AF6"/>
    <w:rsid w:val="00D07FF8"/>
    <w:rsid w:val="00D152DC"/>
    <w:rsid w:val="00D20FD7"/>
    <w:rsid w:val="00D23272"/>
    <w:rsid w:val="00D256BA"/>
    <w:rsid w:val="00D25792"/>
    <w:rsid w:val="00D311C7"/>
    <w:rsid w:val="00D33186"/>
    <w:rsid w:val="00D331F1"/>
    <w:rsid w:val="00D33BA9"/>
    <w:rsid w:val="00D42BCC"/>
    <w:rsid w:val="00D5050B"/>
    <w:rsid w:val="00D51108"/>
    <w:rsid w:val="00D53C8F"/>
    <w:rsid w:val="00D54F3B"/>
    <w:rsid w:val="00D56476"/>
    <w:rsid w:val="00D61DA5"/>
    <w:rsid w:val="00D64F8B"/>
    <w:rsid w:val="00D67906"/>
    <w:rsid w:val="00D730D4"/>
    <w:rsid w:val="00D73CF0"/>
    <w:rsid w:val="00D952B3"/>
    <w:rsid w:val="00D95C39"/>
    <w:rsid w:val="00DA1491"/>
    <w:rsid w:val="00DA4B45"/>
    <w:rsid w:val="00DA582C"/>
    <w:rsid w:val="00DA6216"/>
    <w:rsid w:val="00DB12F4"/>
    <w:rsid w:val="00DB1FB1"/>
    <w:rsid w:val="00DB3233"/>
    <w:rsid w:val="00DC2046"/>
    <w:rsid w:val="00DD05F6"/>
    <w:rsid w:val="00DD5AAE"/>
    <w:rsid w:val="00DE0A3E"/>
    <w:rsid w:val="00DE0E66"/>
    <w:rsid w:val="00DE34A4"/>
    <w:rsid w:val="00DF0896"/>
    <w:rsid w:val="00DF0DCB"/>
    <w:rsid w:val="00DF3F76"/>
    <w:rsid w:val="00E00972"/>
    <w:rsid w:val="00E01D34"/>
    <w:rsid w:val="00E02542"/>
    <w:rsid w:val="00E06F11"/>
    <w:rsid w:val="00E127AA"/>
    <w:rsid w:val="00E17158"/>
    <w:rsid w:val="00E176B2"/>
    <w:rsid w:val="00E230B7"/>
    <w:rsid w:val="00E30B15"/>
    <w:rsid w:val="00E32034"/>
    <w:rsid w:val="00E36DEE"/>
    <w:rsid w:val="00E37765"/>
    <w:rsid w:val="00E41CB6"/>
    <w:rsid w:val="00E47D30"/>
    <w:rsid w:val="00E510CA"/>
    <w:rsid w:val="00E605F2"/>
    <w:rsid w:val="00E650EC"/>
    <w:rsid w:val="00E66224"/>
    <w:rsid w:val="00E72DC1"/>
    <w:rsid w:val="00E7495F"/>
    <w:rsid w:val="00E800ED"/>
    <w:rsid w:val="00E814E9"/>
    <w:rsid w:val="00E816C7"/>
    <w:rsid w:val="00E85C38"/>
    <w:rsid w:val="00E877EB"/>
    <w:rsid w:val="00E87D4F"/>
    <w:rsid w:val="00E87DC0"/>
    <w:rsid w:val="00E91911"/>
    <w:rsid w:val="00E9450B"/>
    <w:rsid w:val="00E97CA4"/>
    <w:rsid w:val="00EA5229"/>
    <w:rsid w:val="00EA6B3F"/>
    <w:rsid w:val="00EB214E"/>
    <w:rsid w:val="00EB6671"/>
    <w:rsid w:val="00EB7BC5"/>
    <w:rsid w:val="00EC5D84"/>
    <w:rsid w:val="00EC6710"/>
    <w:rsid w:val="00EE3154"/>
    <w:rsid w:val="00EE53DD"/>
    <w:rsid w:val="00EF08C5"/>
    <w:rsid w:val="00EF3354"/>
    <w:rsid w:val="00EF3971"/>
    <w:rsid w:val="00EF4C73"/>
    <w:rsid w:val="00F007E4"/>
    <w:rsid w:val="00F15EBE"/>
    <w:rsid w:val="00F203E0"/>
    <w:rsid w:val="00F2585A"/>
    <w:rsid w:val="00F25992"/>
    <w:rsid w:val="00F300F9"/>
    <w:rsid w:val="00F343EC"/>
    <w:rsid w:val="00F402DE"/>
    <w:rsid w:val="00F41A20"/>
    <w:rsid w:val="00F436CF"/>
    <w:rsid w:val="00F46EBC"/>
    <w:rsid w:val="00F50631"/>
    <w:rsid w:val="00F52108"/>
    <w:rsid w:val="00F57C3A"/>
    <w:rsid w:val="00F6059C"/>
    <w:rsid w:val="00F6089F"/>
    <w:rsid w:val="00F616F8"/>
    <w:rsid w:val="00F640B2"/>
    <w:rsid w:val="00F6612A"/>
    <w:rsid w:val="00F71C66"/>
    <w:rsid w:val="00F7284A"/>
    <w:rsid w:val="00F80ACB"/>
    <w:rsid w:val="00F860F3"/>
    <w:rsid w:val="00F871D7"/>
    <w:rsid w:val="00F925B9"/>
    <w:rsid w:val="00F929CF"/>
    <w:rsid w:val="00FA3382"/>
    <w:rsid w:val="00FA47CA"/>
    <w:rsid w:val="00FA5D4E"/>
    <w:rsid w:val="00FB01C1"/>
    <w:rsid w:val="00FB1F36"/>
    <w:rsid w:val="00FD3CB9"/>
    <w:rsid w:val="00FD3CD6"/>
    <w:rsid w:val="00FD6A1E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DE72"/>
  <w15:docId w15:val="{85506D9C-9686-42B2-9D1F-309198D0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D18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42A54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C51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amsargsyan\Desktop\1-&#1387;&#1398;%20&#1396;&#1387;&#1403;&#1400;&#1409;&#1377;&#1404;&#1400;&#1410;&#1396;\&#1329;&#1408;&#1380;&#1387;&#1377;&#1391;&#1377;&#1398;&#1377;&#1409;&#1400;&#1410;&#1396;\&#1391;&#1398;&#1412;&#1406;&#1377;&#1390;%20&#1402;&#1377;&#1397;&#1396;&#1377;&#1398;&#1377;&#1379;&#1408;&#1381;&#1408;&#1387;%20&#1406;&#1381;&#1408;&#1377;&#1378;&#1381;&#1408;&#1397;&#1377;&#1388;-01-1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accent1">
                    <a:lumMod val="50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000" b="1">
                <a:solidFill>
                  <a:schemeClr val="accent1">
                    <a:lumMod val="50000"/>
                  </a:schemeClr>
                </a:solidFill>
                <a:latin typeface="GHEA Grapalat" panose="02000506050000020003" pitchFamily="50" charset="0"/>
              </a:rPr>
              <a:t>Գրաֆիկ 1․ Արտադրողականության փոփոխությունը՝ կախված ոլորտում թվային տեխնոլոգիաների օգտագործման ինտենսիվությունից</a:t>
            </a:r>
            <a:endParaRPr lang="en-US" sz="1000" b="1">
              <a:solidFill>
                <a:schemeClr val="accent1">
                  <a:lumMod val="50000"/>
                </a:schemeClr>
              </a:solidFill>
              <a:latin typeface="GHEA Grapalat" panose="02000506050000020003" pitchFamily="50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accent1">
                  <a:lumMod val="50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Sheet1!$C$83</c:f>
              <c:strCache>
                <c:ptCount val="1"/>
                <c:pt idx="0">
                  <c:v>Թվային տեխնոլոգիաների ինտենսիվ օգտագործում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strRef>
              <c:f>Sheet1!$B$84:$B$91</c:f>
              <c:strCache>
                <c:ptCount val="8"/>
                <c:pt idx="0">
                  <c:v>2009 թ․</c:v>
                </c:pt>
                <c:pt idx="1">
                  <c:v>2010 թ․</c:v>
                </c:pt>
                <c:pt idx="2">
                  <c:v>2011 թ․</c:v>
                </c:pt>
                <c:pt idx="3">
                  <c:v>2012 թ․</c:v>
                </c:pt>
                <c:pt idx="4">
                  <c:v>2013 թ․</c:v>
                </c:pt>
                <c:pt idx="5">
                  <c:v>2014 թ․</c:v>
                </c:pt>
                <c:pt idx="6">
                  <c:v>2015 թ․</c:v>
                </c:pt>
                <c:pt idx="7">
                  <c:v>2016 թ․</c:v>
                </c:pt>
              </c:strCache>
            </c:strRef>
          </c:xVal>
          <c:yVal>
            <c:numRef>
              <c:f>Sheet1!$C$84:$C$91</c:f>
              <c:numCache>
                <c:formatCode>General</c:formatCode>
                <c:ptCount val="8"/>
                <c:pt idx="0">
                  <c:v>100</c:v>
                </c:pt>
                <c:pt idx="1">
                  <c:v>100</c:v>
                </c:pt>
                <c:pt idx="2">
                  <c:v>101</c:v>
                </c:pt>
                <c:pt idx="3">
                  <c:v>103</c:v>
                </c:pt>
                <c:pt idx="4">
                  <c:v>98</c:v>
                </c:pt>
                <c:pt idx="5">
                  <c:v>102</c:v>
                </c:pt>
                <c:pt idx="6">
                  <c:v>104</c:v>
                </c:pt>
                <c:pt idx="7">
                  <c:v>105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7B4-4E60-8810-8328AFAE4B85}"/>
            </c:ext>
          </c:extLst>
        </c:ser>
        <c:ser>
          <c:idx val="1"/>
          <c:order val="1"/>
          <c:tx>
            <c:strRef>
              <c:f>Sheet1!$D$83</c:f>
              <c:strCache>
                <c:ptCount val="1"/>
                <c:pt idx="0">
                  <c:v>Թվային տեխնոլոգիաների ոչ ինտենսիվ օգտագործում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strRef>
              <c:f>Sheet1!$B$84:$B$91</c:f>
              <c:strCache>
                <c:ptCount val="8"/>
                <c:pt idx="0">
                  <c:v>2009 թ․</c:v>
                </c:pt>
                <c:pt idx="1">
                  <c:v>2010 թ․</c:v>
                </c:pt>
                <c:pt idx="2">
                  <c:v>2011 թ․</c:v>
                </c:pt>
                <c:pt idx="3">
                  <c:v>2012 թ․</c:v>
                </c:pt>
                <c:pt idx="4">
                  <c:v>2013 թ․</c:v>
                </c:pt>
                <c:pt idx="5">
                  <c:v>2014 թ․</c:v>
                </c:pt>
                <c:pt idx="6">
                  <c:v>2015 թ․</c:v>
                </c:pt>
                <c:pt idx="7">
                  <c:v>2016 թ․</c:v>
                </c:pt>
              </c:strCache>
            </c:strRef>
          </c:xVal>
          <c:yVal>
            <c:numRef>
              <c:f>Sheet1!$D$84:$D$91</c:f>
              <c:numCache>
                <c:formatCode>General</c:formatCode>
                <c:ptCount val="8"/>
                <c:pt idx="0">
                  <c:v>100</c:v>
                </c:pt>
                <c:pt idx="1">
                  <c:v>99</c:v>
                </c:pt>
                <c:pt idx="2">
                  <c:v>96</c:v>
                </c:pt>
                <c:pt idx="3">
                  <c:v>96</c:v>
                </c:pt>
                <c:pt idx="4">
                  <c:v>94</c:v>
                </c:pt>
                <c:pt idx="5">
                  <c:v>95</c:v>
                </c:pt>
                <c:pt idx="6">
                  <c:v>97</c:v>
                </c:pt>
                <c:pt idx="7">
                  <c:v>98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7B4-4E60-8810-8328AFAE4B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3803832"/>
        <c:axId val="493799912"/>
      </c:scatterChart>
      <c:valAx>
        <c:axId val="493803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3799912"/>
        <c:crosses val="autoZero"/>
        <c:crossBetween val="midCat"/>
      </c:valAx>
      <c:valAx>
        <c:axId val="493799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380383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000">
                <a:latin typeface="GHEA Grapalat" panose="02000506050000020003" pitchFamily="50" charset="0"/>
              </a:rPr>
              <a:t>Գրաֆիկ 6․ Արտադրողականության վրա ազդող գործոնները</a:t>
            </a:r>
            <a:endParaRPr lang="en-US" sz="1000">
              <a:latin typeface="GHEA Grapalat" panose="02000506050000020003" pitchFamily="50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Վերապատրաստումներ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Sheet1!$B$1</c:f>
              <c:numCache>
                <c:formatCode>General</c:formatCode>
                <c:ptCount val="1"/>
                <c:pt idx="0">
                  <c:v>3.7189999999999999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6A-4101-989A-F949E41A7C3A}"/>
            </c:ext>
          </c:extLst>
        </c:ser>
        <c:ser>
          <c:idx val="1"/>
          <c:order val="1"/>
          <c:tx>
            <c:strRef>
              <c:f>Sheet1!$A$2</c:f>
              <c:strCache>
                <c:ptCount val="1"/>
                <c:pt idx="0">
                  <c:v>Գերարագ համացանցի օգտագործում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Sheet1!$B$2</c:f>
              <c:numCache>
                <c:formatCode>General</c:formatCode>
                <c:ptCount val="1"/>
                <c:pt idx="0">
                  <c:v>3.16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B6A-4101-989A-F949E41A7C3A}"/>
            </c:ext>
          </c:extLst>
        </c:ser>
        <c:ser>
          <c:idx val="2"/>
          <c:order val="2"/>
          <c:tx>
            <c:strRef>
              <c:f>Sheet1!$A$3</c:f>
              <c:strCache>
                <c:ptCount val="1"/>
                <c:pt idx="0">
                  <c:v>Ազատ մրցակցային հարաբերությունների կարգավորում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Sheet1!$B$3</c:f>
              <c:numCache>
                <c:formatCode>General</c:formatCode>
                <c:ptCount val="1"/>
                <c:pt idx="0">
                  <c:v>2.2080000000000002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B6A-4101-989A-F949E41A7C3A}"/>
            </c:ext>
          </c:extLst>
        </c:ser>
        <c:ser>
          <c:idx val="3"/>
          <c:order val="3"/>
          <c:tx>
            <c:strRef>
              <c:f>Sheet1!$A$4</c:f>
              <c:strCache>
                <c:ptCount val="1"/>
                <c:pt idx="0">
                  <c:v>Նորարարական start up-երի համար մատչելի ֆինանսական միջոցների ապահովում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Sheet1!$B$4</c:f>
              <c:numCache>
                <c:formatCode>General</c:formatCode>
                <c:ptCount val="1"/>
                <c:pt idx="0">
                  <c:v>1.8740000000000001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B6A-4101-989A-F949E41A7C3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93463880"/>
        <c:axId val="493468192"/>
      </c:barChart>
      <c:catAx>
        <c:axId val="49346388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93468192"/>
        <c:crosses val="autoZero"/>
        <c:auto val="1"/>
        <c:lblAlgn val="ctr"/>
        <c:lblOffset val="100"/>
        <c:noMultiLvlLbl val="0"/>
      </c:catAx>
      <c:valAx>
        <c:axId val="49346819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934638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BCFA8-64F6-4056-BEE6-744E7D67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1802</Words>
  <Characters>10278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https:/mul2-mineconomy.gov.am/tasks/595335/oneclick/355-Himnavorum-2301.docx?token=b52552159eb3c58ea239272eb7475643</cp:keywords>
  <dc:description/>
  <cp:lastModifiedBy>Narine T. Haroyan</cp:lastModifiedBy>
  <cp:revision>3</cp:revision>
  <dcterms:created xsi:type="dcterms:W3CDTF">2024-01-23T14:15:00Z</dcterms:created>
  <dcterms:modified xsi:type="dcterms:W3CDTF">2024-01-25T05:42:00Z</dcterms:modified>
  <dc:language>en-US</dc:language>
</cp:coreProperties>
</file>