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344" w:rsidRPr="000A66B4" w:rsidRDefault="006F6344" w:rsidP="006F6344">
      <w:pPr>
        <w:shd w:val="clear" w:color="auto" w:fill="FFFFFF"/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0A66B4">
        <w:rPr>
          <w:rFonts w:ascii="GHEA Grapalat" w:hAnsi="GHEA Grapalat"/>
          <w:sz w:val="24"/>
          <w:szCs w:val="24"/>
          <w:lang w:val="hy-AM"/>
        </w:rPr>
        <w:t>Հավելված 2</w:t>
      </w:r>
    </w:p>
    <w:p w:rsidR="006F6344" w:rsidRPr="000A66B4" w:rsidRDefault="006F6344" w:rsidP="000A66B4">
      <w:pPr>
        <w:shd w:val="clear" w:color="auto" w:fill="FFFFFF"/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0A66B4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Հայաստանի Հանրապետության կառավարության</w:t>
      </w:r>
    </w:p>
    <w:p w:rsidR="006F6344" w:rsidRPr="000A66B4" w:rsidRDefault="006F6344" w:rsidP="006F6344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0A66B4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_______թվականի_____________-ի N __________որոշման</w:t>
      </w:r>
    </w:p>
    <w:p w:rsidR="006F6344" w:rsidRPr="000A66B4" w:rsidRDefault="006F6344" w:rsidP="006F6344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6F6344" w:rsidRPr="000A66B4" w:rsidRDefault="006F6344" w:rsidP="006F634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6F6344" w:rsidRPr="000A66B4" w:rsidRDefault="006F6344" w:rsidP="006F6344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0A66B4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ԿԱՌԱՎԱՐՈՒԹՅԱՆ «</w:t>
      </w:r>
      <w:r w:rsidRPr="000A66B4">
        <w:rPr>
          <w:rFonts w:ascii="GHEA Grapalat" w:hAnsi="GHEA Grapalat"/>
          <w:sz w:val="24"/>
          <w:szCs w:val="24"/>
          <w:lang w:val="hy-AM"/>
        </w:rPr>
        <w:t>ՄԻՆՉԵՎ 2026 ԹՎԱԿԱՆԸ ԿԱՌՈՒՑՎՈՂ, ՀԻՄՆԱՆՈՐՈԳՎՈՂ ԿԱՄ ՎԵՐԱԿԱՌՈՒՑՎՈՂ 300 ԴՊՐՈՑՆԵՐ»-Ի ԾՐԱԳՐՈՒՄ ԸՆԴԳՐԿՎԱԾ ԴՊՐՈՑՆԵՐԻ ՀԱՄԱՐ ՍԱՀՄԱՆՎԱԾ ՇԻՆԱՐԱՐԱԿԱՆ ԱՇԽԱՏԱՆՔՆԵՐԻ՝ ԿԱՌՈՒՑՄԱՆ, ՎԵՐԱԿԱՌՈՒՑՄԱՆ ԿԱՄ ՀԻՄՆԱՆՈՐՈԳՄԱՆ ՀԱՄԱՐ ՄԻՋԱՄՏՈՒԹՅԱՆ ԱՍՏԻՃԱՆԻ ԸՆՏՐՈՒԹՅԱՆ ՉԱՓՈՐՈՇԻՉՆԵՐԸ</w:t>
      </w:r>
    </w:p>
    <w:p w:rsidR="006F6344" w:rsidRPr="000A66B4" w:rsidRDefault="006F6344" w:rsidP="006F6344">
      <w:pPr>
        <w:pStyle w:val="ListParagraph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</w:p>
    <w:p w:rsidR="006F6344" w:rsidRPr="000A66B4" w:rsidRDefault="006F6344" w:rsidP="006F634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1988 թվականի ավերիչ երկրաշարժից հետո ամբողջությամբ վերանայվել են երկրաշարժադիմացկուն շինարարության և նախագծմ</w:t>
      </w:r>
      <w:r w:rsidR="000A66B4"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մոտեցումները և դրա արդյունքում դեռևս 1994 թվականին (ՀՀՇՆ II - 2.02- 94 «Սեյսմակայուն շինարարություն. Նախագծման նորմեր»), իսկ հետո նաև 2006 թվականին (ՀՀՇՆ II - 6.02- 2006 «Սեյսմակայուն շինարարություն. Նախագծման նորմեր») մշակվել և ընդունվել են սեյսմակայուն շինարարության նորմատիվատեխնիկական փաստաթղթեր, որոնցով սահմանվել են նոր պահանջներ և վերագնահատվել </w:t>
      </w:r>
      <w:r w:rsidR="000A66B4"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կազմվել է հանրապետության սեյսմոշրջանցման նոր քարտեզ</w:t>
      </w:r>
      <w:r w:rsidR="000A66B4"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։ Ն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մանատիպ շենքերի նախագծման ու կառուցման համար </w:t>
      </w:r>
      <w:r w:rsidR="000A66B4"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նախկինում</w:t>
      </w:r>
      <w:r w:rsidR="000A66B4"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սահմանվել է առնվազն 9 բալ սեյմակայունության պահանջ, իսկ հետո նաև բալային համակարգը վերանայվել է և սեյսմակայուն շինարարության հիմնական ցուցիչ է սահմանվել </w:t>
      </w:r>
      <w:r w:rsidRPr="000A66B4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գրունտների սպասվելիք հորիզոնական արագացումների մեծությունները ըստ սեյսմիկ գոտիների, 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որոնք երեքն են և ՀՀՇՆ II - 6.02- 2006 «Սեյսմակայուն շինարարություն. Նախագծման նորմեր»-ով ընդուված էին հաշվարկային՝</w:t>
      </w:r>
    </w:p>
    <w:p w:rsidR="006F6344" w:rsidRPr="000A66B4" w:rsidRDefault="006F6344" w:rsidP="006F634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2" w:type="dxa"/>
          <w:right w:w="42" w:type="dxa"/>
        </w:tblCellMar>
        <w:tblLook w:val="0000" w:firstRow="0" w:lastRow="0" w:firstColumn="0" w:lastColumn="0" w:noHBand="0" w:noVBand="0"/>
      </w:tblPr>
      <w:tblGrid>
        <w:gridCol w:w="6705"/>
        <w:gridCol w:w="850"/>
        <w:gridCol w:w="851"/>
        <w:gridCol w:w="850"/>
      </w:tblGrid>
      <w:tr w:rsidR="006F6344" w:rsidRPr="000A66B4" w:rsidTr="00715B87">
        <w:trPr>
          <w:jc w:val="center"/>
        </w:trPr>
        <w:tc>
          <w:tcPr>
            <w:tcW w:w="6705" w:type="dxa"/>
          </w:tcPr>
          <w:p w:rsidR="006F6344" w:rsidRPr="000A66B4" w:rsidRDefault="006F6344" w:rsidP="00715B8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A66B4">
              <w:rPr>
                <w:rFonts w:ascii="GHEA Grapalat" w:hAnsi="GHEA Grapalat" w:cs="Sylfaen"/>
                <w:sz w:val="24"/>
                <w:szCs w:val="24"/>
                <w:lang w:val="hy-AM"/>
              </w:rPr>
              <w:t>Սեյսմիկ</w:t>
            </w:r>
            <w:r w:rsidRPr="000A66B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A66B4">
              <w:rPr>
                <w:rFonts w:ascii="GHEA Grapalat" w:hAnsi="GHEA Grapalat" w:cs="Sylfaen"/>
                <w:sz w:val="24"/>
                <w:szCs w:val="24"/>
                <w:lang w:val="hy-AM"/>
              </w:rPr>
              <w:t>գոտիներ</w:t>
            </w:r>
          </w:p>
        </w:tc>
        <w:tc>
          <w:tcPr>
            <w:tcW w:w="850" w:type="dxa"/>
          </w:tcPr>
          <w:p w:rsidR="006F6344" w:rsidRPr="000A66B4" w:rsidRDefault="006F6344" w:rsidP="00715B8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0A66B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851" w:type="dxa"/>
          </w:tcPr>
          <w:p w:rsidR="006F6344" w:rsidRPr="000A66B4" w:rsidRDefault="006F6344" w:rsidP="00715B8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0A66B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</w:t>
            </w:r>
          </w:p>
        </w:tc>
        <w:tc>
          <w:tcPr>
            <w:tcW w:w="850" w:type="dxa"/>
          </w:tcPr>
          <w:p w:rsidR="006F6344" w:rsidRPr="000A66B4" w:rsidRDefault="006F6344" w:rsidP="00715B8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0A66B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</w:p>
        </w:tc>
      </w:tr>
      <w:tr w:rsidR="006F6344" w:rsidRPr="000A66B4" w:rsidTr="00715B87">
        <w:trPr>
          <w:jc w:val="center"/>
        </w:trPr>
        <w:tc>
          <w:tcPr>
            <w:tcW w:w="6705" w:type="dxa"/>
          </w:tcPr>
          <w:p w:rsidR="006F6344" w:rsidRPr="000A66B4" w:rsidRDefault="006F6344" w:rsidP="00715B8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A66B4">
              <w:rPr>
                <w:rFonts w:ascii="GHEA Grapalat" w:hAnsi="GHEA Grapalat" w:cs="Sylfaen"/>
                <w:sz w:val="24"/>
                <w:szCs w:val="24"/>
                <w:lang w:val="hy-AM"/>
              </w:rPr>
              <w:t>Գրունտի</w:t>
            </w:r>
            <w:r w:rsidRPr="000A66B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A66B4">
              <w:rPr>
                <w:rFonts w:ascii="GHEA Grapalat" w:hAnsi="GHEA Grapalat" w:cs="Sylfaen"/>
                <w:sz w:val="24"/>
                <w:szCs w:val="24"/>
                <w:lang w:val="hy-AM"/>
              </w:rPr>
              <w:t>հորիզոնական</w:t>
            </w:r>
            <w:r w:rsidRPr="000A66B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A66B4">
              <w:rPr>
                <w:rFonts w:ascii="GHEA Grapalat" w:hAnsi="GHEA Grapalat" w:cs="Sylfaen"/>
                <w:sz w:val="24"/>
                <w:szCs w:val="24"/>
                <w:lang w:val="hy-AM"/>
              </w:rPr>
              <w:t>արագացման</w:t>
            </w:r>
            <w:r w:rsidRPr="000A66B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A66B4">
              <w:rPr>
                <w:rFonts w:ascii="GHEA Grapalat" w:hAnsi="GHEA Grapalat" w:cs="Sylfaen"/>
                <w:sz w:val="24"/>
                <w:szCs w:val="24"/>
                <w:lang w:val="hy-AM"/>
              </w:rPr>
              <w:t>մեծությունը</w:t>
            </w:r>
            <w:r w:rsidRPr="000A66B4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0A66B4">
              <w:rPr>
                <w:rFonts w:ascii="GHEA Grapalat" w:hAnsi="GHEA Grapalat"/>
                <w:b/>
                <w:sz w:val="24"/>
                <w:szCs w:val="24"/>
                <w:lang w:val="hy-AM"/>
              </w:rPr>
              <w:t>a</w:t>
            </w:r>
            <w:r w:rsidRPr="000A66B4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0A66B4">
              <w:rPr>
                <w:rFonts w:ascii="GHEA Grapalat" w:hAnsi="GHEA Grapalat" w:cs="Sylfaen"/>
                <w:sz w:val="24"/>
                <w:szCs w:val="24"/>
                <w:lang w:val="hy-AM"/>
              </w:rPr>
              <w:t>սմ</w:t>
            </w:r>
            <w:r w:rsidRPr="000A66B4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Pr="000A66B4">
              <w:rPr>
                <w:rFonts w:ascii="GHEA Grapalat" w:hAnsi="GHEA Grapalat" w:cs="Sylfaen"/>
                <w:sz w:val="24"/>
                <w:szCs w:val="24"/>
                <w:lang w:val="hy-AM"/>
              </w:rPr>
              <w:t>վրկ</w:t>
            </w:r>
            <w:r w:rsidRPr="000A66B4">
              <w:rPr>
                <w:rFonts w:ascii="GHEA Grapalat" w:hAnsi="GHEA Grapalat"/>
                <w:sz w:val="24"/>
                <w:szCs w:val="24"/>
                <w:vertAlign w:val="superscript"/>
                <w:lang w:val="hy-AM"/>
              </w:rPr>
              <w:t>2</w:t>
            </w:r>
          </w:p>
        </w:tc>
        <w:tc>
          <w:tcPr>
            <w:tcW w:w="850" w:type="dxa"/>
            <w:vAlign w:val="center"/>
          </w:tcPr>
          <w:p w:rsidR="006F6344" w:rsidRPr="000A66B4" w:rsidRDefault="006F6344" w:rsidP="00715B8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A66B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200</w:t>
            </w:r>
          </w:p>
        </w:tc>
        <w:tc>
          <w:tcPr>
            <w:tcW w:w="851" w:type="dxa"/>
            <w:vAlign w:val="center"/>
          </w:tcPr>
          <w:p w:rsidR="006F6344" w:rsidRPr="000A66B4" w:rsidRDefault="006F6344" w:rsidP="00715B8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A66B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300</w:t>
            </w:r>
          </w:p>
        </w:tc>
        <w:tc>
          <w:tcPr>
            <w:tcW w:w="850" w:type="dxa"/>
            <w:vAlign w:val="center"/>
          </w:tcPr>
          <w:p w:rsidR="006F6344" w:rsidRPr="000A66B4" w:rsidRDefault="006F6344" w:rsidP="00715B8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A66B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400</w:t>
            </w:r>
          </w:p>
        </w:tc>
      </w:tr>
    </w:tbl>
    <w:p w:rsidR="006F6344" w:rsidRPr="000A66B4" w:rsidRDefault="006F6344" w:rsidP="006F634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6F6344" w:rsidRPr="000A66B4" w:rsidRDefault="006F6344" w:rsidP="006F6344">
      <w:pPr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2020 թվականին ընդունվել է նաև ՀՀՇՆ-20.04 «Երկրաշարժադիմացկուն շինարարություն նորմեր. Նախագծման նորմեր»-ը, որով փոփոխություն է կատարվել նաև</w:t>
      </w:r>
      <w:r w:rsidRPr="000A66B4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գրունտների սպասվելիք </w:t>
      </w:r>
      <w:r w:rsidRPr="000A66B4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lastRenderedPageBreak/>
        <w:t xml:space="preserve">հորիզոնական արագացումների մեծությունները ըստ սեյսմիկ գոտիների ցուցիչում 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նորմի 5-րդ գլխի 12-րդ կետով դրանք սահմանվել են հետևյալ կերպ.</w:t>
      </w:r>
    </w:p>
    <w:p w:rsidR="006F6344" w:rsidRPr="000A66B4" w:rsidRDefault="006F6344" w:rsidP="006F6344">
      <w:pPr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6592"/>
        <w:gridCol w:w="850"/>
        <w:gridCol w:w="851"/>
        <w:gridCol w:w="850"/>
      </w:tblGrid>
      <w:tr w:rsidR="006F6344" w:rsidRPr="000A66B4" w:rsidTr="00715B87">
        <w:trPr>
          <w:jc w:val="center"/>
        </w:trPr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344" w:rsidRPr="000A66B4" w:rsidRDefault="006F6344" w:rsidP="00715B87">
            <w:pPr>
              <w:pStyle w:val="BodyTextIndent"/>
              <w:spacing w:line="360" w:lineRule="auto"/>
              <w:ind w:firstLine="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66B4">
              <w:rPr>
                <w:rFonts w:ascii="GHEA Grapalat" w:hAnsi="GHEA Grapalat" w:cs="Sylfaen"/>
                <w:sz w:val="24"/>
                <w:szCs w:val="24"/>
                <w:lang w:val="hy-AM"/>
              </w:rPr>
              <w:t>Սեյսմիկ</w:t>
            </w:r>
            <w:r w:rsidRPr="000A66B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A66B4">
              <w:rPr>
                <w:rFonts w:ascii="GHEA Grapalat" w:hAnsi="GHEA Grapalat" w:cs="Sylfaen"/>
                <w:sz w:val="24"/>
                <w:szCs w:val="24"/>
                <w:lang w:val="hy-AM"/>
              </w:rPr>
              <w:t>գոտիներ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344" w:rsidRPr="000A66B4" w:rsidRDefault="006F6344" w:rsidP="00715B87">
            <w:pPr>
              <w:pStyle w:val="BodyTextIndent"/>
              <w:spacing w:line="360" w:lineRule="auto"/>
              <w:ind w:firstLine="25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A66B4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344" w:rsidRPr="000A66B4" w:rsidRDefault="006F6344" w:rsidP="00715B87">
            <w:pPr>
              <w:pStyle w:val="BodyTextIndent"/>
              <w:spacing w:line="360" w:lineRule="auto"/>
              <w:ind w:firstLine="25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A66B4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344" w:rsidRPr="000A66B4" w:rsidRDefault="006F6344" w:rsidP="00715B87">
            <w:pPr>
              <w:pStyle w:val="BodyTextIndent"/>
              <w:spacing w:line="360" w:lineRule="auto"/>
              <w:ind w:firstLine="25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A66B4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</w:p>
        </w:tc>
      </w:tr>
      <w:tr w:rsidR="006F6344" w:rsidRPr="000A66B4" w:rsidTr="00715B87">
        <w:trPr>
          <w:jc w:val="center"/>
        </w:trPr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344" w:rsidRPr="000A66B4" w:rsidRDefault="006F6344" w:rsidP="00715B87">
            <w:pPr>
              <w:pStyle w:val="BodyTextIndent"/>
              <w:spacing w:line="360" w:lineRule="auto"/>
              <w:ind w:firstLine="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66B4">
              <w:rPr>
                <w:rFonts w:ascii="GHEA Grapalat" w:hAnsi="GHEA Grapalat" w:cs="Sylfaen"/>
                <w:sz w:val="24"/>
                <w:szCs w:val="24"/>
                <w:lang w:val="hy-AM"/>
              </w:rPr>
              <w:t>Գրունտի</w:t>
            </w:r>
            <w:r w:rsidRPr="000A66B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A66B4">
              <w:rPr>
                <w:rFonts w:ascii="GHEA Grapalat" w:hAnsi="GHEA Grapalat" w:cs="Sylfaen"/>
                <w:sz w:val="24"/>
                <w:szCs w:val="24"/>
                <w:lang w:val="hy-AM"/>
              </w:rPr>
              <w:t>հորիզոնական</w:t>
            </w:r>
            <w:r w:rsidRPr="000A66B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A66B4">
              <w:rPr>
                <w:rFonts w:ascii="GHEA Grapalat" w:hAnsi="GHEA Grapalat" w:cs="Sylfaen"/>
                <w:sz w:val="24"/>
                <w:szCs w:val="24"/>
                <w:lang w:val="hy-AM"/>
              </w:rPr>
              <w:t>արագացման</w:t>
            </w:r>
            <w:r w:rsidRPr="000A66B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A66B4">
              <w:rPr>
                <w:rFonts w:ascii="GHEA Grapalat" w:hAnsi="GHEA Grapalat" w:cs="Sylfaen"/>
                <w:sz w:val="24"/>
                <w:szCs w:val="24"/>
                <w:lang w:val="hy-AM"/>
              </w:rPr>
              <w:t>մեծությունը</w:t>
            </w:r>
            <w:r w:rsidRPr="000A66B4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0A66B4">
              <w:rPr>
                <w:rFonts w:ascii="GHEA Grapalat" w:hAnsi="GHEA Grapalat"/>
                <w:b/>
                <w:sz w:val="24"/>
                <w:szCs w:val="24"/>
                <w:lang w:val="hy-AM"/>
              </w:rPr>
              <w:t>a</w:t>
            </w:r>
            <w:r w:rsidRPr="000A66B4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0A66B4">
              <w:rPr>
                <w:rFonts w:ascii="GHEA Grapalat" w:hAnsi="GHEA Grapalat" w:cs="Sylfaen"/>
                <w:sz w:val="24"/>
                <w:szCs w:val="24"/>
                <w:lang w:val="hy-AM"/>
              </w:rPr>
              <w:t>սմ</w:t>
            </w:r>
            <w:r w:rsidRPr="000A66B4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Pr="000A66B4">
              <w:rPr>
                <w:rFonts w:ascii="GHEA Grapalat" w:hAnsi="GHEA Grapalat" w:cs="Sylfaen"/>
                <w:sz w:val="24"/>
                <w:szCs w:val="24"/>
                <w:lang w:val="hy-AM"/>
              </w:rPr>
              <w:t>վրկ</w:t>
            </w:r>
            <w:r w:rsidRPr="000A66B4">
              <w:rPr>
                <w:rFonts w:ascii="GHEA Grapalat" w:hAnsi="GHEA Grapalat"/>
                <w:sz w:val="24"/>
                <w:szCs w:val="24"/>
                <w:vertAlign w:val="superscript"/>
                <w:lang w:val="hy-AM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344" w:rsidRPr="000A66B4" w:rsidRDefault="006F6344" w:rsidP="00715B87">
            <w:pPr>
              <w:pStyle w:val="BodyTextIndent"/>
              <w:spacing w:line="360" w:lineRule="auto"/>
              <w:ind w:firstLine="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66B4">
              <w:rPr>
                <w:rFonts w:ascii="GHEA Grapalat" w:hAnsi="GHEA Grapalat"/>
                <w:sz w:val="24"/>
                <w:szCs w:val="24"/>
                <w:lang w:val="hy-AM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344" w:rsidRPr="000A66B4" w:rsidRDefault="006F6344" w:rsidP="00715B87">
            <w:pPr>
              <w:pStyle w:val="BodyTextIndent"/>
              <w:spacing w:line="360" w:lineRule="auto"/>
              <w:ind w:firstLine="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66B4">
              <w:rPr>
                <w:rFonts w:ascii="GHEA Grapalat" w:hAnsi="GHEA Grapalat"/>
                <w:sz w:val="24"/>
                <w:szCs w:val="24"/>
                <w:lang w:val="hy-AM"/>
              </w:rPr>
              <w:t>400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344" w:rsidRPr="000A66B4" w:rsidRDefault="006F6344" w:rsidP="00715B87">
            <w:pPr>
              <w:pStyle w:val="BodyTextIndent"/>
              <w:spacing w:line="360" w:lineRule="auto"/>
              <w:ind w:firstLine="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66B4">
              <w:rPr>
                <w:rFonts w:ascii="GHEA Grapalat" w:hAnsi="GHEA Grapalat"/>
                <w:sz w:val="24"/>
                <w:szCs w:val="24"/>
                <w:lang w:val="hy-AM"/>
              </w:rPr>
              <w:t>500</w:t>
            </w:r>
          </w:p>
        </w:tc>
      </w:tr>
    </w:tbl>
    <w:p w:rsidR="006F6344" w:rsidRPr="000A66B4" w:rsidRDefault="006F6344" w:rsidP="006F634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6F6344" w:rsidRPr="000A66B4" w:rsidRDefault="006F6344" w:rsidP="006F634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Արդյունքում</w:t>
      </w:r>
      <w:r w:rsidR="000A66B4"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շենքերի կոնստրուկտիվ համակարգերի նախագծման ժամանակ էապես բարձրացել է դրանց ամրության, կոշտության և պատասխանատվության գործակիցների հաշվարկային մեծությունները, ինչի արդյունքում շենքերը նախկին դասակարգումների տերմինաբանության կիրառման դեպքում պետք է դիմակայեն 9 բալից ավել սեյսմիկ ազդեցությունների:</w:t>
      </w:r>
    </w:p>
    <w:p w:rsidR="006F6344" w:rsidRPr="000A66B4" w:rsidRDefault="006F6344" w:rsidP="006F634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Ներկայում</w:t>
      </w:r>
      <w:r w:rsid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ս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գործում </w:t>
      </w:r>
      <w:r w:rsid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են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նաև ՀՀՇՆ 20-06-2014 «Շենքերի և կառուցվածքների վերակառուցում, վերականգնում և ուժեղացում. հիմնական դրույթներ» շինարարական նորմերը: Նշված նորմատիվատեխնիկական փաստաթուղթը սահմանում է նաև գոյություն ունեցող շենք</w:t>
      </w:r>
      <w:r w:rsid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ե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րին շինարարական միջամտության նվազագույն թույլատրելի մակարդակը, որով ի թիվս այլ գործառնական նշանակության շենքերի, դպրոցների համար նախատեսված է սեյսմակայունության բարձրացման պարտադիր պահանջ: Ընդ որում, ի թիվս այլ պարտադիր կոնստրուկտիվ միջամտության պայմանների, սահմաված է </w:t>
      </w:r>
      <w:r w:rsidRPr="000A66B4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սեյսմազինվածության բարձրացման քանակական գնահատման՝ սեյսմազինվածության KCB  գործակիցը, որը բավարարում է 0,5 ≤ KCB &lt; 1 պայմանին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: Նշված գործակցի միջակայքի ընտրությունը վերապահված է Պատվիրատուին, սակայն </w:t>
      </w:r>
      <w:r w:rsid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անհրաժեշտ է 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հաշվի առնել շենքի փաստացի տեխնիկական վիճակը և գործառնական նշանակությամբ շենքը շահագործելու հանգամանքը</w:t>
      </w:r>
      <w:r w:rsid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։ 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Դպրոցների վերակառուցման դեպքում, կախված տնտեսական ազդեցության և ֆինանսական միջոցների սղության հանգամանքներից</w:t>
      </w:r>
      <w:r w:rsid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տարբեր տարիների ընտրվել են թույլատրելի ավելի ցածր</w:t>
      </w:r>
      <w:r w:rsid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0.5 և դրան մոտ գործակիցներ, սակայն հաշվի առնելով նման շենքային հաստատությունների կարևորությունը և պատասխանատվության բարձր աստիճանը առավել ցանկալի է ընտրել և հաշվարկել KCB=1 գործակիցը, որի կիրառման դեպքում շինարարական միջամտության աստիճանը հավասարվում է </w:t>
      </w:r>
      <w:r w:rsidRPr="000A66B4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ուժեղացման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մակարդակին: </w:t>
      </w:r>
      <w:r w:rsid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Գոյություն ունեցող շենքի ուժեղացում</w:t>
      </w:r>
      <w:r w:rsid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միջամտությունը նույնպես սահմանված է նույն նորմատիվատեխնիկական փաստաթղթի 3-րդ կետո՝ այն է</w:t>
      </w:r>
    </w:p>
    <w:p w:rsidR="006F6344" w:rsidRPr="000A66B4" w:rsidRDefault="006F6344" w:rsidP="006F6344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0A66B4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ուժեղացում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– շինարարական աշխատանքների և միջոցառումների համալիր, ուղղված շենքի կամ կառուցվածքի կոնստրուկտիվ տարրերի վերակառուցման միջոցով սեյսմազինվածությունը գործող նորմատիվ պահանջներին համապատասխանեցմանը</w:t>
      </w:r>
    </w:p>
    <w:p w:rsidR="006F6344" w:rsidRPr="000A66B4" w:rsidRDefault="006F6344" w:rsidP="006F6344">
      <w:pP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0A66B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Վերակառուցման խնդիրները և արդյունքները</w:t>
      </w:r>
    </w:p>
    <w:p w:rsidR="006F6344" w:rsidRPr="000A66B4" w:rsidRDefault="006F6344" w:rsidP="006F634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Գոյություն ունեցող շենքերի վերակառուցման, սեյսմազինվածության բարձացման կամ ուժեղացման գործընթացների իրականացման ժամանակ առաջնային ուսումնասիրվում են շենքի տեխնիկական վիճակը՝ համաձայն նույն կարգի և այլ նորմատիվատեխնիկական պահանջների: Դրա արդյունքներով կազմվում է եզրակացություն</w:t>
      </w:r>
      <w:r w:rsid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շենքի վնասվածության աստիճանի վերաբերյալ ու սահմանվում են շինարարական միջամտության պարտադիր միջոցառումներ: Նշված եզրակացության ու Պատվիրատուի առաջադրանքի հիման վրա կազմվում են տվյալ օբյեկտի վերակառուցման նախագծանախահաշվային փաստաթղթեր: </w:t>
      </w:r>
      <w:r w:rsid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Ո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րպես կանոն, շինարարական աշխատանքների ընթացքում առաջանում են բազմաթիվ խնդիրներ՝ մասնավորապես կոնստրուկցիաների բացումների ժամանակ ի հայտ են գալիս նոր հանգամանքներ</w:t>
      </w:r>
      <w:r w:rsid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կապված նախկինում թերի իրականացված հանգույցների, անորակ շինաշխատանքների, այլ նմանատիպ խնդիրների հետ, որոնք էապես թանկացնում են և երկարացնում են շինարարական աշխատանքների ընթացքը</w:t>
      </w:r>
      <w:r w:rsid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ընդհուպ հանգեցնելով մինչև շինարարական աշխատանքների դադարի, վերանախագծման ու անգամ գոյություն ունեցող շենքի քանդման անհրաժեշտության: Ցանկացած պարագայում որևէ սեյմազինվածության բարձրացման միջոցառում չի կարող ապահովել շենքի կոնստրուկտիվ համակարգի համարժեքություն</w:t>
      </w:r>
      <w:r w:rsid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նոր կառուցվող շենքերի կոսնտրուկտիվ լուծումների հետ: Եվս մեկ անգամ պետք է նշել, որ նշված հանգամանքի առաջացման կամ հանգման համար էական գործոն է հանդիսանում սեյսմիկ ուժերի ազդեցության գնահատման ամբողջական վերանայումը նախկին ԽՍՀՄ տարիների նորմատիվ սահմանումների համեմատությամբ և բնականաբար դրա արդյունքում ամբողջությամբ վերանայված մոտեցումների հանրագումարում նոր նորմատիվատեխնիկական փաստաթղթերը շատ ավելի խիստ ու հուսալի պահանջներ են սահմանում նախագծման ու կառուցման գործընթացների համար: Որպես կանոն, կատարված վերակառուցումների արդյունքում գոյություն ունեցող շենքերը չեն համապատասխանում առկա նորմատիվ պահանջներին, իսկ նախկինում ընդունված նորմերի կիրառման արդյունքում նման միջամտության թույլտվության պահանջը վստահաբար 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պայմանավորված է եղել տնտեսական ազդեցության աստիճանով և ոչ բավարար ֆինանսական միջոցների առկայությամբ: Ներկայում ՀՀ քաղաքաշինության կոմիտեն վերանայում է բնագավառի քաղաքականությունը, քննարկում է նշված պահանջի վերանայման անհրաժեշտությունը՝ հետագայում վերակառուցման թուլյլատրելի ցածր մակարդակի բացառման պահանջի սահմանման հնարավորությամբ:</w:t>
      </w:r>
      <w:r w:rsidRPr="000A66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Վերակառուցման աշխատանքների դեպքում, կոնստրուկտիվ տարրերի ուժեղացման հանգամանքով պայմանավորված, առաջանում են նոր կոնստրուկտիվ տարրեր՝ մասնավորապես լրացուցիչ դիաֆրագմաներ, պիլոններ, շրջանակներ և այլն, դրանք մեծապես սահմանափակում են հատակագծային լուծումները և գերակշիռ դեպքերում թույլ չեն տալիս իրականացնել ազատ հատակագծում և արդյունքում ժամանակակից կրթական հաստատությունների ձևավորում: Հատկապես այս սահմանափակումներն անլուծելի խնդիրներ են առաջացնելու այն դեպքերում, երբ տվյալ տարածքում կամ համայնքում նախատեսվում է կառուցել նոր կրթահամալիրներ, որոնք իրենց կառուցվածքով չունեն նախադեպ և հանդիսանալու են դպրոց և մանկապարտեզի համատեղված մոդելներ</w:t>
      </w:r>
      <w:r w:rsid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A66B4"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կրթահամալիրներ</w:t>
      </w:r>
      <w:r w:rsidR="000A66B4"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D95A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95A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 նախագծային լուծումներով ապահովելով դրանց միաժամանակյա սահմանազատումը և պարտադիր կապը միմյանց հետ, ինչը վերակառուցման դեպքում անհանար է: </w:t>
      </w:r>
    </w:p>
    <w:p w:rsidR="006F6344" w:rsidRPr="000A66B4" w:rsidRDefault="006F6344" w:rsidP="006F6344">
      <w:pP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0A66B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Տեխնիկատնտեսական հիմնավորումներ</w:t>
      </w:r>
    </w:p>
    <w:p w:rsidR="006F6344" w:rsidRPr="000A66B4" w:rsidRDefault="006F6344" w:rsidP="006F634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Առկա տարբեր մեթոդական ցուցումների, նախկինում տարբեր պատվիրատուների կողմից իրականացված նմանատիպ շինարարական ծրագրերի վերլուծությունների արդյունքում ձևավորված </w:t>
      </w:r>
      <w:r w:rsidR="00D95A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արձանագրումներով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սահմանված է, որ եթե վերակառուցման շինարարական աշխատանքների արժեքը գերազանցում է կառուցման արժեքի 70%-ը ապա վերակառուցում անելը նպատակահարմար չի դիտարկվում: Բազմաթիվ վերլուծություններ և փաստացի իրականացված նմանատիպ ծրագրերի փորձը ցույց է տալիս, որ հիմնականում վերակառուցման աշխատանքների արժեքը մոտենում է նշված սահմանաչափին կամ գերազանցում է այն, իսկ եթե հաշվի առնենք այն հանգամանքը, որ գրեթե բոլոր դեպքերում սեյսմազինվածության բարձացման մակարդակի KCB գործակիցը ընտրված է եղել 0.5 կամ դրան մոտ, և որ վերը նշված հիմնավորումների դեպքում գերադասելի է ընդունել 1-ին մոտ կամ մեկ, ապա ակնհայտ է դառնում, որ տեխնիկատնտեսական տեսանկյունից առավել գերադասելի </w:t>
      </w:r>
      <w:r w:rsidR="00D95A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է 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նոր շենքերի կառուցումը</w:t>
      </w:r>
      <w:r w:rsidR="00D95A6F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հատկապես որ վերակառուցման աշխատանքների դեպքում</w:t>
      </w:r>
      <w:r w:rsidR="00D95A6F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կոնստրուկտիվ տարրերի ուժեղացման հանգամանքով պայմանավորված, առաջանում են նոր կոնստրուկտիվ </w:t>
      </w:r>
      <w:r w:rsidR="00D95A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տարրեր,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մասնավորապես</w:t>
      </w:r>
      <w:r w:rsidR="00D95A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լրացուցիչ դիաֆրագմաներ, պիլոններ, շրջանակներ և այլն</w:t>
      </w:r>
      <w:r w:rsidR="00D95A6F">
        <w:rPr>
          <w:rFonts w:ascii="GHEA Grapalat" w:hAnsi="GHEA Grapalat"/>
          <w:sz w:val="24"/>
          <w:szCs w:val="24"/>
          <w:shd w:val="clear" w:color="auto" w:fill="FFFFFF"/>
          <w:lang w:val="hy-AM"/>
        </w:rPr>
        <w:t>։ Դ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րանք մեծապես սահմանափակում են 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հատակագծային լուծումները և գերակշիռ դեպքերում թույլ չեն տալիս իրականացնել ազատ հատակագծում և արդյունքում ժամանակակից կրթական հաստատությունների ձևավորում: Վերակառուցման աշխատանքների ժամանակ նաև, որպես կանոն, ի հայտ եկած նոր հանգամանքներով պայմանավորված, ավելանում են շինարարական աշխատանքների համար նախատեսված ծախսերը 10-20 տոկոսի չափով, որը ևս խնդիրներ է առաջացնում նախնական պլանավորման և հետագայում անհրաժեշտ ֆինանսական միջոցներ ներգավելու տեսակետից: Վերոնշյալ կրթական կենտրոնների ձևավորումը, որը հնարավոր է միայն նոր շենքերի կառուցման դեպքերում, հանգեցնում է ֆինանսական միջոցների էական տնտեսման, քանի որ որոշ ֆունկցիոնալ պարտադիր սենյակներ մեկտեղվում են և դրանց կրկնության անհրաժեշտությունը բացակայում է, ինչն էլ ապահովում է ավելի քիչ մակերեսներ նախատեսելու և համապատասխանաբար ֆինանսական միջոցների տնտեսման հնարավորություն:</w:t>
      </w:r>
    </w:p>
    <w:p w:rsidR="006F6344" w:rsidRPr="000A66B4" w:rsidRDefault="006F6344" w:rsidP="006F6344">
      <w:pP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0A66B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Նոր կառուցվող շենքերի առավելությունները</w:t>
      </w:r>
    </w:p>
    <w:p w:rsidR="006F6344" w:rsidRPr="000A66B4" w:rsidRDefault="006F6344" w:rsidP="006F634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Գոյություն ունեցող շենքերի փոխարեն նոր կրթական հաստատություններ նախագծելու և կառուցելու դեպքում հնարավոր է լինում ապահովել դրանց սեսմակայունության ամենաբարձր սահմանված մակարդակը, էներգախնայող և էներգաարդյունավետ լուծումների նախատեսումը, և, </w:t>
      </w:r>
      <w:r w:rsidR="00D95A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ինչ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ևս շատ կարևոր է</w:t>
      </w:r>
      <w:r w:rsidR="00D95A6F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ճարտարապետական արդի լուծումներով</w:t>
      </w:r>
      <w:r w:rsidR="00D95A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թե հատակագծային և թե գունային, կրթության կազմակերպման արդի պահանջների ու մոտեցումների կիրառման համար անհրաժեշտ պայմանների ապահովումը: Պետք է հաշվի առնել նաև այն հանգամանքը, որ շատ դեպքերում առկա են լինում նաև գրունտային ջրեր</w:t>
      </w:r>
      <w:r w:rsidR="00D95A6F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վերակառուցման դեպքում գոյություն </w:t>
      </w:r>
      <w:r w:rsidR="00D95A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ունեցո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ղ շենքի հիմնատակերը և հիմքեը մասնակի հնարավոր չի լինում ջրամեկուսացնել, ինչն էլ իր հերթին հանգեցնում է դրանց շարունակաբար անթույլատրելի քայքայմանը: Նվազագույնի են հասցվում նաև շինարարության ընթացքում չնախատեսված ծախսերի առաջացման ու ժամկետների երկարաձգման ռիսկերը: Ժամկետների կառավարման կանխատեսելիությունը ևս էական գործոն է հանդիսանում նշված ծրագրերի իրականացման փուլերում, քանի որ հիմնականում նոր կառուցվող շենքերը նախատեսվել են գոյություն ունեցող կրթական հաստատությունների տարածքներում և այդ տարածքների սահմանափակ լինելու հանգամանքով պայմանավորված հանգեցնելու են առկա շենքերի ապամոնտաժման անհրաժեշտության: Այլ կերպ ասած, երկու դեպքում էլ շինարարական աշխատանքների ժամանակ առկա շենքերը պետք է ամբողջությամբ ազատվեն, իսկ կառուցման </w:t>
      </w:r>
      <w:r w:rsidR="00D95A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դեպք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ում նախատեսված ժամկետների պահպանումը, ի </w:t>
      </w:r>
      <w:r w:rsidR="00D95A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տարբերությու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 վերակառուցման </w:t>
      </w:r>
      <w:r w:rsidR="00D95A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դեպք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ի, առավել իրատեսական է: Վերակառուցման դեպքում </w:t>
      </w: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դրանց ժամկետները երկարաձգվում են տարբեր լրացուցիչ ուսումնասիրությունների և դրանց արդյունքում նոր նախագծային լուծումներ մշակելու անհրաժեշտությամբ պայմանավորված:</w:t>
      </w:r>
    </w:p>
    <w:p w:rsidR="006F6344" w:rsidRPr="000A66B4" w:rsidRDefault="006F6344" w:rsidP="006F6344">
      <w:pP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0A66B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Եզրահանգումներ</w:t>
      </w:r>
    </w:p>
    <w:p w:rsidR="006F6344" w:rsidRPr="000A66B4" w:rsidRDefault="006F6344" w:rsidP="006F634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Հաշվի առնելով վերոգրյալը, ինչպես նաև կր</w:t>
      </w:r>
      <w:bookmarkStart w:id="0" w:name="_GoBack"/>
      <w:bookmarkEnd w:id="0"/>
      <w:r w:rsidRPr="000A66B4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թության բովանդակությանը, ժամանակակից նորմերին ու պահանջներին համապատասխան՝ կրթական հաստատությունների նոր շենքային պայմաններ ունենալու հրամայականը՝ խիստ նպատակահարմար է դիտարկվում նոր շենքերի նախագծման ու կառուցման մոտեցման կիրառումը։ Բացառություն կարող են կազմել այն դեպքերը, երբ շենքերը կառուցվել են 2000-ական թվականներին և դրանց տեխնիկական վիճակը գնահատվում է լավ կամ գերազանց: Նման դեպքերում կնախատեսվեն մասնակի հարդարման և անհրաժեշտ բացակայող ենթակառուցվածնքների՝ մասնավորապես մարզադահլիճի, հանդիսությունների դահլիճի կամ մանկապարտեզի մասնաշենքի կառուցման անհատական նախագծային լուծումներ:</w:t>
      </w:r>
    </w:p>
    <w:p w:rsidR="006F6344" w:rsidRPr="000A66B4" w:rsidRDefault="006F6344" w:rsidP="006F634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6F6344" w:rsidRPr="000A66B4" w:rsidRDefault="006F6344" w:rsidP="006F634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F12C76" w:rsidRPr="000A66B4" w:rsidRDefault="00F12C76" w:rsidP="006C0B77">
      <w:pPr>
        <w:spacing w:after="0"/>
        <w:ind w:firstLine="709"/>
        <w:jc w:val="both"/>
        <w:rPr>
          <w:lang w:val="hy-AM"/>
        </w:rPr>
      </w:pPr>
    </w:p>
    <w:sectPr w:rsidR="00F12C76" w:rsidRPr="000A66B4" w:rsidSect="005842C2">
      <w:pgSz w:w="12240" w:h="15840"/>
      <w:pgMar w:top="426" w:right="758" w:bottom="709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A50E75"/>
    <w:multiLevelType w:val="hybridMultilevel"/>
    <w:tmpl w:val="8C94B51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344"/>
    <w:rsid w:val="000A66B4"/>
    <w:rsid w:val="006C0B77"/>
    <w:rsid w:val="006F6344"/>
    <w:rsid w:val="008242FF"/>
    <w:rsid w:val="00870751"/>
    <w:rsid w:val="00922C48"/>
    <w:rsid w:val="00B915B7"/>
    <w:rsid w:val="00D95A6F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5EA2E0-BFD4-490C-8914-077DBC292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344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,Resume Title"/>
    <w:basedOn w:val="Normal"/>
    <w:link w:val="ListParagraphChar"/>
    <w:uiPriority w:val="34"/>
    <w:qFormat/>
    <w:rsid w:val="006F6344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qFormat/>
    <w:locked/>
    <w:rsid w:val="006F6344"/>
    <w:rPr>
      <w:lang w:val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F634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F6344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1643</Words>
  <Characters>9367</Characters>
  <Application>Microsoft Office Word</Application>
  <DocSecurity>0</DocSecurity>
  <Lines>78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2023-11-29T07:33:00Z</dcterms:created>
  <dcterms:modified xsi:type="dcterms:W3CDTF">2023-11-29T07:47:00Z</dcterms:modified>
</cp:coreProperties>
</file>