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4A0" w:rsidRDefault="005844A0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4A0" w:rsidRDefault="005844A0" w:rsidP="00080F59">
      <w:pPr>
        <w:jc w:val="center"/>
      </w:pPr>
    </w:p>
    <w:p w:rsidR="005844A0" w:rsidRPr="003170EE" w:rsidRDefault="005844A0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844A0" w:rsidRPr="00790EAE" w:rsidRDefault="005844A0" w:rsidP="00080F59">
      <w:pPr>
        <w:pStyle w:val="mechtex"/>
        <w:rPr>
          <w:rFonts w:ascii="GHEA Mariam" w:hAnsi="GHEA Mariam"/>
          <w:b/>
        </w:rPr>
      </w:pPr>
    </w:p>
    <w:p w:rsidR="005844A0" w:rsidRDefault="005844A0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628C8" w:rsidRPr="000C7F0B" w:rsidRDefault="00D628C8" w:rsidP="000C7F0B">
      <w:pPr>
        <w:jc w:val="center"/>
        <w:rPr>
          <w:rFonts w:ascii="GHEA Mariam" w:hAnsi="GHEA Mariam"/>
          <w:sz w:val="24"/>
          <w:szCs w:val="24"/>
        </w:rPr>
      </w:pPr>
    </w:p>
    <w:p w:rsidR="006E5A71" w:rsidRDefault="006E5A71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628C8" w:rsidRPr="000C7F0B" w:rsidRDefault="00D628C8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</w:t>
      </w:r>
      <w:r w:rsidRPr="005023A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- Ն</w:t>
      </w:r>
    </w:p>
    <w:p w:rsidR="00D628C8" w:rsidRDefault="00D628C8" w:rsidP="000C7F0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628C8" w:rsidRPr="005023AB" w:rsidRDefault="00D628C8">
      <w:pPr>
        <w:pStyle w:val="mechtex"/>
        <w:rPr>
          <w:rFonts w:ascii="Sylfaen" w:hAnsi="Sylfaen" w:cs="Calibri"/>
          <w:lang w:val="hy-AM"/>
        </w:rPr>
      </w:pPr>
    </w:p>
    <w:p w:rsidR="00D628C8" w:rsidRPr="005840C2" w:rsidRDefault="00D628C8" w:rsidP="00D628C8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spacing w:val="-6"/>
          <w:sz w:val="24"/>
          <w:szCs w:val="24"/>
          <w:lang w:val="hy-AM"/>
        </w:rPr>
      </w:pPr>
      <w:r w:rsidRPr="005840C2">
        <w:rPr>
          <w:rFonts w:ascii="GHEA Mariam" w:hAnsi="GHEA Mariam"/>
          <w:spacing w:val="-8"/>
          <w:sz w:val="24"/>
          <w:szCs w:val="24"/>
          <w:lang w:val="hy-AM"/>
        </w:rPr>
        <w:t>ՄԱՔՍԱՅԻՆ ՄԱՐՄԻՆՆԵՐԻ ԿՈՂՄԻՑ «ՄԱՔՍԱՅԻՆ ՏԱՐԱՆՑՈՒՄ»</w:t>
      </w:r>
      <w:r w:rsidRPr="005840C2">
        <w:rPr>
          <w:rFonts w:ascii="GHEA Mariam" w:hAnsi="GHEA Mariam"/>
          <w:spacing w:val="-6"/>
          <w:sz w:val="24"/>
          <w:szCs w:val="24"/>
          <w:lang w:val="hy-AM"/>
        </w:rPr>
        <w:t xml:space="preserve"> ՄԱՔՍԱՅԻՆ ԸՆԹԱՑԱԿԱՐԳՈՎ ԱՊՐԱՆՔՆԵՐԻ ՁԵՎԱԿԵՐՊՄԱՆ </w:t>
      </w:r>
    </w:p>
    <w:p w:rsidR="006E5A71" w:rsidRDefault="00D628C8" w:rsidP="00D628C8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sz w:val="24"/>
          <w:szCs w:val="24"/>
        </w:rPr>
      </w:pPr>
      <w:r w:rsidRPr="009421FC">
        <w:rPr>
          <w:rFonts w:ascii="GHEA Mariam" w:hAnsi="GHEA Mariam"/>
          <w:sz w:val="24"/>
          <w:szCs w:val="24"/>
        </w:rPr>
        <w:t>ՀԱՄԱՐ</w:t>
      </w:r>
      <w:r w:rsidR="005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9421FC">
        <w:rPr>
          <w:rFonts w:ascii="GHEA Mariam" w:hAnsi="GHEA Mariam"/>
          <w:sz w:val="24"/>
          <w:szCs w:val="24"/>
        </w:rPr>
        <w:t xml:space="preserve"> ՀԱՇՎԱՐԿՎՈՂ </w:t>
      </w:r>
      <w:r w:rsidR="005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9421FC">
        <w:rPr>
          <w:rFonts w:ascii="GHEA Mariam" w:hAnsi="GHEA Mariam"/>
          <w:sz w:val="24"/>
          <w:szCs w:val="24"/>
        </w:rPr>
        <w:t xml:space="preserve">ՄԱՔՍԱՏՈՒՐՔԻ, </w:t>
      </w:r>
      <w:r w:rsidR="005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9421FC">
        <w:rPr>
          <w:rFonts w:ascii="GHEA Mariam" w:hAnsi="GHEA Mariam"/>
          <w:sz w:val="24"/>
          <w:szCs w:val="24"/>
        </w:rPr>
        <w:t xml:space="preserve">ՀԱՐԿԵՐԻ, </w:t>
      </w:r>
      <w:r w:rsidR="005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9421FC">
        <w:rPr>
          <w:rFonts w:ascii="GHEA Mariam" w:hAnsi="GHEA Mariam"/>
          <w:sz w:val="24"/>
          <w:szCs w:val="24"/>
        </w:rPr>
        <w:t xml:space="preserve">ՀԱՏՈՒԿ, </w:t>
      </w:r>
      <w:r w:rsidRPr="005844A0">
        <w:rPr>
          <w:rFonts w:ascii="GHEA Mariam" w:hAnsi="GHEA Mariam"/>
          <w:spacing w:val="-4"/>
          <w:sz w:val="24"/>
          <w:szCs w:val="24"/>
        </w:rPr>
        <w:t>ՀԱԿԱԳՆԱԳՑՄԱՆ ԵՎ ՓՈԽՀԱՏՈՒՑՄԱՆ ՏՈՒՐՔԵՐԻ ՎՃԱՐՄԱՆ</w:t>
      </w:r>
      <w:r w:rsidRPr="009421FC">
        <w:rPr>
          <w:rFonts w:ascii="GHEA Mariam" w:hAnsi="GHEA Mariam"/>
          <w:sz w:val="24"/>
          <w:szCs w:val="24"/>
        </w:rPr>
        <w:t xml:space="preserve"> </w:t>
      </w:r>
    </w:p>
    <w:p w:rsidR="00D628C8" w:rsidRDefault="00D628C8" w:rsidP="00D628C8">
      <w:pPr>
        <w:shd w:val="clear" w:color="auto" w:fill="FFFFFF"/>
        <w:tabs>
          <w:tab w:val="left" w:pos="851"/>
        </w:tabs>
        <w:jc w:val="center"/>
        <w:rPr>
          <w:rFonts w:ascii="GHEA Mariam" w:hAnsi="GHEA Mariam" w:cs="Sylfaen"/>
          <w:sz w:val="24"/>
          <w:szCs w:val="24"/>
        </w:rPr>
      </w:pPr>
      <w:r w:rsidRPr="009421FC">
        <w:rPr>
          <w:rFonts w:ascii="GHEA Mariam" w:hAnsi="GHEA Mariam"/>
          <w:sz w:val="24"/>
          <w:szCs w:val="24"/>
        </w:rPr>
        <w:t xml:space="preserve">ԳԾՈՎ ՊԱՐՏԱՎՈՐՈՒԹՅՈՒՆՆԵՐԻ ԿԱՏԱՐՄԱՆ ԱՊԱՀՈՎՄԱՆ ՀԱՇՎԱՐԿՄԱՆ ՀԱՄԱՐ ԱՆՀՐԱԺԵՇՏ ՏԵՂԵԿԱՏՎՈՒԹՅԱՆ ՕԳՏԱԳՈՐԾՄԱՆ ԿԱՐԳԸ </w:t>
      </w:r>
      <w:r w:rsidRPr="009421FC">
        <w:rPr>
          <w:rFonts w:ascii="GHEA Mariam" w:hAnsi="GHEA Mariam" w:cs="Sylfaen"/>
          <w:sz w:val="24"/>
          <w:szCs w:val="24"/>
        </w:rPr>
        <w:t>ՍԱՀՄԱՆԵԼՈՒ ՄԱՍԻՆ</w:t>
      </w:r>
    </w:p>
    <w:p w:rsidR="006E5A71" w:rsidRPr="006E5A71" w:rsidRDefault="006E5A71" w:rsidP="00D628C8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6E5A71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 w:rsidR="005840C2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</w:t>
      </w:r>
    </w:p>
    <w:p w:rsidR="00D628C8" w:rsidRPr="009421FC" w:rsidRDefault="00D628C8" w:rsidP="00D628C8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D628C8" w:rsidRPr="00D628C8" w:rsidRDefault="00D628C8" w:rsidP="006E5A7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9421FC">
        <w:rPr>
          <w:rFonts w:ascii="GHEA Mariam" w:hAnsi="GHEA Mariam"/>
          <w:color w:val="000000"/>
          <w:sz w:val="24"/>
          <w:szCs w:val="24"/>
          <w:lang w:eastAsia="hy-AM"/>
        </w:rPr>
        <w:t xml:space="preserve">«Մաքսային կարգավորման մասին» </w:t>
      </w:r>
      <w:r w:rsidR="00CE449D" w:rsidRPr="00CE449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E449D" w:rsidRPr="00CE449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E449D" w:rsidRPr="00CE449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E449D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9421FC">
        <w:rPr>
          <w:rFonts w:ascii="GHEA Mariam" w:hAnsi="GHEA Mariam"/>
          <w:color w:val="000000"/>
          <w:sz w:val="24"/>
          <w:szCs w:val="24"/>
          <w:lang w:eastAsia="hy-AM"/>
        </w:rPr>
        <w:t>օրենքի 104-րդ հոդվածի 5-րդ մասին համապատասխան՝</w:t>
      </w:r>
      <w:r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Հայաստանի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Հանրապետության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կառավարությունը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ր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շ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ու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մ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 xml:space="preserve">     </w:t>
      </w:r>
      <w:r w:rsidRPr="00D628C8">
        <w:rPr>
          <w:rFonts w:ascii="GHEA Mariam" w:hAnsi="GHEA Mariam" w:cs="Sylfaen"/>
          <w:color w:val="000000"/>
          <w:sz w:val="24"/>
          <w:szCs w:val="24"/>
          <w:lang w:val="hy-AM" w:eastAsia="hy-AM"/>
        </w:rPr>
        <w:t>է</w:t>
      </w:r>
      <w:r w:rsidRPr="00D628C8">
        <w:rPr>
          <w:rFonts w:ascii="GHEA Mariam" w:hAnsi="GHEA Mariam" w:cs="Arial Armenian"/>
          <w:color w:val="000000"/>
          <w:sz w:val="24"/>
          <w:szCs w:val="24"/>
          <w:lang w:val="hy-AM" w:eastAsia="hy-AM"/>
        </w:rPr>
        <w:t>.</w:t>
      </w:r>
    </w:p>
    <w:p w:rsidR="00D628C8" w:rsidRPr="009421FC" w:rsidRDefault="00D628C8" w:rsidP="006E5A71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421FC">
        <w:rPr>
          <w:rFonts w:ascii="GHEA Mariam" w:hAnsi="GHEA Mariam"/>
          <w:color w:val="000000"/>
          <w:sz w:val="24"/>
          <w:szCs w:val="24"/>
          <w:lang w:eastAsia="hy-AM"/>
        </w:rPr>
        <w:t xml:space="preserve">Սահմանել </w:t>
      </w:r>
      <w:r w:rsidRPr="009421FC">
        <w:rPr>
          <w:rFonts w:ascii="GHEA Mariam" w:hAnsi="GHEA Mariam"/>
          <w:sz w:val="24"/>
          <w:szCs w:val="24"/>
        </w:rPr>
        <w:t>մաքսային մարմինների կողմից «Մաքսային տարանցում» մաքսային ընթացակարգով ապրանքների ձևակերպման համար հաշվարկվող մաքսատուրքի, հարկերի, հատուկ, հակագնագցման և փոխհատուցման տուրքերի վճարման գծով պարտավորությունների կատարման ապահովման հաշվարկման համար անհրաժեշտ տեղեկատվության օգտագործման կարգը</w:t>
      </w:r>
      <w:r w:rsidRPr="009421FC">
        <w:rPr>
          <w:rFonts w:ascii="GHEA Mariam" w:hAnsi="GHEA Mariam" w:cs="Sylfaen"/>
          <w:sz w:val="24"/>
          <w:szCs w:val="24"/>
        </w:rPr>
        <w:t xml:space="preserve">՝ </w:t>
      </w:r>
      <w:r w:rsidRPr="009421FC">
        <w:rPr>
          <w:rFonts w:ascii="GHEA Mariam" w:hAnsi="GHEA Mariam"/>
          <w:bCs/>
          <w:color w:val="000000"/>
          <w:sz w:val="24"/>
          <w:szCs w:val="24"/>
          <w:lang w:eastAsia="hy-AM"/>
        </w:rPr>
        <w:t>համաձայն հավելվածի:</w:t>
      </w:r>
    </w:p>
    <w:p w:rsidR="00D628C8" w:rsidRDefault="00D628C8" w:rsidP="006E5A71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421FC">
        <w:rPr>
          <w:rFonts w:ascii="GHEA Mariam" w:hAnsi="GHEA Mariam" w:cs="Sylfaen"/>
          <w:color w:val="000000"/>
          <w:sz w:val="24"/>
          <w:szCs w:val="24"/>
          <w:lang w:eastAsia="hy-AM"/>
        </w:rPr>
        <w:t>Սույն</w:t>
      </w:r>
      <w:r w:rsidRPr="009421FC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որոշումն ուժի մեջ է մտնում պաշտոնական հրապարակմանը հաջորդող տասներորդ օրը:</w:t>
      </w:r>
    </w:p>
    <w:p w:rsidR="006E5A71" w:rsidRDefault="006E5A71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5840C2" w:rsidRDefault="005840C2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E5A71" w:rsidRPr="00927EF0" w:rsidRDefault="00792293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</w:t>
      </w:r>
      <w:r w:rsidR="006E5A71" w:rsidRPr="00927EF0">
        <w:rPr>
          <w:rFonts w:ascii="GHEA Mariam" w:hAnsi="GHEA Mariam" w:cs="Sylfaen"/>
          <w:sz w:val="24"/>
          <w:lang w:val="hy-AM"/>
        </w:rPr>
        <w:t>ՀԱՅԱՍՏԱՆԻ</w:t>
      </w:r>
      <w:r w:rsidR="006E5A71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6E5A71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E5A71" w:rsidRPr="00927EF0" w:rsidRDefault="006E5A7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792293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/>
          <w:sz w:val="24"/>
          <w:lang w:val="af-ZA"/>
        </w:rPr>
        <w:t xml:space="preserve"> </w:t>
      </w:r>
      <w:r w:rsidR="00792293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E5A71" w:rsidRDefault="006E5A71" w:rsidP="006E5A7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6E5A71" w:rsidSect="005840C2">
          <w:headerReference w:type="even" r:id="rId8"/>
          <w:headerReference w:type="default" r:id="rId9"/>
          <w:footerReference w:type="even" r:id="rId10"/>
          <w:pgSz w:w="11909" w:h="16834" w:code="9"/>
          <w:pgMar w:top="851" w:right="1440" w:bottom="0" w:left="1440" w:header="720" w:footer="576" w:gutter="0"/>
          <w:pgNumType w:start="1"/>
          <w:cols w:space="720"/>
          <w:titlePg/>
          <w:docGrid w:linePitch="272"/>
        </w:sectPr>
      </w:pPr>
      <w:r w:rsidRPr="006E5A71">
        <w:rPr>
          <w:rFonts w:ascii="GHEA Mariam" w:hAnsi="GHEA Mariam" w:cs="Sylfaen"/>
          <w:sz w:val="24"/>
          <w:lang w:val="hy-AM"/>
        </w:rPr>
        <w:t>Երևան</w:t>
      </w:r>
    </w:p>
    <w:p w:rsidR="006E5A71" w:rsidRPr="00995B87" w:rsidRDefault="006E5A71" w:rsidP="00592FC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6E5A71" w:rsidRPr="00995B87" w:rsidRDefault="006E5A71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E5A71" w:rsidRDefault="006E5A71" w:rsidP="006E5A7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="00791BF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592FC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US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     -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791BF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E5A71" w:rsidRDefault="006E5A71" w:rsidP="006E5A71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D628C8" w:rsidRPr="00D628C8" w:rsidRDefault="00D628C8" w:rsidP="00D628C8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D628C8" w:rsidRPr="00D628C8" w:rsidRDefault="00D628C8" w:rsidP="006E5A71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D628C8">
        <w:rPr>
          <w:rFonts w:ascii="GHEA Mariam" w:hAnsi="GHEA Mariam"/>
          <w:color w:val="000000"/>
          <w:sz w:val="24"/>
          <w:szCs w:val="24"/>
          <w:lang w:val="hy-AM" w:eastAsia="hy-AM"/>
        </w:rPr>
        <w:t>Կ</w:t>
      </w:r>
      <w:r w:rsidR="006E5A71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/>
          <w:color w:val="000000"/>
          <w:sz w:val="24"/>
          <w:szCs w:val="24"/>
          <w:lang w:val="hy-AM" w:eastAsia="hy-AM"/>
        </w:rPr>
        <w:t>Ա</w:t>
      </w:r>
      <w:r w:rsidR="006E5A71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/>
          <w:color w:val="000000"/>
          <w:sz w:val="24"/>
          <w:szCs w:val="24"/>
          <w:lang w:val="hy-AM" w:eastAsia="hy-AM"/>
        </w:rPr>
        <w:t>Ր</w:t>
      </w:r>
      <w:r w:rsidR="006E5A71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D628C8">
        <w:rPr>
          <w:rFonts w:ascii="GHEA Mariam" w:hAnsi="GHEA Mariam"/>
          <w:color w:val="000000"/>
          <w:sz w:val="24"/>
          <w:szCs w:val="24"/>
          <w:lang w:val="hy-AM" w:eastAsia="hy-AM"/>
        </w:rPr>
        <w:t>Գ</w:t>
      </w:r>
    </w:p>
    <w:p w:rsidR="006E5A71" w:rsidRDefault="00D628C8" w:rsidP="006E5A7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628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ՄԱՔՍԱՅԻՆ ՄԱՐՄԻՆՆԵՐԻ ԿՈՂՄԻՑ «ՄԱՔՍԱՅԻՆ ՏԱՐԱՆՑՈՒՄ» ՄԱՔՍԱՅԻՆ ԸՆԹԱՑԱԿԱՐԳՈՎ ԱՊՐԱՆՔՆԵՐԻ ՁԵՎԱԿԵՐՊՄԱՆ </w:t>
      </w:r>
    </w:p>
    <w:p w:rsidR="006E5A71" w:rsidRDefault="00D628C8" w:rsidP="006E5A7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628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ՀԱՄԱՐ ՀԱՇՎԱՐԿՎՈՂ ՄԱՔՍԱՏՈՒՐՔԻ, ՀԱՐԿԵՐԻ, ՀԱՏՈՒԿ, ՀԱԿԱԳՆԱԳՑՄԱՆ ԵՎ ՓՈԽՀԱՏՈՒՑՄԱՆ ՏՈՒՐՔԵՐԻ ՎՃԱՐՄԱՆ </w:t>
      </w:r>
    </w:p>
    <w:p w:rsidR="00D628C8" w:rsidRPr="00D628C8" w:rsidRDefault="00D628C8" w:rsidP="006E5A7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628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ԳԾՈՎ ՊԱՐՏԱՎՈՐՈՒԹՅՈՒՆՆԵՐԻ ԿԱՏԱՐՄԱՆ ԱՊԱՀՈՎՄԱՆ ՀԱՇՎԱՐԿՄԱՆ ՀԱՄԱՐ ԱՆՀՐԱԺԵՇՏ ՏԵՂԵԿԱՏՎՈՒԹՅԱՆ ՕԳՏԱԳՈՐԾՄԱՆ</w:t>
      </w:r>
    </w:p>
    <w:p w:rsidR="00D628C8" w:rsidRPr="00D628C8" w:rsidRDefault="00D628C8" w:rsidP="00D628C8">
      <w:pPr>
        <w:shd w:val="clear" w:color="auto" w:fill="FFFFFF"/>
        <w:tabs>
          <w:tab w:val="left" w:pos="689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628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կարգով կարգավորվում են 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(այսուհետ՝ 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իություն) մաքսային օրենսգրքի (այսուհետ՝ 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րենսգիրք) 146-րդ հոդվածի 2-րդ կետին համապատասխան՝ «Մաքսային տարանցում» մաքսային ընթացակարգով փոխադրվող ապրանքների համար ներմուծման մաքսատուրքի, հարկերի վճար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ման գծով պարտավորությունների (այսուհետ՝ պարտավորություններ), ինչպես նաև հատուկ, հակագնագցման և փոխհատուցման տուրքերի վճարման գծով պարտավորությունների կատարման ապահովման չափի հաշվարկման նպա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տակով տեղեկությունների օգտագործման հետ կապված հարաբերու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թյունները։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791BF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Հատուկ, հակագնագցման, փոխհատուցման տուրքերի համար սույն կարգով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սահմանված դրույթները գործում են 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րենսգրքի 143-րդ հոդվածի 1-ին կետի 2-րդ ենթակետին համապատասխան՝ Եվրասիական տնտեսական հանձ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նաժողովի կողմից սահմանված այն դեպքերում, երբ հատուկ, հակագնագցման և փոխհա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տուցման տուրքերի վճարման գծով պարտավորությունների կատարման ապա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հովումը հանդիսանում է ապրանքների՝ «Մաքսային տարանցում» մաքսային ընթացակարգով ձևակերպման պայման։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791BF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lastRenderedPageBreak/>
        <w:t>Սույն կարգի 2-րդ կետով նախատեսված դեպքերում հատուկ, հա</w:t>
      </w:r>
      <w:r w:rsidR="00791BF7" w:rsidRPr="00791BF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softHyphen/>
      </w:r>
      <w:r w:rsidRPr="00791BF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կագնագցման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փոխհատուցման տուրքերի վճարման գծով պարտավո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րություն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ների կատարման ապահովման չափը հաշվարկվում է 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րենսգրքի 75-րդ հոդվածին համապատասխան։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Պարտավորությունների կատարման ապահովման չափի հաշվարկման համար հիմք են ընդունվում տարանցման հայտարարագրի գրանցման օրվա դրությամբ «Մաքսային տարանցում» մաքսային ընթացակարգով ձևակերպվող ապրանքների համար մաքսատուրքի, հարկերի գումարները՝ 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րենսգրքի 146-րդ հոդվածով սահմանված առանձնահատկությունների հաշվառմամբ։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Եթե պարտավորությունների կատարման ապահովման չափի հաշ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վարկ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ման ժամանակ հնարավոր չէ ճշգրիտ որոշել վճարման ենթակա մաքսատուրքի և հարկերի գումարները՝ պայմանավորված այն հանգամանքով, որ մաքսային մարմիններին չեն ներկայացվել «Մաքսային տարանցում» մաքսային ընթա</w:t>
      </w:r>
      <w:r w:rsidR="00791BF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ցակարգով ձևակերպվող ապրանքների վերաբերյալ ճշգրիտ տեղեկություններ, ապա այդպիսի պարտավորությունների կատարման ապահովման չափը որոշվում է հետևյալ կարգով՝</w:t>
      </w:r>
    </w:p>
    <w:p w:rsidR="00D628C8" w:rsidRPr="009421FC" w:rsidRDefault="00D628C8" w:rsidP="00D628C8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ներմուծման մաքսատուրքերի գումարների հաշվարկման համար հիմք է ընդունվում Եվրասիական տնտեսական հանձնաժողովի խորհրդի կողմից սահ</w:t>
      </w:r>
      <w:r w:rsidR="00B37CD2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մանված՝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արտաքին տնտեսական գործունեության ապրանքային անվանացանկին համապատասխան՝ տվյալ ապրանքին համապատասխանող՝ վեցանիշ ենթադիրքի մեջ ներառված ապրանքների համար ներմուծման մաք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սատուրքի առավելագույն դրույքաչափը</w:t>
      </w:r>
      <w:r w:rsidRPr="009421F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D628C8" w:rsidRPr="009421FC" w:rsidRDefault="00D628C8" w:rsidP="00D628C8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այն դեպքում, երբ ապրանքների վերաբերյալ ճշգրիտ տեղեկությունների բացակայությամբ պայմանավորված հնարավոր չէ կիրառել սույն կետի 1-ին ենթակետը, ապա ներմուծման մաքսատուրքերի գումարների հաշվարկման համար հիմք է ընդունվում Եվրասիական տնտեսական հանձնաժողովի խորհրդի կողմից սահմանված՝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արտաքին տնտեսական գործունեության ապրան</w:t>
      </w:r>
      <w:r w:rsidR="00D91C7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քային անվանացանկին համապատասխան՝ տվյալ ապրանքին համա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պատաս</w:t>
      </w:r>
      <w:r w:rsidR="00D91C7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խանող քառանիշ ապրանքային դիրքի մեջ ներառված ապրանքների համար ներմուծման մաքսատուրքի առավելագույն դրույքաչափը</w:t>
      </w:r>
      <w:r w:rsidRPr="009421F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6E5A71" w:rsidRPr="006E5A71" w:rsidRDefault="00D628C8" w:rsidP="003053E5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ավելացված արժեքի հարկի գումարների հաշվարկման համար հիմք է ընդունվում </w:t>
      </w:r>
      <w:r w:rsidR="006E5A71" w:rsidRPr="006E5A7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 Հանրապետության</w:t>
      </w:r>
      <w:r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հարկային օրենսգրքի 63-րդ հոդվածով սահմանված դրույքաչափը</w:t>
      </w:r>
      <w:r w:rsidR="006E5A71" w:rsidRPr="009421F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․</w:t>
      </w:r>
    </w:p>
    <w:p w:rsidR="00D628C8" w:rsidRPr="006E5A71" w:rsidRDefault="006E5A71" w:rsidP="005A4124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D628C8"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ակցիզային հարկի գումարների հաշվարկման համար հիմք է ընդունվում </w:t>
      </w:r>
      <w:r w:rsidRPr="006E5A7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 Հանրապետության</w:t>
      </w:r>
      <w:r w:rsidR="00D628C8"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հարկային օրենսգրքով սահմանված՝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="00D628C8"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արտաքին տնտեսական գործունեության ապրանքային անվանացանկին համա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D628C8"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պատասխան՝ տվյալ ապրանքին համապատասխանող վեցանիշ ենթադիրքի մեջ ներառված ապրանքների համար ակցիզային հարկի առավելագույն դրույ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D628C8"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>քա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="00D628C8" w:rsidRPr="006E5A71">
        <w:rPr>
          <w:rFonts w:ascii="GHEA Mariam" w:hAnsi="GHEA Mariam"/>
          <w:color w:val="000000"/>
          <w:sz w:val="24"/>
          <w:szCs w:val="24"/>
          <w:shd w:val="clear" w:color="auto" w:fill="FFFFFF"/>
        </w:rPr>
        <w:t>չափը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</w:rPr>
        <w:t>.</w:t>
      </w:r>
    </w:p>
    <w:p w:rsidR="00D628C8" w:rsidRPr="009421FC" w:rsidRDefault="00D628C8" w:rsidP="00D628C8">
      <w:pPr>
        <w:pStyle w:val="ListParagraph"/>
        <w:numPr>
          <w:ilvl w:val="0"/>
          <w:numId w:val="3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այն դեպքում, երբ ապրանքների վերաբերյալ ճշգրիտ տեղեկությունների բացակայությամբ պայմանավորված</w:t>
      </w:r>
      <w:r w:rsidR="00B37CD2">
        <w:rPr>
          <w:rFonts w:ascii="GHEA Mariam" w:hAnsi="GHEA Mariam"/>
          <w:color w:val="000000"/>
          <w:sz w:val="24"/>
          <w:szCs w:val="24"/>
          <w:shd w:val="clear" w:color="auto" w:fill="FFFFFF"/>
        </w:rPr>
        <w:t>՝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հնարավոր չէ կիրառել սույն կետի 4-րդ ենթակետը, ապա ակցիզային հարկի գումարների հաշվարկման համար հիմք է ընդունվում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արտաքին տնտեսական գործունեության ապրանքային անվանացանկին համապատասխան՝ տվյալ ապրանքին համապատասխանող քառանիշ ապրանքային դիրքի մեջ ներառված ապրանքների համար ակցիզային հարկի առավելագույն դրույքաչափը</w:t>
      </w:r>
      <w:r w:rsidRPr="009421FC">
        <w:rPr>
          <w:rFonts w:ascii="GHEA Mariam" w:hAnsi="GHEA Mariam" w:cs="Cambria Math"/>
          <w:color w:val="000000"/>
          <w:sz w:val="24"/>
          <w:szCs w:val="24"/>
          <w:shd w:val="clear" w:color="auto" w:fill="FFFFFF"/>
        </w:rPr>
        <w:t>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Այն դեպքում, երբ սույն կարգի 5-րդ կետի կիրառման շրջանակներում առկա են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արտաքին տնտեսական գործունեության ապրանքային ան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վանացանկի վեցանիշ ենթադիրքում կամ քառանիշ դիրքում արժեքային (ադվա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լորային) և հաստատագրված դրույքաչափերով հաշվարկվող ներմուծման մաքսա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տուրքեր կամ ակցիզային հարկ, ապա պարտավորությունների կատար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ման ապահովման չափի հաշվարկման համար հիմք է ընդունվում հետևյալ երկու չափերից մեկը՝</w:t>
      </w:r>
    </w:p>
    <w:p w:rsidR="00D628C8" w:rsidRPr="009421FC" w:rsidRDefault="00D628C8" w:rsidP="00D628C8">
      <w:pPr>
        <w:pStyle w:val="ListParagraph"/>
        <w:numPr>
          <w:ilvl w:val="0"/>
          <w:numId w:val="4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 վեցանիշ ենթադիրքում կամ քառանիշ դիրքում ներմուծման մաք</w:t>
      </w:r>
      <w:r w:rsidR="00BE4C9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սատուրքի կամ ակցիզային հարկի արժեքային (ադվալորային) առավելագույն դրույքաչափ</w:t>
      </w:r>
      <w:r w:rsidR="00BE4C97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այն դեպքում, երբ այդպիսի դրույքաչափով հաշվարկված գումար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ները գերազանցում են տվյալ վեցանիշ ենթադիրքում կամ քառանիշ դիրքում հաստատագրված դրույքաչափերով հաշվարկված գումարները.</w:t>
      </w:r>
    </w:p>
    <w:p w:rsidR="00D628C8" w:rsidRPr="009421FC" w:rsidRDefault="00D628C8" w:rsidP="00D628C8">
      <w:pPr>
        <w:pStyle w:val="ListParagraph"/>
        <w:numPr>
          <w:ilvl w:val="0"/>
          <w:numId w:val="4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տվյալ վեցանիշ ենթադիրքում կամ քառանիշ դիրքում ներմուծման մաք</w:t>
      </w:r>
      <w:r w:rsidR="00BE4C9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սատուրքի կամ ակցիզային հարկի հաստատագրված առավելագույն չափ</w:t>
      </w:r>
      <w:r w:rsidR="00BE4C97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այն 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դեպքում, երբ այդպիսի դրույքաչափով հաշվարկված գումարները գերա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զանցում են տվյալ վեցանիշ ենթադիրքում կամ քառանիշ դիրքում արժեքային (ադվա</w:t>
      </w:r>
      <w:r w:rsidR="00BE4C97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լորային) դրույքաչափերով հաշվարկված գումարները։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կարգի 6-րդ կետի կիրառման նպատակներով հաստատագրված դրույքաչափերի հաշվարկման նպատակներով հիմք է ընդունվում տարանցման հայտարարագրում նշված ապրանքների համախառն քաշը։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Այն դեպքում, երբ «Մաքսային տարանցում» մաքսային ընթացակարգով ձևակերպվող ապրանքները փոխադրվում են նաև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այլ պետու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թյունների տարածքներով, ապա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օ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րենսգրքի 146-րդ հոդվածի 2-րդ կետին համապատասխան՝ սույն կարգի 4-րդ կետով նախատեսված չափը հիմք է ընդունվում, եթե այն ավելի ցածր չէ, քան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այլ պետություններում գործող դրույքաչափերով հաշվարկված պարտավորությունների գումարները։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Սույն կարգի 8-րդ կետով նախատեսված դեպքում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իության անդամ այլ </w:t>
      </w:r>
      <w:r w:rsidRPr="006E5A7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պետություններում գործող դրույքաչափերով պարտավորությունների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հաշվարկման համար հիմք են ընդունվում Եվրասիական տնտեսական հանձնաժողովի խորհրդի կողմից սահմանված՝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միասնական մաքսային սակագնով սահմանված ներմուծման մաքսատուրքի դրույքաչափերը, իսկ հարկերի հաշվարկման նպա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տակով՝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պետությունների օրենսդրությամբ սահմանված հար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կերի դրույքաչափերը։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կարգի 9-րդ կետին համապատասխան</w:t>
      </w:r>
      <w:r w:rsidR="009F7D80">
        <w:rPr>
          <w:rFonts w:ascii="GHEA Mariam" w:hAnsi="GHEA Mariam"/>
          <w:color w:val="000000"/>
          <w:sz w:val="24"/>
          <w:szCs w:val="24"/>
          <w:shd w:val="clear" w:color="auto" w:fill="FFFFFF"/>
        </w:rPr>
        <w:t>՝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պետու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թյունների օրենսդրությամբ սահմանված հարկերի հաշվարկման համար հիմք են ընդունվում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պետությունների հարկային մարմինների միջև տարեկան կտրվածքով հարկային օրենսդրությամբ սահմանված՝ փոխադարձ առևտրին առնչվող հարկերի դրույքաչափերի վերաբերյալ փոխանակվող տեղե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կությունները։</w:t>
      </w:r>
    </w:p>
    <w:p w:rsidR="00D628C8" w:rsidRPr="009421FC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 կարգի 10-րդ կետով նախատեսված տեղեկությունների փոխա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նակումը հարկային մարմնի և մաքսային մարմինների միջև իրականացվում է Հայաստանի Հանրապետության պետական եկամուտների կոմիտեի կողմից սահմանված կարգով։</w:t>
      </w:r>
    </w:p>
    <w:p w:rsidR="00D628C8" w:rsidRDefault="00D628C8" w:rsidP="00D628C8">
      <w:pPr>
        <w:pStyle w:val="ListParagraph"/>
        <w:numPr>
          <w:ilvl w:val="0"/>
          <w:numId w:val="2"/>
        </w:numPr>
        <w:shd w:val="clear" w:color="auto" w:fill="FFFFFF"/>
        <w:tabs>
          <w:tab w:val="left" w:pos="68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Այն դեպքում, երբ «Մաքսային տարանցում» մաքսային ընթացակարգով ձևակերպվող ապրանքները փոխադրվում են նաև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այլ պետությունների տարածքներով</w:t>
      </w:r>
      <w:r w:rsidR="009F7D80">
        <w:rPr>
          <w:rFonts w:ascii="GHEA Mariam" w:hAnsi="GHEA Mariam"/>
          <w:color w:val="000000"/>
          <w:sz w:val="24"/>
          <w:szCs w:val="24"/>
          <w:shd w:val="clear" w:color="auto" w:fill="FFFFFF"/>
        </w:rPr>
        <w:t>,</w:t>
      </w:r>
      <w:bookmarkStart w:id="0" w:name="_GoBack"/>
      <w:bookmarkEnd w:id="0"/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և պարտավորությունների կատարման ապա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հովման չափի հաշվարկման ժամանակ հնարավոր չէ ճշգրիտ որոշել վճարման ենթակա մաքսատուրքի և հարկերի գումարները՝ պայմանավորված այն հանգա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մանքով, որ մաքսային մարմիններին չեն ներկայացվել «Մաքսային տարանցում» մաքսային ընթացակարգով ձևակերպվող ապրանքների վերաբերյալ ճշգրիտ տեղեկություններ, ապա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իության անդամ այլ պետություններում կիրառվող մաքսատուրքի և հարկերի գումարների չափը որոշվում է սույն կարգի 5-րդ կետի 1-ին, 2-րդ, 4-րդ և 5-րդ ենթակետերով և 6-րդ կետով սահմանված կարգով, իսկ ավելացված արժեքի հարկի կամ 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t>մ</w:t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>իության անդամ պետությունների օրենսդրու</w:t>
      </w:r>
      <w:r w:rsidR="0038044B">
        <w:rPr>
          <w:rFonts w:ascii="GHEA Mariam" w:hAnsi="GHEA Mariam"/>
          <w:color w:val="000000"/>
          <w:sz w:val="24"/>
          <w:szCs w:val="24"/>
          <w:shd w:val="clear" w:color="auto" w:fill="FFFFFF"/>
        </w:rPr>
        <w:softHyphen/>
      </w:r>
      <w:r w:rsidRPr="009421FC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թյամբ սահմանված այլ տեսակի անուղղակի հարկի հաշվարկման նպատակով հիմք է ընդունվում տվյալ անուղղակի հարկի համար սահմանված առավելագույն դրույքաչափը։ </w:t>
      </w:r>
    </w:p>
    <w:p w:rsidR="00B67CE0" w:rsidRPr="005844A0" w:rsidRDefault="00B67CE0" w:rsidP="00B67CE0">
      <w:pPr>
        <w:shd w:val="clear" w:color="auto" w:fill="FFFFFF"/>
        <w:tabs>
          <w:tab w:val="left" w:pos="689"/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67CE0" w:rsidRPr="005844A0" w:rsidRDefault="00B67CE0" w:rsidP="00B67CE0">
      <w:pPr>
        <w:shd w:val="clear" w:color="auto" w:fill="FFFFFF"/>
        <w:tabs>
          <w:tab w:val="left" w:pos="689"/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67CE0" w:rsidRPr="00927EF0" w:rsidRDefault="00B67CE0" w:rsidP="00927EF0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927EF0">
        <w:rPr>
          <w:rFonts w:ascii="GHEA Mariam" w:hAnsi="GHEA Mariam" w:cs="Arial"/>
          <w:sz w:val="24"/>
          <w:lang w:val="hy-AM"/>
        </w:rPr>
        <w:t>ՀԱՅԱՍՏԱՆԻ</w:t>
      </w:r>
      <w:r w:rsidR="0038044B">
        <w:rPr>
          <w:rFonts w:ascii="GHEA Mariam" w:hAnsi="GHEA Mariam" w:cs="Arial Armenia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ՀԱՆՐԱՊԵՏՈՒԹՅԱՆ</w:t>
      </w:r>
    </w:p>
    <w:p w:rsidR="00B67CE0" w:rsidRPr="00927EF0" w:rsidRDefault="00B67CE0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927EF0"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/>
          <w:sz w:val="24"/>
          <w:lang w:val="hy-AM"/>
        </w:rPr>
        <w:tab/>
      </w:r>
      <w:r w:rsidR="0038044B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 w:cs="Arial"/>
          <w:sz w:val="24"/>
          <w:lang w:val="hy-AM"/>
        </w:rPr>
        <w:t>ՎԱՐՉԱՊԵՏԻ</w:t>
      </w:r>
      <w:r w:rsidRPr="00927EF0">
        <w:rPr>
          <w:rFonts w:ascii="GHEA Mariam" w:hAnsi="GHEA Mariam" w:cs="Sylfaen"/>
          <w:sz w:val="24"/>
          <w:lang w:val="hy-AM"/>
        </w:rPr>
        <w:t xml:space="preserve"> </w:t>
      </w:r>
      <w:r w:rsidRPr="00927EF0">
        <w:rPr>
          <w:rFonts w:ascii="GHEA Mariam" w:hAnsi="GHEA Mariam" w:cs="Arial"/>
          <w:sz w:val="24"/>
          <w:lang w:val="hy-AM"/>
        </w:rPr>
        <w:t>ԱՇԽԱՏԱԿԱԶՄԻ</w:t>
      </w:r>
    </w:p>
    <w:p w:rsidR="00B67CE0" w:rsidRPr="005844A0" w:rsidRDefault="00B67CE0" w:rsidP="00B67CE0">
      <w:pPr>
        <w:shd w:val="clear" w:color="auto" w:fill="FFFFFF"/>
        <w:tabs>
          <w:tab w:val="left" w:pos="689"/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27EF0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8044B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927EF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27E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 w:rsidR="0038044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38044B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7E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7E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67CE0" w:rsidRPr="005844A0" w:rsidRDefault="00B67CE0" w:rsidP="00B67CE0">
      <w:pPr>
        <w:shd w:val="clear" w:color="auto" w:fill="FFFFFF"/>
        <w:tabs>
          <w:tab w:val="left" w:pos="689"/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67CE0" w:rsidRPr="00B67CE0" w:rsidRDefault="00B67CE0" w:rsidP="00B67CE0">
      <w:pPr>
        <w:shd w:val="clear" w:color="auto" w:fill="FFFFFF"/>
        <w:tabs>
          <w:tab w:val="left" w:pos="689"/>
          <w:tab w:val="left" w:pos="993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628C8" w:rsidRPr="009421FC" w:rsidRDefault="00D628C8" w:rsidP="00D628C8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1F225D" w:rsidRPr="00D628C8" w:rsidRDefault="001F225D">
      <w:pPr>
        <w:pStyle w:val="mechtex"/>
        <w:rPr>
          <w:rFonts w:ascii="Sylfaen" w:hAnsi="Sylfaen"/>
          <w:lang w:val="hy-AM"/>
        </w:rPr>
      </w:pPr>
    </w:p>
    <w:sectPr w:rsidR="001F225D" w:rsidRPr="00D628C8" w:rsidSect="0038044B"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5EB" w:rsidRDefault="002475EB">
      <w:r>
        <w:separator/>
      </w:r>
    </w:p>
  </w:endnote>
  <w:endnote w:type="continuationSeparator" w:id="0">
    <w:p w:rsidR="002475EB" w:rsidRDefault="0024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1C77">
      <w:rPr>
        <w:noProof/>
        <w:sz w:val="18"/>
      </w:rPr>
      <w:t>KA-466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5EB" w:rsidRDefault="002475EB">
      <w:r>
        <w:separator/>
      </w:r>
    </w:p>
  </w:footnote>
  <w:footnote w:type="continuationSeparator" w:id="0">
    <w:p w:rsidR="002475EB" w:rsidRDefault="00247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1B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D8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74640"/>
    <w:multiLevelType w:val="hybridMultilevel"/>
    <w:tmpl w:val="06509A2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C745DEA"/>
    <w:multiLevelType w:val="hybridMultilevel"/>
    <w:tmpl w:val="55147648"/>
    <w:lvl w:ilvl="0" w:tplc="DEFE53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6851D5B"/>
    <w:multiLevelType w:val="hybridMultilevel"/>
    <w:tmpl w:val="FC9EFD3C"/>
    <w:lvl w:ilvl="0" w:tplc="DEFE53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AF63EF"/>
    <w:multiLevelType w:val="hybridMultilevel"/>
    <w:tmpl w:val="A63E439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8C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5E7B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32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5E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BF4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7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44B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0C2"/>
    <w:rsid w:val="005844A0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A71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BF7"/>
    <w:rsid w:val="00791FF1"/>
    <w:rsid w:val="0079221B"/>
    <w:rsid w:val="00792293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D80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CD2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CE0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C97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49D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8C8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C77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891729-90C6-47CC-A352-31D6D463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628C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628C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D91C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91C7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https:/mul2.gov.am/tasks/859045/oneclick/voroshum-EK445.docx?token=2d86c72adc1ac3247fd89387e49a52ed</cp:keywords>
  <dc:description/>
  <cp:lastModifiedBy>Anna Aloyan</cp:lastModifiedBy>
  <cp:revision>13</cp:revision>
  <cp:lastPrinted>2023-10-10T06:42:00Z</cp:lastPrinted>
  <dcterms:created xsi:type="dcterms:W3CDTF">2023-10-10T06:27:00Z</dcterms:created>
  <dcterms:modified xsi:type="dcterms:W3CDTF">2023-10-10T07:02:00Z</dcterms:modified>
</cp:coreProperties>
</file>