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BFC" w:rsidRDefault="000D1BFC" w:rsidP="000D1BFC">
      <w:pPr>
        <w:spacing w:line="256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0D1BFC" w:rsidRDefault="000D1BFC" w:rsidP="000D1BF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ԱՌԱՆՑ ԵՐԿԱԹՈՒՂԱՅԻՆ ՏՐԱՆՍՊՈՐՏԱՅԻՆ ՄԻՋՈՑԸ ԼՔԵԼՈՒ ՄԱՔՍԱՅԻՆ ԳՈՐԾԱՌՆՈՒԹՅՈՒՆՆԵՐԻ ԻՐԱԿԱՆԱՑՄԱՆ ՀԵՐԹԱԿԱՆՈՒԹՅՈՒՆԸ ՍԱՀՄԱՆԵԼՈՒ </w:t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0D1BFC" w:rsidRDefault="000D1BFC" w:rsidP="000D1BF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«Եվրասիական տնտեսական միության մաքսային օրենսգրքի մասին» 11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04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2017թ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պայմանագրի հավելվածով հաստատված՝ Եվրասիական տնտեսական միության մաքսային օրենսգրքի 258-րդ հոդվածի համաձայն՝ Եվրասիական տնտեսական միության անդամ պետությունների՝ մաքսային կարգավորման վերաբերյալ օրենսդրությանը համապատաս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խան սահմանված դեպքերում անձնական օգտագործման ապրանքները երկաթուղային տրանս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պորտով փոխադրելիս՝ դրանց հետ կապված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գործառնությունները կարող են իրականացվել ուղևորատար գնացքների ընթացուղում:</w:t>
      </w:r>
      <w:r>
        <w:rPr>
          <w:rFonts w:ascii="Sylfaen" w:hAnsi="Sylfaen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Ֆիզիկական անձանց կողմից Եվրասիական տնտեսական միության մաքսային սահմանով անձնական օգտագործման ապրանքները տրանսպոր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տային միջոցներով, բացառությամբ նավերի և օդանավերի, տեղափոխելու դեպքում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մարմիններն այդ անձանց հնարավորություն են տալիս իրականացնելու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գործառնություններ՝ առանց այդ տրանսպորտային միջոցներից հեռանալու, բացառությամբ այն դեպքերի, երբ դա անհրաժեշտ է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կարգավորման ոլորտի միջազգային պայմանագրերն ու ակտերը պահպանելու համար:</w:t>
      </w:r>
    </w:p>
    <w:p w:rsidR="000D1BFC" w:rsidRDefault="000D1BFC" w:rsidP="000D1BF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174-րդ հոդվածի 2-րդ և 3-րդ մասերի համաձայն՝ ե</w:t>
      </w:r>
      <w:r>
        <w:rPr>
          <w:rFonts w:ascii="GHEA Grapalat" w:hAnsi="GHEA Grapalat"/>
          <w:color w:val="000000"/>
          <w:sz w:val="24"/>
          <w:szCs w:val="24"/>
        </w:rPr>
        <w:t xml:space="preserve">րկաթուղային տրանսպորտով երթևեկող ուղևորների նկատմամբ մաքսային գործառնությունները կատարվում են առանց տրանսպորտային միջոցը լքելու, բացառությամբ այն դեպքերի, երբ տրանսպորտային </w:t>
      </w:r>
      <w:r>
        <w:rPr>
          <w:rFonts w:ascii="GHEA Grapalat" w:hAnsi="GHEA Grapalat"/>
          <w:color w:val="000000"/>
          <w:sz w:val="24"/>
          <w:szCs w:val="24"/>
        </w:rPr>
        <w:lastRenderedPageBreak/>
        <w:t>միջոցը լքելու նպատակը Եվրասիական տնտեսական միության և Հայաստանի Հանրապետության մաքսային օրենսդրության պահպանումն է: Մաքսային գործառնությունների՝ առանց երկաթուղային տրանսպորտային միջոցը լքելու իրականացման հերթականությունը սահմանում է Կառավարությունը:</w:t>
      </w:r>
    </w:p>
    <w:p w:rsidR="000D1BFC" w:rsidRDefault="000D1BFC" w:rsidP="000D1BF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Միաժամանակ, Հայաստանի Հանրապետության կառավարության 15</w:t>
      </w:r>
      <w:r>
        <w:rPr>
          <w:rFonts w:ascii="Cambria Math" w:hAnsi="Cambria Math" w:cs="Cambria Math"/>
          <w:color w:val="000000"/>
          <w:sz w:val="24"/>
          <w:szCs w:val="24"/>
        </w:rPr>
        <w:t>․</w:t>
      </w:r>
      <w:r>
        <w:rPr>
          <w:rFonts w:ascii="GHEA Grapalat" w:hAnsi="GHEA Grapalat"/>
          <w:color w:val="000000"/>
          <w:sz w:val="24"/>
          <w:szCs w:val="24"/>
        </w:rPr>
        <w:t>05</w:t>
      </w:r>
      <w:r>
        <w:rPr>
          <w:rFonts w:ascii="Cambria Math" w:hAnsi="Cambria Math" w:cs="Cambria Math"/>
          <w:color w:val="000000"/>
          <w:sz w:val="24"/>
          <w:szCs w:val="24"/>
        </w:rPr>
        <w:t>․</w:t>
      </w:r>
      <w:r>
        <w:rPr>
          <w:rFonts w:ascii="GHEA Grapalat" w:hAnsi="GHEA Grapalat"/>
          <w:color w:val="000000"/>
          <w:sz w:val="24"/>
          <w:szCs w:val="24"/>
        </w:rPr>
        <w:t>2002թ</w:t>
      </w:r>
      <w:r>
        <w:rPr>
          <w:rFonts w:ascii="Cambria Math" w:hAnsi="Cambria Math" w:cs="Cambria Math"/>
          <w:color w:val="000000"/>
          <w:sz w:val="24"/>
          <w:szCs w:val="24"/>
        </w:rPr>
        <w:t>․</w:t>
      </w:r>
      <w:r>
        <w:rPr>
          <w:rFonts w:ascii="GHEA Grapalat" w:hAnsi="GHEA Grapalat"/>
          <w:color w:val="000000"/>
          <w:sz w:val="24"/>
          <w:szCs w:val="24"/>
        </w:rPr>
        <w:t xml:space="preserve"> N551 որոշմամբ սահմանված է </w:t>
      </w:r>
      <w:r>
        <w:rPr>
          <w:rFonts w:ascii="GHEA Grapalat" w:hAnsi="GHEA Grapalat"/>
          <w:bCs/>
          <w:color w:val="000000"/>
          <w:sz w:val="24"/>
          <w:szCs w:val="24"/>
        </w:rPr>
        <w:t>ֆիզիկական անձանց կողմից միջպետական հաղորդակցության մարդատար գնացքներով Հայաստանի Հանրապետության մաքսային սահմանով ապրանքների տեղափոխման և այդ ապրանքների նկատմամբ մաքսային հսկողության ու մաքսային ձևակերպումների իրականացման կարգը՝ միայն ՀՀ ժամանող ուղևորների համար, որով նախատեսված դրույթները ներկայումս արդիական չեն։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մասնավորապես նախատեսվում է սահմանել՝</w:t>
      </w:r>
    </w:p>
    <w:p w:rsidR="000D1BFC" w:rsidRDefault="000D1BFC" w:rsidP="000D1BFC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երկաթուղային տրանսպորտային միջոցի ընթացուղում մաքսային մարմինների կողմից իրականացվող գործառնությունների ընդհանուր կարգավորումները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0D1BFC" w:rsidRDefault="000D1BFC" w:rsidP="000D1BFC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երկաթուղային փոխադրողի և մաքսային մարմինների համագործակցությանն առնչվող կարգավորումները՝ մաքսային գործառնությունների իրականացման ժամանակ։</w:t>
      </w:r>
    </w:p>
    <w:p w:rsidR="000D1BFC" w:rsidRDefault="000D1BFC" w:rsidP="000D1BFC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գործառնությունների իրականացման ժամանակ անձանց, փոխադրողի և մաքսային մարմինների կողմից իրականացվող գործողությունների հաջորդականությունը։</w:t>
      </w:r>
    </w:p>
    <w:p w:rsidR="000D1BFC" w:rsidRDefault="00A927FF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</w:t>
      </w:r>
      <w:r w:rsidR="000D1BFC">
        <w:rPr>
          <w:rFonts w:ascii="GHEA Grapalat" w:hAnsi="GHEA Grapalat"/>
          <w:color w:val="000000"/>
          <w:sz w:val="24"/>
          <w:szCs w:val="24"/>
          <w:lang w:eastAsia="hy-AM"/>
        </w:rPr>
        <w:t xml:space="preserve"> նախատեսվում է նաև ուժը կորցրած ճանաչել ՀՀ կառավարության 15</w:t>
      </w:r>
      <w:r w:rsidR="000D1BFC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0D1BFC">
        <w:rPr>
          <w:rFonts w:ascii="GHEA Grapalat" w:hAnsi="GHEA Grapalat"/>
          <w:color w:val="000000"/>
          <w:sz w:val="24"/>
          <w:szCs w:val="24"/>
          <w:lang w:eastAsia="hy-AM"/>
        </w:rPr>
        <w:t>05</w:t>
      </w:r>
      <w:r w:rsidR="000D1BFC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0D1BFC">
        <w:rPr>
          <w:rFonts w:ascii="GHEA Grapalat" w:hAnsi="GHEA Grapalat"/>
          <w:color w:val="000000"/>
          <w:sz w:val="24"/>
          <w:szCs w:val="24"/>
          <w:lang w:eastAsia="hy-AM"/>
        </w:rPr>
        <w:t>2002թ</w:t>
      </w:r>
      <w:r w:rsidR="000D1BFC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0D1BFC">
        <w:rPr>
          <w:rFonts w:ascii="GHEA Grapalat" w:hAnsi="GHEA Grapalat"/>
          <w:color w:val="000000"/>
          <w:sz w:val="24"/>
          <w:szCs w:val="24"/>
          <w:lang w:eastAsia="hy-AM"/>
        </w:rPr>
        <w:t xml:space="preserve"> N551 որոշումը՝ դրանում ներառված նորմերի արդիական չլինելու հանգամանքով պայմանավորված։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0D1BFC" w:rsidRDefault="000D1BFC" w:rsidP="000D1B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503E3" w:rsidRDefault="00E503E3"/>
    <w:sectPr w:rsidR="00E503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ED1"/>
    <w:rsid w:val="000D1BFC"/>
    <w:rsid w:val="003E795D"/>
    <w:rsid w:val="00A927FF"/>
    <w:rsid w:val="00BA7ED1"/>
    <w:rsid w:val="00E5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45C9A-9962-4EA5-8BEB-9FC00F427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BFC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https://mul2-taxservice.gov.am/tasks/2494174/oneclick/Himnavorum_Erkatughi.docx?token=56bbc7dceb6ce98fd884b8e28447ef7c</cp:keywords>
  <dc:description/>
  <cp:lastModifiedBy>Arsen Tarzyan</cp:lastModifiedBy>
  <cp:revision>7</cp:revision>
  <dcterms:created xsi:type="dcterms:W3CDTF">2023-08-21T17:05:00Z</dcterms:created>
  <dcterms:modified xsi:type="dcterms:W3CDTF">2023-10-05T07:20:00Z</dcterms:modified>
</cp:coreProperties>
</file>