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2DFF" w:rsidRDefault="00432DFF" w:rsidP="00432DFF">
      <w:pPr>
        <w:shd w:val="clear" w:color="auto" w:fill="FFFFFF"/>
        <w:spacing w:after="0" w:line="240" w:lineRule="auto"/>
        <w:jc w:val="center"/>
        <w:rPr>
          <w:rFonts w:ascii="GHEA Grapalat" w:hAnsi="GHEA Grapalat"/>
          <w:bCs/>
          <w:color w:val="000000"/>
          <w:sz w:val="24"/>
          <w:szCs w:val="24"/>
          <w:lang w:eastAsia="hy-AM"/>
        </w:rPr>
      </w:pPr>
      <w:r>
        <w:rPr>
          <w:rFonts w:ascii="GHEA Grapalat" w:hAnsi="GHEA Grapalat"/>
          <w:bCs/>
          <w:color w:val="000000"/>
          <w:sz w:val="24"/>
          <w:szCs w:val="24"/>
          <w:lang w:eastAsia="hy-AM"/>
        </w:rPr>
        <w:t>ՀԻՄՆԱՎՈՐՈՒՄ</w:t>
      </w:r>
    </w:p>
    <w:p w:rsidR="00432DFF" w:rsidRDefault="00432DFF" w:rsidP="00432DFF">
      <w:pPr>
        <w:shd w:val="clear" w:color="auto" w:fill="FFFFFF"/>
        <w:tabs>
          <w:tab w:val="left" w:pos="851"/>
        </w:tabs>
        <w:spacing w:after="0" w:line="240" w:lineRule="auto"/>
        <w:ind w:firstLine="567"/>
        <w:jc w:val="center"/>
        <w:rPr>
          <w:rFonts w:ascii="GHEA Grapalat" w:hAnsi="GHEA Grapalat"/>
          <w:color w:val="000000"/>
          <w:sz w:val="24"/>
          <w:szCs w:val="24"/>
          <w:lang w:eastAsia="hy-AM"/>
        </w:rPr>
      </w:pPr>
      <w:r>
        <w:rPr>
          <w:rFonts w:ascii="GHEA Grapalat" w:hAnsi="GHEA Grapalat"/>
          <w:bCs/>
          <w:color w:val="000000"/>
          <w:sz w:val="24"/>
          <w:szCs w:val="24"/>
          <w:lang w:eastAsia="hy-AM"/>
        </w:rPr>
        <w:t xml:space="preserve"> «</w:t>
      </w:r>
      <w:r>
        <w:rPr>
          <w:rFonts w:ascii="GHEA Grapalat" w:hAnsi="GHEA Grapalat"/>
          <w:color w:val="000000"/>
          <w:sz w:val="24"/>
          <w:szCs w:val="24"/>
          <w:shd w:val="clear" w:color="auto" w:fill="FFFFFF"/>
        </w:rPr>
        <w:t>ԵՎՐԱՍԻԱԿԱՆ ՏՆՏԵՍԱԿԱՆ ՀԱՆՁՆԱԺՈՂՈՎԻ ԿՈՂՄԻՑ ՆԱԽԱՏԵՍՎԱԾ ԴԵՊՔԵՐՈՒՄ ԼԻԱԶՈՐՎԱԾ ՏՆՏԵՍԱԿԱՆ ՕՊԵՐԱՏՈՐՆԵՐԻ ՌԵԵՍՏՐՈՒՄ ԸՆԴԳՐԿԵԼՈՒ ՀԱՄԱՐ ՀԱՎԱԿՆՈՂ ԻՐԱՎԱԲԱՆԱԿԱՆ ԱՆՁԱՆՑ ՖԻՆԱՆՍԱԿԱՆ ԿԱՅՈՒՆՈՒԹՅԱՆ ՈՐՈՇՄԱՆ ԿԱՐԳԸ ՍԱՀՄԱՆԵԼՈՒ</w:t>
      </w:r>
      <w:r>
        <w:rPr>
          <w:rFonts w:ascii="Calibri" w:hAnsi="Calibri" w:cs="Calibri"/>
          <w:color w:val="000000"/>
          <w:sz w:val="24"/>
          <w:szCs w:val="24"/>
          <w:shd w:val="clear" w:color="auto" w:fill="FFFFFF"/>
        </w:rPr>
        <w:t> </w:t>
      </w:r>
      <w:r>
        <w:rPr>
          <w:rFonts w:ascii="GHEA Grapalat" w:hAnsi="GHEA Grapalat"/>
          <w:color w:val="000000"/>
          <w:sz w:val="24"/>
          <w:szCs w:val="24"/>
          <w:shd w:val="clear" w:color="auto" w:fill="FFFFFF"/>
        </w:rPr>
        <w:t>ՄԱՍԻՆ</w:t>
      </w:r>
      <w:r>
        <w:rPr>
          <w:rFonts w:ascii="GHEA Grapalat" w:hAnsi="GHEA Grapalat"/>
          <w:bCs/>
          <w:color w:val="000000"/>
          <w:sz w:val="24"/>
          <w:szCs w:val="24"/>
          <w:lang w:eastAsia="hy-AM"/>
        </w:rPr>
        <w:t>» ՀԱՅԱՍՏԱՆԻ ՀԱՆՐԱՊԵՏՈՒԹՅԱՆ ԿԱՌԱՎԱՐՈՒԹՅԱՆ ՈՐՈՇՄԱՆ ՆԱԽԱԳԾԻ ՎԵՐԱԲԵՐՅԱԼ</w:t>
      </w:r>
    </w:p>
    <w:p w:rsidR="00432DFF" w:rsidRDefault="00432DFF" w:rsidP="00432DFF">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p>
    <w:p w:rsidR="00432DFF" w:rsidRDefault="00432DFF" w:rsidP="00432DFF">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432DFF" w:rsidRDefault="00432DFF" w:rsidP="00432DFF">
      <w:pPr>
        <w:shd w:val="clear" w:color="auto" w:fill="FFFFFF"/>
        <w:tabs>
          <w:tab w:val="left" w:pos="993"/>
        </w:tabs>
        <w:spacing w:after="0" w:line="360" w:lineRule="auto"/>
        <w:ind w:firstLine="567"/>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«Եվրասիական տնտեսական միության մաքսային օրենսգրքի մասին» 2017 թվականի ապրիլի 11-ի պայմանագրի հավելվածով հաստատված՝ Եվրասիական տնտեսական միության մաքսային օրենսգրքի 433-րդ հոդվածի 3-րդ կետի համաձայն՝ երկրորդ տեսակի վկայականի տրամադրմամբ լիազորված տնտեսական օպերատորների ռեեստրում իրավաբանական անձին ընդգրկելու պայման է հանդիսանում իրավաբանական անձի ֆինանսական կայունության համապատասխանությունը Եվրասիական տնտեսական հանձնաժողովի կողմից սահմանված չափանիշներին։ Եվրասիական տնտեսական հանձնաժողովի խորհրդի 2017 թվականի սեպտեմբերի 15-ի N65 որոշմամբ սահմանված են իրավաբանական անձանց ֆինանսական կայունության բացարձակ և հարաբերական ցուցանիշները և նշված ցուցանիշներին վերագրվող արժեքները։ Միաժամանակ, նույն որոշմամբ նախատեսված է ֆինանսական կայունության սահմանված ցուցանիշներին համապատասխանության համար աուդիտորական կազմակեր</w:t>
      </w:r>
      <w:r>
        <w:rPr>
          <w:rFonts w:ascii="GHEA Grapalat" w:hAnsi="GHEA Grapalat"/>
          <w:color w:val="000000"/>
          <w:sz w:val="24"/>
          <w:szCs w:val="24"/>
          <w:shd w:val="clear" w:color="auto" w:fill="FFFFFF"/>
        </w:rPr>
        <w:softHyphen/>
        <w:t>պություն</w:t>
      </w:r>
      <w:r>
        <w:rPr>
          <w:rFonts w:ascii="GHEA Grapalat" w:hAnsi="GHEA Grapalat"/>
          <w:color w:val="000000"/>
          <w:sz w:val="24"/>
          <w:szCs w:val="24"/>
          <w:shd w:val="clear" w:color="auto" w:fill="FFFFFF"/>
        </w:rPr>
        <w:softHyphen/>
        <w:t>ների կողմից հաստատման հնարավորություն, եթե դա նախատեսված է Եվրասիական տնտեսական միության անդամ պետությունների օրենսդրությամբ, ինչպես նաև իրավաբա</w:t>
      </w:r>
      <w:r>
        <w:rPr>
          <w:rFonts w:ascii="GHEA Grapalat" w:hAnsi="GHEA Grapalat"/>
          <w:color w:val="000000"/>
          <w:sz w:val="24"/>
          <w:szCs w:val="24"/>
          <w:shd w:val="clear" w:color="auto" w:fill="FFFFFF"/>
        </w:rPr>
        <w:softHyphen/>
        <w:t>նական անձի ֆինանսական կայունության որոշման հնարավորություն՝ վարկանիշային կազմակերպությունների կողմից, եթե դա նախատեսված է Եվրասիական տնտեսական միության անդամ պետությունների օրենսդրությամբ։</w:t>
      </w:r>
    </w:p>
    <w:p w:rsidR="00432DFF" w:rsidRDefault="00432DFF" w:rsidP="00432DFF">
      <w:pPr>
        <w:tabs>
          <w:tab w:val="left" w:pos="993"/>
        </w:tabs>
        <w:spacing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«Մաքսային կարգավորման մասին» օրենքի 289-րդ հոդվածի 9-րդ մասի համաձայն՝ Կառավարությունը, Եվրասիական տնտեսական միության մաքսային օրենսգրքի 433-րդ հոդվածի 7-րդ կետին համապատասխան, կարող է սահմանել լիազորված տնտեսական օպերատորների ռեեստրում ընդգրկելու համար հավակնող իրավաբանական անձանց ֆինանսական կայունության որոշմա</w:t>
      </w:r>
      <w:bookmarkStart w:id="0" w:name="_GoBack"/>
      <w:bookmarkEnd w:id="0"/>
      <w:r>
        <w:rPr>
          <w:rFonts w:ascii="GHEA Grapalat" w:hAnsi="GHEA Grapalat"/>
          <w:color w:val="000000"/>
          <w:sz w:val="24"/>
          <w:szCs w:val="24"/>
          <w:lang w:eastAsia="hy-AM"/>
        </w:rPr>
        <w:t>ն կարգը՝ Եվրասիական տնտեսական հանձնաժողովի նախատեսած դեպքերում:</w:t>
      </w:r>
    </w:p>
    <w:p w:rsidR="00432DFF" w:rsidRDefault="00432DFF" w:rsidP="00432DFF">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Կարգավորման առարկան, ակնկալվող արդյունքը.</w:t>
      </w:r>
    </w:p>
    <w:p w:rsidR="00432DFF" w:rsidRDefault="00432DFF" w:rsidP="00432DFF">
      <w:pPr>
        <w:pStyle w:val="ListParagraph"/>
        <w:shd w:val="clear" w:color="auto" w:fill="FFFFFF"/>
        <w:tabs>
          <w:tab w:val="left" w:pos="993"/>
        </w:tabs>
        <w:spacing w:after="0" w:line="360" w:lineRule="auto"/>
        <w:ind w:left="0" w:firstLine="567"/>
        <w:jc w:val="both"/>
        <w:rPr>
          <w:rFonts w:ascii="GHEA Grapalat" w:hAnsi="GHEA Grapalat"/>
          <w:color w:val="000000"/>
          <w:sz w:val="24"/>
          <w:szCs w:val="24"/>
          <w:lang w:eastAsia="hy-AM"/>
        </w:rPr>
      </w:pPr>
      <w:r>
        <w:rPr>
          <w:rFonts w:ascii="GHEA Grapalat" w:hAnsi="GHEA Grapalat"/>
          <w:color w:val="000000"/>
          <w:sz w:val="24"/>
          <w:szCs w:val="24"/>
          <w:lang w:eastAsia="hy-AM"/>
        </w:rPr>
        <w:lastRenderedPageBreak/>
        <w:t>Երկրորդ տեսակի վկայականի տրամադրմամբ լիազորված տնտեսական օպերատորների ռեեստրում ընդգրկման նպատակով և ռեեստրում ընդգրկումից հետո իրավաբանական անձի ֆինանսական կայունությանը համապատասխանության ապահովման նպատակով, նախագծով նախատեսվում է ստեղծել աուդիտորական կազմակերպությունների կողմից իրավաբանական անձի ֆինանսական կայունության հաստատման համար, ինչպես նաև Հայաստանի Հանրապետության օրենսդրությամբ նախատեսված վարկային բյուրոների կողմից տրամադրված տեղեկատվության հիման վրա իրավաբանական անձի ֆինանսական կայունության որոշման համար անհրաժեշտ իրավական հիմքեր։</w:t>
      </w:r>
    </w:p>
    <w:p w:rsidR="00432DFF" w:rsidRDefault="00432DFF" w:rsidP="00432DFF">
      <w:pPr>
        <w:shd w:val="clear" w:color="auto" w:fill="FFFFFF"/>
        <w:tabs>
          <w:tab w:val="left" w:pos="993"/>
        </w:tabs>
        <w:spacing w:after="0" w:line="360" w:lineRule="auto"/>
        <w:ind w:firstLine="567"/>
        <w:jc w:val="both"/>
        <w:rPr>
          <w:rFonts w:ascii="GHEA Grapalat" w:hAnsi="GHEA Grapalat"/>
          <w:b/>
          <w:bCs/>
          <w:i/>
          <w:color w:val="000000"/>
          <w:sz w:val="24"/>
          <w:szCs w:val="24"/>
          <w:lang w:eastAsia="hy-AM"/>
        </w:rPr>
      </w:pPr>
      <w:r>
        <w:rPr>
          <w:rFonts w:ascii="GHEA Grapalat" w:hAnsi="GHEA Grapalat"/>
          <w:b/>
          <w:i/>
          <w:color w:val="000000"/>
          <w:sz w:val="24"/>
          <w:szCs w:val="24"/>
          <w:lang w:eastAsia="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432DFF" w:rsidRPr="00432DFF" w:rsidRDefault="00432DFF" w:rsidP="00432DFF">
      <w:pPr>
        <w:spacing w:after="0" w:line="360" w:lineRule="auto"/>
        <w:ind w:firstLine="720"/>
        <w:jc w:val="both"/>
        <w:rPr>
          <w:rFonts w:ascii="GHEA Grapalat" w:hAnsi="GHEA Grapalat"/>
          <w:color w:val="000000"/>
          <w:sz w:val="24"/>
          <w:szCs w:val="24"/>
          <w:lang w:eastAsia="hy-AM"/>
        </w:rPr>
      </w:pPr>
      <w:r w:rsidRPr="00432DFF">
        <w:rPr>
          <w:rFonts w:ascii="GHEA Grapalat" w:hAnsi="GHEA Grapalat"/>
          <w:color w:val="000000"/>
          <w:sz w:val="24"/>
          <w:szCs w:val="24"/>
          <w:lang w:eastAsia="hy-AM"/>
        </w:rPr>
        <w:t>Նախագիծն առնչվում է ՀՀ կառավարության 18</w:t>
      </w:r>
      <w:r w:rsidRPr="00432DFF">
        <w:rPr>
          <w:rFonts w:ascii="Cambria Math" w:hAnsi="Cambria Math" w:cs="Cambria Math"/>
          <w:color w:val="000000"/>
          <w:sz w:val="24"/>
          <w:szCs w:val="24"/>
          <w:lang w:eastAsia="hy-AM"/>
        </w:rPr>
        <w:t>․</w:t>
      </w:r>
      <w:r w:rsidRPr="00432DFF">
        <w:rPr>
          <w:rFonts w:ascii="GHEA Grapalat" w:hAnsi="GHEA Grapalat"/>
          <w:color w:val="000000"/>
          <w:sz w:val="24"/>
          <w:szCs w:val="24"/>
          <w:lang w:eastAsia="hy-AM"/>
        </w:rPr>
        <w:t>11</w:t>
      </w:r>
      <w:r w:rsidRPr="00432DFF">
        <w:rPr>
          <w:rFonts w:ascii="Cambria Math" w:hAnsi="Cambria Math" w:cs="Cambria Math"/>
          <w:color w:val="000000"/>
          <w:sz w:val="24"/>
          <w:szCs w:val="24"/>
          <w:lang w:eastAsia="hy-AM"/>
        </w:rPr>
        <w:t>․</w:t>
      </w:r>
      <w:r w:rsidRPr="00432DFF">
        <w:rPr>
          <w:rFonts w:ascii="GHEA Grapalat" w:hAnsi="GHEA Grapalat"/>
          <w:color w:val="000000"/>
          <w:sz w:val="24"/>
          <w:szCs w:val="24"/>
          <w:lang w:eastAsia="hy-AM"/>
        </w:rPr>
        <w:t>2021թ</w:t>
      </w:r>
      <w:r w:rsidRPr="00432DFF">
        <w:rPr>
          <w:rFonts w:ascii="Cambria Math" w:hAnsi="Cambria Math" w:cs="Cambria Math"/>
          <w:color w:val="000000"/>
          <w:sz w:val="24"/>
          <w:szCs w:val="24"/>
          <w:lang w:eastAsia="hy-AM"/>
        </w:rPr>
        <w:t>․</w:t>
      </w:r>
      <w:r w:rsidRPr="00432DFF">
        <w:rPr>
          <w:rFonts w:ascii="GHEA Grapalat" w:hAnsi="GHEA Grapalat"/>
          <w:color w:val="000000"/>
          <w:sz w:val="24"/>
          <w:szCs w:val="24"/>
          <w:lang w:eastAsia="hy-AM"/>
        </w:rPr>
        <w:t xml:space="preserve"> N1902-Լ որոշմամբ սահմանված՝ «ՀՀ պետական եկամուտների կոմիտե» բաժնի 2</w:t>
      </w:r>
      <w:r w:rsidRPr="00432DFF">
        <w:rPr>
          <w:rFonts w:ascii="Cambria Math" w:hAnsi="Cambria Math" w:cs="Cambria Math"/>
          <w:color w:val="000000"/>
          <w:sz w:val="24"/>
          <w:szCs w:val="24"/>
          <w:lang w:eastAsia="hy-AM"/>
        </w:rPr>
        <w:t>․</w:t>
      </w:r>
      <w:r w:rsidRPr="00432DFF">
        <w:rPr>
          <w:rFonts w:ascii="GHEA Grapalat" w:hAnsi="GHEA Grapalat"/>
          <w:color w:val="000000"/>
          <w:sz w:val="24"/>
          <w:szCs w:val="24"/>
          <w:lang w:eastAsia="hy-AM"/>
        </w:rPr>
        <w:t>3-րդ կետով նախատեսված՝ «Օրինապահ հարկ վճարողների համակարգի կատարելագործում» միջոցառմանը, ինչպես նաև ՀՀ կառավարության 12</w:t>
      </w:r>
      <w:r w:rsidRPr="00432DFF">
        <w:rPr>
          <w:rFonts w:ascii="Cambria Math" w:hAnsi="Cambria Math" w:cs="Cambria Math"/>
          <w:color w:val="000000"/>
          <w:sz w:val="24"/>
          <w:szCs w:val="24"/>
          <w:lang w:eastAsia="hy-AM"/>
        </w:rPr>
        <w:t>․</w:t>
      </w:r>
      <w:r w:rsidRPr="00432DFF">
        <w:rPr>
          <w:rFonts w:ascii="GHEA Grapalat" w:hAnsi="GHEA Grapalat"/>
          <w:color w:val="000000"/>
          <w:sz w:val="24"/>
          <w:szCs w:val="24"/>
          <w:lang w:eastAsia="hy-AM"/>
        </w:rPr>
        <w:t>12</w:t>
      </w:r>
      <w:r w:rsidRPr="00432DFF">
        <w:rPr>
          <w:rFonts w:ascii="Cambria Math" w:hAnsi="Cambria Math" w:cs="Cambria Math"/>
          <w:color w:val="000000"/>
          <w:sz w:val="24"/>
          <w:szCs w:val="24"/>
          <w:lang w:eastAsia="hy-AM"/>
        </w:rPr>
        <w:t>․</w:t>
      </w:r>
      <w:r w:rsidRPr="00432DFF">
        <w:rPr>
          <w:rFonts w:ascii="GHEA Grapalat" w:hAnsi="GHEA Grapalat"/>
          <w:color w:val="000000"/>
          <w:sz w:val="24"/>
          <w:szCs w:val="24"/>
          <w:lang w:eastAsia="hy-AM"/>
        </w:rPr>
        <w:t>2019թ</w:t>
      </w:r>
      <w:r w:rsidRPr="00432DFF">
        <w:rPr>
          <w:rFonts w:ascii="Cambria Math" w:hAnsi="Cambria Math" w:cs="Cambria Math"/>
          <w:color w:val="000000"/>
          <w:sz w:val="24"/>
          <w:szCs w:val="24"/>
          <w:lang w:eastAsia="hy-AM"/>
        </w:rPr>
        <w:t>․</w:t>
      </w:r>
      <w:r w:rsidRPr="00432DFF">
        <w:rPr>
          <w:rFonts w:ascii="GHEA Grapalat" w:hAnsi="GHEA Grapalat"/>
          <w:color w:val="000000"/>
          <w:sz w:val="24"/>
          <w:szCs w:val="24"/>
          <w:lang w:eastAsia="hy-AM"/>
        </w:rPr>
        <w:t xml:space="preserve"> N1830-Լ որոշմամբ նախատեսված՝ «2.1.4. Մաքսային հսկողության արդյունավետության բարձրացում» միջոցառմանը։</w:t>
      </w:r>
    </w:p>
    <w:p w:rsidR="00432DFF" w:rsidRDefault="00432DFF" w:rsidP="00432DFF">
      <w:pPr>
        <w:shd w:val="clear" w:color="auto" w:fill="FFFFFF"/>
        <w:tabs>
          <w:tab w:val="left" w:pos="993"/>
        </w:tabs>
        <w:spacing w:after="0" w:line="360" w:lineRule="auto"/>
        <w:ind w:firstLine="567"/>
        <w:jc w:val="both"/>
        <w:rPr>
          <w:rFonts w:ascii="GHEA Grapalat" w:hAnsi="GHEA Grapalat"/>
          <w:b/>
          <w:i/>
          <w:color w:val="000000"/>
          <w:sz w:val="24"/>
          <w:szCs w:val="24"/>
          <w:lang w:val="fr-FR" w:eastAsia="hy-AM"/>
        </w:rPr>
      </w:pPr>
      <w:r>
        <w:rPr>
          <w:rFonts w:ascii="GHEA Grapalat" w:hAnsi="GHEA Grapalat"/>
          <w:b/>
          <w:i/>
          <w:color w:val="000000"/>
          <w:sz w:val="24"/>
          <w:szCs w:val="24"/>
          <w:lang w:eastAsia="hy-AM"/>
        </w:rPr>
        <w:t>Նախագծի</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մշակման</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գործընթացում</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ներգրավված</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ինստիտուտները</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և</w:t>
      </w:r>
      <w:r>
        <w:rPr>
          <w:rFonts w:ascii="GHEA Grapalat" w:hAnsi="GHEA Grapalat"/>
          <w:b/>
          <w:i/>
          <w:color w:val="000000"/>
          <w:sz w:val="24"/>
          <w:szCs w:val="24"/>
          <w:lang w:val="fr-FR" w:eastAsia="hy-AM"/>
        </w:rPr>
        <w:t xml:space="preserve"> </w:t>
      </w:r>
      <w:r>
        <w:rPr>
          <w:rFonts w:ascii="GHEA Grapalat" w:hAnsi="GHEA Grapalat"/>
          <w:b/>
          <w:i/>
          <w:color w:val="000000"/>
          <w:sz w:val="24"/>
          <w:szCs w:val="24"/>
          <w:lang w:eastAsia="hy-AM"/>
        </w:rPr>
        <w:t>անձինք</w:t>
      </w:r>
      <w:r>
        <w:rPr>
          <w:rFonts w:ascii="GHEA Grapalat" w:hAnsi="GHEA Grapalat"/>
          <w:b/>
          <w:i/>
          <w:color w:val="000000"/>
          <w:sz w:val="24"/>
          <w:szCs w:val="24"/>
          <w:lang w:val="fr-FR" w:eastAsia="hy-AM"/>
        </w:rPr>
        <w:t xml:space="preserve">. </w:t>
      </w:r>
    </w:p>
    <w:p w:rsidR="00432DFF" w:rsidRDefault="00432DFF" w:rsidP="00432DFF">
      <w:pPr>
        <w:shd w:val="clear" w:color="auto" w:fill="FFFFFF"/>
        <w:tabs>
          <w:tab w:val="left" w:pos="993"/>
        </w:tabs>
        <w:spacing w:after="0" w:line="360" w:lineRule="auto"/>
        <w:ind w:firstLine="567"/>
        <w:jc w:val="both"/>
        <w:rPr>
          <w:rFonts w:ascii="GHEA Grapalat" w:hAnsi="GHEA Grapalat"/>
          <w:b/>
          <w:bCs/>
          <w:color w:val="000000"/>
          <w:sz w:val="24"/>
          <w:szCs w:val="24"/>
          <w:lang w:eastAsia="hy-AM"/>
        </w:rPr>
      </w:pPr>
      <w:r>
        <w:rPr>
          <w:rFonts w:ascii="GHEA Grapalat" w:hAnsi="GHEA Grapalat"/>
          <w:color w:val="000000"/>
          <w:sz w:val="24"/>
          <w:szCs w:val="24"/>
          <w:lang w:eastAsia="hy-AM"/>
        </w:rPr>
        <w:t>Նախագիծը</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մշակվել</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է</w:t>
      </w:r>
      <w:r>
        <w:rPr>
          <w:rFonts w:ascii="GHEA Grapalat" w:hAnsi="GHEA Grapalat"/>
          <w:color w:val="000000"/>
          <w:sz w:val="24"/>
          <w:szCs w:val="24"/>
          <w:lang w:val="fr-FR" w:eastAsia="hy-AM"/>
        </w:rPr>
        <w:t xml:space="preserve"> </w:t>
      </w:r>
      <w:proofErr w:type="spellStart"/>
      <w:r>
        <w:rPr>
          <w:rFonts w:ascii="GHEA Grapalat" w:hAnsi="GHEA Grapalat"/>
          <w:color w:val="000000"/>
          <w:sz w:val="24"/>
          <w:szCs w:val="24"/>
          <w:lang w:val="en-US" w:eastAsia="hy-AM"/>
        </w:rPr>
        <w:t>Հայաստանի</w:t>
      </w:r>
      <w:proofErr w:type="spellEnd"/>
      <w:r>
        <w:rPr>
          <w:rFonts w:ascii="GHEA Grapalat" w:hAnsi="GHEA Grapalat"/>
          <w:color w:val="000000"/>
          <w:sz w:val="24"/>
          <w:szCs w:val="24"/>
          <w:lang w:val="fr-FR" w:eastAsia="hy-AM"/>
        </w:rPr>
        <w:t xml:space="preserve"> </w:t>
      </w:r>
      <w:proofErr w:type="spellStart"/>
      <w:r>
        <w:rPr>
          <w:rFonts w:ascii="GHEA Grapalat" w:hAnsi="GHEA Grapalat"/>
          <w:color w:val="000000"/>
          <w:sz w:val="24"/>
          <w:szCs w:val="24"/>
          <w:lang w:val="en-US" w:eastAsia="hy-AM"/>
        </w:rPr>
        <w:t>Հանրապետության</w:t>
      </w:r>
      <w:proofErr w:type="spellEnd"/>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պետական</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եկամուտների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կոմիտեի</w:t>
      </w:r>
      <w:r>
        <w:rPr>
          <w:rFonts w:ascii="GHEA Grapalat" w:hAnsi="GHEA Grapalat"/>
          <w:color w:val="000000"/>
          <w:sz w:val="24"/>
          <w:szCs w:val="24"/>
          <w:lang w:val="fr-FR" w:eastAsia="hy-AM"/>
        </w:rPr>
        <w:t xml:space="preserve"> </w:t>
      </w:r>
      <w:r>
        <w:rPr>
          <w:rFonts w:ascii="GHEA Grapalat" w:hAnsi="GHEA Grapalat"/>
          <w:color w:val="000000"/>
          <w:sz w:val="24"/>
          <w:szCs w:val="24"/>
          <w:lang w:eastAsia="hy-AM"/>
        </w:rPr>
        <w:t>կողմից</w:t>
      </w:r>
      <w:r>
        <w:rPr>
          <w:rFonts w:ascii="GHEA Grapalat" w:hAnsi="GHEA Grapalat"/>
          <w:color w:val="000000"/>
          <w:sz w:val="24"/>
          <w:szCs w:val="24"/>
          <w:lang w:val="fr-FR" w:eastAsia="hy-AM"/>
        </w:rPr>
        <w:t>:</w:t>
      </w:r>
    </w:p>
    <w:p w:rsidR="00432DFF" w:rsidRDefault="00432DFF" w:rsidP="00432DFF">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Pr>
          <w:rFonts w:ascii="GHEA Grapalat" w:hAnsi="GHEA Grapalat"/>
          <w:b/>
          <w:i/>
          <w:color w:val="000000"/>
          <w:sz w:val="24"/>
          <w:szCs w:val="24"/>
          <w:lang w:eastAsia="hy-AM"/>
        </w:rPr>
        <w:t>Լրացուցիչ ֆինանսական միջոցների անհրաժեշտության վերաբերյալ.</w:t>
      </w:r>
    </w:p>
    <w:p w:rsidR="00432DFF" w:rsidRDefault="00432DFF" w:rsidP="00432DFF">
      <w:pPr>
        <w:shd w:val="clear" w:color="auto" w:fill="FFFFFF"/>
        <w:tabs>
          <w:tab w:val="left" w:pos="993"/>
        </w:tabs>
        <w:spacing w:after="0" w:line="360" w:lineRule="auto"/>
        <w:ind w:firstLine="567"/>
        <w:jc w:val="both"/>
        <w:rPr>
          <w:rFonts w:ascii="GHEA Grapalat" w:hAnsi="GHEA Grapalat"/>
          <w:color w:val="000000"/>
          <w:sz w:val="24"/>
          <w:szCs w:val="24"/>
          <w:lang w:eastAsia="hy-AM"/>
        </w:rPr>
      </w:pPr>
      <w:r>
        <w:rPr>
          <w:rFonts w:ascii="GHEA Grapalat" w:hAnsi="GHEA Grapalat"/>
          <w:color w:val="000000"/>
          <w:sz w:val="24"/>
          <w:szCs w:val="24"/>
          <w:lang w:eastAsia="hy-AM"/>
        </w:rPr>
        <w:t>Նախագծի ընդունմամբ լրացուցիչ ֆինանսական միջոցների ներգրավման անհրաժեշտություն առկա չէ:</w:t>
      </w:r>
    </w:p>
    <w:p w:rsidR="00432DFF" w:rsidRDefault="00432DFF" w:rsidP="00432DFF">
      <w:pPr>
        <w:shd w:val="clear" w:color="auto" w:fill="FFFFFF"/>
        <w:tabs>
          <w:tab w:val="left" w:pos="993"/>
        </w:tabs>
        <w:spacing w:after="0" w:line="360" w:lineRule="auto"/>
        <w:ind w:firstLine="567"/>
        <w:jc w:val="both"/>
        <w:rPr>
          <w:rFonts w:ascii="GHEA Grapalat" w:hAnsi="GHEA Grapalat"/>
          <w:i/>
          <w:color w:val="000000"/>
          <w:sz w:val="24"/>
          <w:szCs w:val="24"/>
          <w:lang w:eastAsia="hy-AM"/>
        </w:rPr>
      </w:pPr>
      <w:r>
        <w:rPr>
          <w:rFonts w:ascii="GHEA Grapalat" w:hAnsi="GHEA Grapalat"/>
          <w:b/>
          <w:i/>
          <w:color w:val="000000"/>
          <w:sz w:val="24"/>
          <w:szCs w:val="24"/>
          <w:lang w:eastAsia="hy-AM"/>
        </w:rPr>
        <w:t>Պետական բյուջեի եկամուտներում և ծախսերում սպասվելիք փոփոխությունների վերաբերյալ.</w:t>
      </w:r>
    </w:p>
    <w:p w:rsidR="00432DFF" w:rsidRDefault="00432DFF" w:rsidP="00432DFF">
      <w:pPr>
        <w:shd w:val="clear" w:color="auto" w:fill="FFFFFF"/>
        <w:tabs>
          <w:tab w:val="left" w:pos="993"/>
        </w:tabs>
        <w:spacing w:after="0" w:line="360" w:lineRule="auto"/>
        <w:ind w:firstLine="567"/>
        <w:jc w:val="both"/>
        <w:rPr>
          <w:rFonts w:ascii="GHEA Grapalat" w:hAnsi="GHEA Grapalat"/>
          <w:b/>
          <w:color w:val="000000"/>
          <w:sz w:val="24"/>
          <w:szCs w:val="24"/>
          <w:lang w:eastAsia="hy-AM"/>
        </w:rPr>
      </w:pPr>
      <w:r>
        <w:rPr>
          <w:rFonts w:ascii="GHEA Grapalat" w:hAnsi="GHEA Grapalat"/>
          <w:color w:val="000000"/>
          <w:sz w:val="24"/>
          <w:szCs w:val="24"/>
          <w:lang w:eastAsia="hy-AM"/>
        </w:rPr>
        <w:t xml:space="preserve">Նախագծի </w:t>
      </w:r>
      <w:r>
        <w:rPr>
          <w:rFonts w:ascii="GHEA Grapalat" w:hAnsi="GHEA Grapalat"/>
          <w:bCs/>
          <w:color w:val="000000"/>
          <w:sz w:val="24"/>
          <w:szCs w:val="24"/>
          <w:lang w:eastAsia="hy-AM"/>
        </w:rPr>
        <w:t xml:space="preserve">ընդունմամբ </w:t>
      </w:r>
      <w:r>
        <w:rPr>
          <w:rFonts w:ascii="GHEA Grapalat" w:hAnsi="GHEA Grapalat"/>
          <w:color w:val="000000"/>
          <w:sz w:val="24"/>
          <w:szCs w:val="24"/>
          <w:lang w:eastAsia="hy-AM"/>
        </w:rPr>
        <w:t xml:space="preserve">Հայաստանի Հանրապետության </w:t>
      </w:r>
      <w:r>
        <w:rPr>
          <w:rFonts w:ascii="GHEA Grapalat" w:hAnsi="GHEA Grapalat"/>
          <w:bCs/>
          <w:color w:val="000000"/>
          <w:sz w:val="24"/>
          <w:szCs w:val="24"/>
          <w:lang w:eastAsia="hy-AM"/>
        </w:rPr>
        <w:t>պետական բյուջեում եկամուտների և ծախսերի ավելացում կամ նվազեցում չի նախատեսվում։</w:t>
      </w:r>
    </w:p>
    <w:p w:rsidR="00432DFF" w:rsidRDefault="00432DFF" w:rsidP="00432DFF">
      <w:pPr>
        <w:shd w:val="clear" w:color="auto" w:fill="FFFFFF"/>
        <w:tabs>
          <w:tab w:val="left" w:pos="993"/>
        </w:tabs>
        <w:spacing w:after="0" w:line="360" w:lineRule="auto"/>
        <w:ind w:firstLine="567"/>
        <w:jc w:val="both"/>
        <w:rPr>
          <w:rFonts w:ascii="GHEA Grapalat" w:hAnsi="GHEA Grapalat"/>
          <w:color w:val="000000"/>
          <w:sz w:val="24"/>
          <w:szCs w:val="24"/>
          <w:lang w:eastAsia="hy-AM"/>
        </w:rPr>
      </w:pPr>
    </w:p>
    <w:p w:rsidR="00432DFF" w:rsidRDefault="00432DFF" w:rsidP="00432DFF">
      <w:pPr>
        <w:pStyle w:val="NormalWeb"/>
        <w:shd w:val="clear" w:color="auto" w:fill="FFFFFF"/>
        <w:tabs>
          <w:tab w:val="left" w:pos="851"/>
        </w:tabs>
        <w:spacing w:before="0" w:beforeAutospacing="0" w:after="0" w:afterAutospacing="0" w:line="360" w:lineRule="auto"/>
        <w:ind w:left="567"/>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w:t>
      </w:r>
    </w:p>
    <w:p w:rsidR="00B46030" w:rsidRDefault="00B46030"/>
    <w:sectPr w:rsidR="00B46030" w:rsidSect="00432DF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EBD"/>
    <w:rsid w:val="00432DFF"/>
    <w:rsid w:val="00451EBD"/>
    <w:rsid w:val="00B460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1DC5FC-6C64-4EBC-8E9B-675AB9B3F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DFF"/>
    <w:pPr>
      <w:spacing w:line="254" w:lineRule="auto"/>
    </w:pPr>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2DF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432D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54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91FAB-2F21-4713-AF8D-315D75F9A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520</Words>
  <Characters>2968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Feliks Melkonyan</dc:creator>
  <cp:keywords/>
  <dc:description/>
  <cp:lastModifiedBy>Feliks Melkonyan</cp:lastModifiedBy>
  <cp:revision>3</cp:revision>
  <dcterms:created xsi:type="dcterms:W3CDTF">2023-08-22T06:25:00Z</dcterms:created>
  <dcterms:modified xsi:type="dcterms:W3CDTF">2023-08-22T06:26:00Z</dcterms:modified>
</cp:coreProperties>
</file>