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268" w:rsidRDefault="00D26268" w:rsidP="00D26268">
      <w:pPr>
        <w:pStyle w:val="ListParagraph"/>
        <w:tabs>
          <w:tab w:val="left" w:pos="851"/>
        </w:tabs>
        <w:spacing w:after="0" w:line="240" w:lineRule="auto"/>
        <w:ind w:left="0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D26268" w:rsidRDefault="00D26268" w:rsidP="00D26268">
      <w:pPr>
        <w:shd w:val="clear" w:color="auto" w:fill="FFFFFF"/>
        <w:tabs>
          <w:tab w:val="left" w:pos="851"/>
        </w:tabs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«</w:t>
      </w:r>
      <w:r>
        <w:rPr>
          <w:rFonts w:ascii="GHEA Grapalat" w:hAnsi="GHEA Grapalat" w:cs="Sylfaen"/>
          <w:sz w:val="24"/>
          <w:szCs w:val="24"/>
        </w:rPr>
        <w:t>ԼԻԱԶՈՐՎԱԾ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ՏՆՏԵՍԱԿԱՆ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ՕՊԵՐԱՏՈՐԻ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ԿԱՐԳԱՎԻՃԱԿԻՆ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ՀԱՎԱԿՆՈՂ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ԵՎ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ԼԻԱԶՈՐՎԱԾ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ՏՆՏԵՍԱԿԱՆ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ՕՊԵՐԱՏՈՐ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ՀԱՆԴԻՍԱՑՈՂ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ԱՆՁԱՆՑ</w:t>
      </w:r>
      <w:r>
        <w:rPr>
          <w:rFonts w:ascii="GHEA Grapalat" w:hAnsi="GHEA Grapalat"/>
          <w:sz w:val="24"/>
          <w:szCs w:val="24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ԻՆՉՊԵՍ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ՆԱԵՎ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ԱԶԱՏ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ՊԱՀԵՍՏԻ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ՏԻՐԱՊԵՏՈՂՆԵՐԻ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ՌԵԵՍՏՐՈՒՄ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ՆԵՐԱՌՎԵԼՈՒՆ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ՀԱՎԱԿՆՈՂ</w:t>
      </w:r>
      <w:r>
        <w:rPr>
          <w:rFonts w:ascii="GHEA Grapalat" w:hAnsi="GHEA Grapalat"/>
          <w:sz w:val="24"/>
          <w:szCs w:val="24"/>
        </w:rPr>
        <w:t xml:space="preserve"> ԵՎ </w:t>
      </w:r>
      <w:r>
        <w:rPr>
          <w:rFonts w:ascii="GHEA Grapalat" w:hAnsi="GHEA Grapalat" w:cs="Sylfaen"/>
          <w:sz w:val="24"/>
          <w:szCs w:val="24"/>
        </w:rPr>
        <w:t>ԱԶԱՏ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ՊԱՀԵՍՏԻ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ՏԻՐԱՊԵՏՈՂ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ՀԱՆԴԻՍԱՑՈՂ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ԱՆՁԱՆՑ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ԱՊՐԱՆՔՆԵՐԻ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ՀԱՇՎԱՌՄԱՆ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ՀԱՄԱԿԱՐԳԻ՝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ՍԱՀՄԱՆՎԱԾ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ՊԱՀԱՆՋՆԵՐԻՆ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ՀԱՄԱՊԱՏԱՍԽԱՆՈՒԹՅԱՆ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ՍՏՈՒԳՄԱՆ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ԿԱՐԳԸ</w:t>
      </w:r>
      <w:r>
        <w:rPr>
          <w:rFonts w:ascii="Sylfaen" w:hAnsi="Sylfaen" w:cs="Sylfaen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ՍԱՀՄԱՆԵԼՈՒ ՄԱՍԻՆ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ԿԱՌԱՎԱՐՈՒԹՅԱՆ ՈՐՈՇՄԱՆ ՆԱԽԱԳԾԻ ՎԵՐԱԲԵՐՅԱԼ</w:t>
      </w:r>
    </w:p>
    <w:p w:rsidR="00D26268" w:rsidRDefault="00D26268" w:rsidP="00D2626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D26268" w:rsidRDefault="00D26268" w:rsidP="00D2626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D26268" w:rsidRDefault="00D26268" w:rsidP="00D26268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«Եվրասիական տնտեսական միության մաքսային օրենսգրքի մասին» 2017 թվականի ապրիլի 11-ի պայմանագրի առաջին հավելվածով հաստատված՝ Եվրասիական տնտեսական միության մաքսային օրենսգրքի 350-րդ հոդվածի համաձայն՝ նույն օ</w:t>
      </w:r>
      <w:r>
        <w:rPr>
          <w:rFonts w:ascii="GHEA Grapalat" w:hAnsi="GHEA Grapalat" w:cs="Sylfaen"/>
          <w:lang w:val="hy-AM"/>
        </w:rPr>
        <w:t>րենսգրքով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Sylfaen"/>
          <w:lang w:val="hy-AM"/>
        </w:rPr>
        <w:t>կամ</w:t>
      </w:r>
      <w:r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 w:cs="Sylfaen"/>
          <w:lang w:val="hy-AM"/>
        </w:rPr>
        <w:t>անդամ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պետությունների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օրենսդրությամբ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պահանջների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կատարումն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ապահովելու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նպատակներով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Sylfaen"/>
          <w:lang w:val="hy-AM"/>
        </w:rPr>
        <w:t>մաքսային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մարմիններն</w:t>
      </w:r>
      <w:r>
        <w:rPr>
          <w:rFonts w:ascii="GHEA Grapalat" w:hAnsi="GHEA Grapalat"/>
          <w:lang w:val="hy-AM"/>
        </w:rPr>
        <w:t xml:space="preserve"> իրականացնում են ստուգում</w:t>
      </w:r>
      <w:r>
        <w:rPr>
          <w:rFonts w:ascii="GHEA Grapalat" w:hAnsi="GHEA Grapalat" w:cs="Sylfaen"/>
          <w:lang w:val="hy-AM"/>
        </w:rPr>
        <w:t>՝</w:t>
      </w:r>
    </w:p>
    <w:p w:rsidR="00D26268" w:rsidRDefault="00D26268" w:rsidP="00D26268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1) </w:t>
      </w:r>
      <w:r>
        <w:rPr>
          <w:rFonts w:ascii="GHEA Grapalat" w:hAnsi="GHEA Grapalat" w:cs="Sylfaen"/>
          <w:lang w:val="hy-AM"/>
        </w:rPr>
        <w:t>լիազորված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տնտեսական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օպերատորների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ռեեստրում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Sylfaen"/>
          <w:lang w:val="hy-AM"/>
        </w:rPr>
        <w:t>մաքսային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գործի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ոլորտում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գործունեություն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իրականացնող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անձանց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ռեեստրներում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ընդգրկվելու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համար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հավակնող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անձանց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մոտ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այդպիսի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ռեեստրներում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ընդգրկված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անձանց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մոտ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պահանջներին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համապատասխանող՝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ապրանքների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հաշվառման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համակարգի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առկայության</w:t>
      </w:r>
      <w:r>
        <w:rPr>
          <w:rFonts w:ascii="GHEA Grapalat" w:hAnsi="GHEA Grapalat"/>
          <w:lang w:val="hy-AM"/>
        </w:rPr>
        <w:t>.</w:t>
      </w:r>
    </w:p>
    <w:p w:rsidR="00D26268" w:rsidRDefault="00D26268" w:rsidP="00D26268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2) </w:t>
      </w:r>
      <w:r>
        <w:rPr>
          <w:rFonts w:ascii="GHEA Grapalat" w:hAnsi="GHEA Grapalat" w:cs="Sylfaen"/>
          <w:lang w:val="hy-AM"/>
        </w:rPr>
        <w:t>մաքսային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գործի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ոլորտում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գործունեություն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իրականացնող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անձանց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Sylfaen"/>
          <w:lang w:val="hy-AM"/>
        </w:rPr>
        <w:t>լիազորված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տնտեսական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օպերատորների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ապրանքների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հաշվառման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վարում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նախատեսող՝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մաքսային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ընթացակարգերով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ձևակերպված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ապրանքները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տիրապետող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Sylfaen"/>
          <w:lang w:val="hy-AM"/>
        </w:rPr>
        <w:t>կամ</w:t>
      </w:r>
      <w:r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 w:cs="Sylfaen"/>
          <w:lang w:val="hy-AM"/>
        </w:rPr>
        <w:t>օգտագործող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անձանց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կողմից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ապրանքների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հաշվառման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վարման</w:t>
      </w:r>
      <w:r>
        <w:rPr>
          <w:rFonts w:ascii="GHEA Grapalat" w:hAnsi="GHEA Grapalat"/>
          <w:lang w:val="hy-AM"/>
        </w:rPr>
        <w:t>:</w:t>
      </w:r>
    </w:p>
    <w:p w:rsidR="00D26268" w:rsidRDefault="00D26268" w:rsidP="00D26268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Սահմանված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պահանջներին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համապատասխանող՝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ապրանքների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հաշվառման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ապրանքների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հաշվառում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վարելու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համակարգի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առկայության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ստուգումն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իրականացնելու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կարգը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/>
          <w:lang w:val="hy-AM"/>
        </w:rPr>
        <w:t xml:space="preserve"> Եվրասիական տնտեսական միության </w:t>
      </w:r>
      <w:r>
        <w:rPr>
          <w:rFonts w:ascii="GHEA Grapalat" w:hAnsi="GHEA Grapalat" w:cs="Sylfaen"/>
          <w:lang w:val="hy-AM"/>
        </w:rPr>
        <w:t>անդամ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պետությունների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օրենսդրությանը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համապատասխան</w:t>
      </w:r>
      <w:r>
        <w:rPr>
          <w:rFonts w:ascii="GHEA Grapalat" w:hAnsi="GHEA Grapalat"/>
          <w:lang w:val="hy-AM"/>
        </w:rPr>
        <w:t>:</w:t>
      </w:r>
    </w:p>
    <w:p w:rsidR="00D26268" w:rsidRDefault="00D26268" w:rsidP="00D2626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«Մաքսային կարգավորման մասին» օրենքի 197-րդ հոդվածի 11-րդ մասի համաձայն՝ </w:t>
      </w:r>
      <w:r>
        <w:rPr>
          <w:rFonts w:ascii="GHEA Grapalat" w:hAnsi="GHEA Grapalat" w:cs="Sylfaen"/>
          <w:sz w:val="24"/>
          <w:szCs w:val="24"/>
        </w:rPr>
        <w:t>Կառավարությունը</w:t>
      </w:r>
      <w:r>
        <w:rPr>
          <w:rFonts w:ascii="GHEA Grapalat" w:hAnsi="GHEA Grapalat"/>
          <w:sz w:val="24"/>
          <w:szCs w:val="24"/>
        </w:rPr>
        <w:t>, Եվրասիական տնտեսական մ</w:t>
      </w:r>
      <w:r>
        <w:rPr>
          <w:rFonts w:ascii="GHEA Grapalat" w:hAnsi="GHEA Grapalat" w:cs="Sylfaen"/>
          <w:sz w:val="24"/>
          <w:szCs w:val="24"/>
        </w:rPr>
        <w:t>իության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մաքսային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օրենսգրքի</w:t>
      </w:r>
      <w:r>
        <w:rPr>
          <w:rFonts w:ascii="GHEA Grapalat" w:hAnsi="GHEA Grapalat"/>
          <w:sz w:val="24"/>
          <w:szCs w:val="24"/>
        </w:rPr>
        <w:t xml:space="preserve"> 350-</w:t>
      </w:r>
      <w:r>
        <w:rPr>
          <w:rFonts w:ascii="GHEA Grapalat" w:hAnsi="GHEA Grapalat" w:cs="Sylfaen"/>
          <w:sz w:val="24"/>
          <w:szCs w:val="24"/>
        </w:rPr>
        <w:t>րդ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հոդվածի</w:t>
      </w:r>
      <w:r>
        <w:rPr>
          <w:rFonts w:ascii="GHEA Grapalat" w:hAnsi="GHEA Grapalat"/>
          <w:sz w:val="24"/>
          <w:szCs w:val="24"/>
        </w:rPr>
        <w:t xml:space="preserve"> 2-</w:t>
      </w:r>
      <w:r>
        <w:rPr>
          <w:rFonts w:ascii="GHEA Grapalat" w:hAnsi="GHEA Grapalat" w:cs="Sylfaen"/>
          <w:sz w:val="24"/>
          <w:szCs w:val="24"/>
        </w:rPr>
        <w:t>րդ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կետին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համապատասխան</w:t>
      </w:r>
      <w:r>
        <w:rPr>
          <w:rFonts w:ascii="GHEA Grapalat" w:hAnsi="GHEA Grapalat"/>
          <w:sz w:val="24"/>
          <w:szCs w:val="24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սահմանում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լիազորված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տնտեսական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օպերատորի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կարգավիճակին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հավակնող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լիազորված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տնտեսական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օպերատոր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հանդիսացող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անձանց</w:t>
      </w:r>
      <w:r>
        <w:rPr>
          <w:rFonts w:ascii="GHEA Grapalat" w:hAnsi="GHEA Grapalat"/>
          <w:sz w:val="24"/>
          <w:szCs w:val="24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ինչպես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նաև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ազատ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պահեստի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տիրապետողների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ռեեստրում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ներառվելուն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հավակնող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ազատ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lastRenderedPageBreak/>
        <w:t>պահեստի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տիրապետող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հանդիսացող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անձանց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ապրանքների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հաշվառման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համակարգի՝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սահմանված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պահանջներին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համապատասխանության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ստուգման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կարգը</w:t>
      </w:r>
      <w:r>
        <w:rPr>
          <w:rFonts w:ascii="GHEA Grapalat" w:hAnsi="GHEA Grapalat"/>
          <w:sz w:val="24"/>
          <w:szCs w:val="24"/>
        </w:rPr>
        <w:t>:</w:t>
      </w:r>
    </w:p>
    <w:p w:rsidR="00D26268" w:rsidRDefault="00D26268" w:rsidP="00D2626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D26268" w:rsidRDefault="00D26268" w:rsidP="00D26268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Նախագծով նախատեսվում է սահմանել՝</w:t>
      </w:r>
    </w:p>
    <w:p w:rsidR="00D26268" w:rsidRDefault="00D26268" w:rsidP="00D26268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լիազորված տնտեսական օպերատորների և ազատ պահեստների տիրապետողների ռեեստրներում ներառման նպատակով և այդպիսի ռեեստրներում ներառված անձանց հաշվառման համակարգի՝ սահմանված պահանջներին համապատասխանության ստուգման պարբերականությունը.</w:t>
      </w:r>
    </w:p>
    <w:p w:rsidR="00D26268" w:rsidRDefault="00D26268" w:rsidP="00D26268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լիազորված տնտեսական օպերատորների և ազատ պահեստների տիրապետողների ռեեստրներում ներառման նպատակով և այդպիսի ռեեստրներում ներառված անձանց հաշվառման համակարգի՝ սահմանված պահանջներին համապատասխանության ստուգման նպատակով անձանց կողմից ներկայացվող փաստաթղթերը:</w:t>
      </w:r>
    </w:p>
    <w:p w:rsidR="00D26268" w:rsidRDefault="00D26268" w:rsidP="00D26268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ընդունման արդյունքում ակնկալվում է հ</w:t>
      </w:r>
      <w:r w:rsidR="00236291">
        <w:rPr>
          <w:rFonts w:ascii="GHEA Grapalat" w:hAnsi="GHEA Grapalat"/>
          <w:color w:val="000000"/>
          <w:sz w:val="24"/>
          <w:szCs w:val="24"/>
          <w:lang w:eastAsia="hy-AM"/>
        </w:rPr>
        <w:t>ա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մապատասխան հաշվառման համակարգերի ստուգման միջոցով ապահովել լիազորված տնտեսական օպերատորների և ազատ պահեստների տիրապետողների գործունեության նկատմամբ մաքսային մարմինների կողմից իրականացվող հսկողության արդյունավետությունն ու նշված </w:t>
      </w:r>
      <w:r w:rsidR="00236291">
        <w:rPr>
          <w:rFonts w:ascii="GHEA Grapalat" w:hAnsi="GHEA Grapalat"/>
          <w:color w:val="000000"/>
          <w:sz w:val="24"/>
          <w:szCs w:val="24"/>
          <w:lang w:eastAsia="hy-AM"/>
        </w:rPr>
        <w:t>անձանց կողմից</w:t>
      </w:r>
      <w:bookmarkStart w:id="0" w:name="_GoBack"/>
      <w:bookmarkEnd w:id="0"/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գործունեության անխոչընդոտ իրակ</w:t>
      </w:r>
      <w:r w:rsidR="00236291">
        <w:rPr>
          <w:rFonts w:ascii="GHEA Grapalat" w:hAnsi="GHEA Grapalat"/>
          <w:color w:val="000000"/>
          <w:sz w:val="24"/>
          <w:szCs w:val="24"/>
          <w:lang w:eastAsia="hy-AM"/>
        </w:rPr>
        <w:t>ա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նացումը:</w:t>
      </w:r>
    </w:p>
    <w:p w:rsidR="00D26268" w:rsidRDefault="00D26268" w:rsidP="00D2626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D26268" w:rsidRPr="00432DFF" w:rsidRDefault="00D26268" w:rsidP="00D26268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432DFF">
        <w:rPr>
          <w:rFonts w:ascii="GHEA Grapalat" w:hAnsi="GHEA Grapalat"/>
          <w:color w:val="000000"/>
          <w:sz w:val="24"/>
          <w:szCs w:val="24"/>
          <w:lang w:eastAsia="hy-AM"/>
        </w:rPr>
        <w:t>Նախագիծն առնչվում է ՀՀ կառավարության 18</w:t>
      </w:r>
      <w:r w:rsidRPr="00432DFF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432DFF">
        <w:rPr>
          <w:rFonts w:ascii="GHEA Grapalat" w:hAnsi="GHEA Grapalat"/>
          <w:color w:val="000000"/>
          <w:sz w:val="24"/>
          <w:szCs w:val="24"/>
          <w:lang w:eastAsia="hy-AM"/>
        </w:rPr>
        <w:t>11</w:t>
      </w:r>
      <w:r w:rsidRPr="00432DFF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432DFF">
        <w:rPr>
          <w:rFonts w:ascii="GHEA Grapalat" w:hAnsi="GHEA Grapalat"/>
          <w:color w:val="000000"/>
          <w:sz w:val="24"/>
          <w:szCs w:val="24"/>
          <w:lang w:eastAsia="hy-AM"/>
        </w:rPr>
        <w:t>2021թ</w:t>
      </w:r>
      <w:r w:rsidRPr="00432DFF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432DFF">
        <w:rPr>
          <w:rFonts w:ascii="GHEA Grapalat" w:hAnsi="GHEA Grapalat"/>
          <w:color w:val="000000"/>
          <w:sz w:val="24"/>
          <w:szCs w:val="24"/>
          <w:lang w:eastAsia="hy-AM"/>
        </w:rPr>
        <w:t xml:space="preserve"> N1902-Լ որոշմամբ սահմանված՝ «ՀՀ պետական եկամուտների կոմիտե» բաժնի 2</w:t>
      </w:r>
      <w:r w:rsidRPr="00432DFF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432DFF">
        <w:rPr>
          <w:rFonts w:ascii="GHEA Grapalat" w:hAnsi="GHEA Grapalat"/>
          <w:color w:val="000000"/>
          <w:sz w:val="24"/>
          <w:szCs w:val="24"/>
          <w:lang w:eastAsia="hy-AM"/>
        </w:rPr>
        <w:t>3-րդ կետով նախատեսված՝ «Օրինապահ հարկ վճարողների համակարգի կատարելագործում» միջոցառմանը, ինչպես նաև ՀՀ կառավարության 12</w:t>
      </w:r>
      <w:r w:rsidRPr="00432DFF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432DFF">
        <w:rPr>
          <w:rFonts w:ascii="GHEA Grapalat" w:hAnsi="GHEA Grapalat"/>
          <w:color w:val="000000"/>
          <w:sz w:val="24"/>
          <w:szCs w:val="24"/>
          <w:lang w:eastAsia="hy-AM"/>
        </w:rPr>
        <w:t>12</w:t>
      </w:r>
      <w:r w:rsidRPr="00432DFF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432DFF">
        <w:rPr>
          <w:rFonts w:ascii="GHEA Grapalat" w:hAnsi="GHEA Grapalat"/>
          <w:color w:val="000000"/>
          <w:sz w:val="24"/>
          <w:szCs w:val="24"/>
          <w:lang w:eastAsia="hy-AM"/>
        </w:rPr>
        <w:t>2019թ</w:t>
      </w:r>
      <w:r w:rsidRPr="00432DFF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432DFF">
        <w:rPr>
          <w:rFonts w:ascii="GHEA Grapalat" w:hAnsi="GHEA Grapalat"/>
          <w:color w:val="000000"/>
          <w:sz w:val="24"/>
          <w:szCs w:val="24"/>
          <w:lang w:eastAsia="hy-AM"/>
        </w:rPr>
        <w:t xml:space="preserve"> N1830-Լ որոշմամբ նախատեսված՝ «2.1.4. Մաքսային հսկողության արդյունավետության բարձրացում» միջոցառմանը։</w:t>
      </w:r>
    </w:p>
    <w:p w:rsidR="00D26268" w:rsidRDefault="00D26268" w:rsidP="00D2626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D26268" w:rsidRDefault="00D26268" w:rsidP="00D2626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D26268" w:rsidRDefault="00D26268" w:rsidP="00D2626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D26268" w:rsidRDefault="00D26268" w:rsidP="00D2626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>Նախագծի ընդունմամբ լրացուցիչ ֆինանսական միջոցների ներգրավման անհրաժեշտություն առկա չէ:</w:t>
      </w:r>
    </w:p>
    <w:p w:rsidR="00D26268" w:rsidRDefault="00D26268" w:rsidP="00D2626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D26268" w:rsidRDefault="00D26268" w:rsidP="00D2626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DE7F85" w:rsidRDefault="00DE7F85"/>
    <w:sectPr w:rsidR="00DE7F85" w:rsidSect="00D2626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20E9B"/>
    <w:multiLevelType w:val="hybridMultilevel"/>
    <w:tmpl w:val="B52617DE"/>
    <w:lvl w:ilvl="0" w:tplc="5C047892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341"/>
    <w:rsid w:val="00236291"/>
    <w:rsid w:val="00D26268"/>
    <w:rsid w:val="00DE7F85"/>
    <w:rsid w:val="00EA4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F7A87"/>
  <w15:chartTrackingRefBased/>
  <w15:docId w15:val="{D7A91113-6F6F-4CA4-A83A-9A475B8D3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6268"/>
    <w:pPr>
      <w:spacing w:line="254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262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D262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046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594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>https://mul2-taxservice.gov.am/tasks/2499930/oneclick/Himnavorum_hashvarman_hamakarg.docx?token=c3f1eb14179cb6b539dfe7c632dbcad2</cp:keywords>
  <dc:description/>
  <cp:lastModifiedBy>Feliks Melkonyan</cp:lastModifiedBy>
  <cp:revision>5</cp:revision>
  <dcterms:created xsi:type="dcterms:W3CDTF">2023-08-22T07:22:00Z</dcterms:created>
  <dcterms:modified xsi:type="dcterms:W3CDTF">2023-09-29T09:01:00Z</dcterms:modified>
</cp:coreProperties>
</file>